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eastAsia="zh-CN"/>
        </w:rPr>
        <w:t>附件</w:t>
      </w:r>
      <w:r>
        <w:rPr>
          <w:rFonts w:hint="eastAsia" w:ascii="黑体" w:hAnsi="黑体" w:eastAsia="黑体" w:cs="黑体"/>
          <w:b w:val="0"/>
          <w:bCs w:val="0"/>
          <w:sz w:val="28"/>
          <w:szCs w:val="28"/>
          <w:lang w:val="en-US" w:eastAsia="zh-CN"/>
        </w:rPr>
        <w:t>2</w:t>
      </w:r>
    </w:p>
    <w:p>
      <w:pPr>
        <w:jc w:val="center"/>
        <w:rPr>
          <w:rFonts w:hint="eastAsia" w:ascii="方正小标宋简体" w:hAnsi="方正小标宋简体" w:eastAsia="方正小标宋简体"/>
          <w:b w:val="0"/>
          <w:bCs w:val="0"/>
          <w:sz w:val="36"/>
          <w:szCs w:val="36"/>
          <w:lang w:val="en-US" w:eastAsia="zh-CN"/>
        </w:rPr>
      </w:pPr>
      <w:r>
        <w:rPr>
          <w:rFonts w:hint="eastAsia" w:ascii="方正小标宋简体" w:hAnsi="方正小标宋简体" w:eastAsia="方正小标宋简体"/>
          <w:b w:val="0"/>
          <w:bCs w:val="0"/>
          <w:sz w:val="36"/>
          <w:szCs w:val="36"/>
        </w:rPr>
        <w:t>202</w:t>
      </w:r>
      <w:r>
        <w:rPr>
          <w:rFonts w:hint="eastAsia" w:ascii="方正小标宋简体" w:hAnsi="方正小标宋简体" w:eastAsia="方正小标宋简体"/>
          <w:b w:val="0"/>
          <w:bCs w:val="0"/>
          <w:sz w:val="36"/>
          <w:szCs w:val="36"/>
          <w:lang w:val="en-US" w:eastAsia="zh-CN"/>
        </w:rPr>
        <w:t>4年度知识产权创造、运用和保护专项资金</w:t>
      </w:r>
    </w:p>
    <w:p>
      <w:pPr>
        <w:jc w:val="center"/>
        <w:rPr>
          <w:rFonts w:hint="eastAsia" w:ascii="方正小标宋简体" w:hAnsi="方正小标宋简体" w:eastAsia="方正小标宋简体"/>
          <w:b w:val="0"/>
          <w:bCs w:val="0"/>
          <w:sz w:val="36"/>
          <w:szCs w:val="36"/>
          <w:vertAlign w:val="baseline"/>
        </w:rPr>
      </w:pPr>
      <w:r>
        <w:rPr>
          <w:rFonts w:hint="eastAsia" w:ascii="方正小标宋简体" w:hAnsi="方正小标宋简体" w:eastAsia="方正小标宋简体"/>
          <w:b w:val="0"/>
          <w:bCs w:val="0"/>
          <w:sz w:val="36"/>
          <w:szCs w:val="36"/>
          <w:lang w:val="en-US" w:eastAsia="zh-CN"/>
        </w:rPr>
        <w:t>（保护类类）清单</w:t>
      </w:r>
    </w:p>
    <w:tbl>
      <w:tblPr>
        <w:tblStyle w:val="4"/>
        <w:tblW w:w="8895"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
        <w:gridCol w:w="2627"/>
        <w:gridCol w:w="2179"/>
        <w:gridCol w:w="1764"/>
        <w:gridCol w:w="1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pPr>
              <w:pStyle w:val="6"/>
              <w:keepNext w:val="0"/>
              <w:keepLines w:val="0"/>
              <w:pageBreakBefore w:val="0"/>
              <w:kinsoku/>
              <w:wordWrap/>
              <w:overflowPunct/>
              <w:topLinePunct w:val="0"/>
              <w:autoSpaceDE/>
              <w:autoSpaceDN/>
              <w:bidi w:val="0"/>
              <w:adjustRightInd/>
              <w:snapToGrid/>
              <w:spacing w:line="360" w:lineRule="exact"/>
              <w:ind w:left="138" w:leftChars="0" w:right="124" w:righ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rPr>
              <w:t>序号</w:t>
            </w:r>
          </w:p>
        </w:tc>
        <w:tc>
          <w:tcPr>
            <w:tcW w:w="2627"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rPr>
              <w:t>项目名称</w:t>
            </w:r>
          </w:p>
        </w:tc>
        <w:tc>
          <w:tcPr>
            <w:tcW w:w="2179" w:type="dxa"/>
            <w:vAlign w:val="center"/>
          </w:tcPr>
          <w:p>
            <w:pPr>
              <w:pStyle w:val="6"/>
              <w:keepNext w:val="0"/>
              <w:keepLines w:val="0"/>
              <w:pageBreakBefore w:val="0"/>
              <w:kinsoku/>
              <w:wordWrap/>
              <w:overflowPunct/>
              <w:topLinePunct w:val="0"/>
              <w:autoSpaceDE/>
              <w:autoSpaceDN/>
              <w:bidi w:val="0"/>
              <w:adjustRightInd/>
              <w:snapToGrid/>
              <w:spacing w:line="360" w:lineRule="exact"/>
              <w:ind w:left="38" w:leftChars="0" w:right="21" w:righ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rPr>
              <w:t>项目承担单位</w:t>
            </w:r>
          </w:p>
        </w:tc>
        <w:tc>
          <w:tcPr>
            <w:tcW w:w="1764" w:type="dxa"/>
            <w:vAlign w:val="center"/>
          </w:tcPr>
          <w:p>
            <w:pPr>
              <w:pStyle w:val="6"/>
              <w:keepNext w:val="0"/>
              <w:keepLines w:val="0"/>
              <w:pageBreakBefore w:val="0"/>
              <w:kinsoku/>
              <w:wordWrap/>
              <w:overflowPunct/>
              <w:topLinePunct w:val="0"/>
              <w:autoSpaceDE/>
              <w:autoSpaceDN/>
              <w:bidi w:val="0"/>
              <w:adjustRightInd/>
              <w:snapToGrid/>
              <w:spacing w:line="360" w:lineRule="exact"/>
              <w:ind w:left="182" w:lef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lang w:eastAsia="zh-CN"/>
              </w:rPr>
              <w:t>指导科（股）室</w:t>
            </w:r>
          </w:p>
        </w:tc>
        <w:tc>
          <w:tcPr>
            <w:tcW w:w="1395"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方正小标宋简体" w:hAnsi="方正小标宋简体" w:eastAsia="方正小标宋简体"/>
                <w:b w:val="0"/>
                <w:bCs w:val="0"/>
                <w:sz w:val="36"/>
                <w:szCs w:val="36"/>
                <w:vertAlign w:val="baseline"/>
              </w:rPr>
            </w:pPr>
            <w:r>
              <w:rPr>
                <w:rFonts w:hint="eastAsia" w:ascii="仿宋_GB2312" w:hAnsi="仿宋_GB2312" w:eastAsia="仿宋_GB2312" w:cs="仿宋_GB2312"/>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cs="宋体"/>
                <w:i w:val="0"/>
                <w:color w:val="000000"/>
                <w:kern w:val="0"/>
                <w:sz w:val="22"/>
                <w:szCs w:val="22"/>
                <w:u w:val="none"/>
                <w:lang w:val="en-US" w:eastAsia="zh-CN" w:bidi="ar"/>
              </w:rPr>
              <w:t>1</w:t>
            </w:r>
          </w:p>
        </w:tc>
        <w:tc>
          <w:tcPr>
            <w:tcW w:w="2627" w:type="dxa"/>
            <w:vAlign w:val="center"/>
          </w:tcPr>
          <w:p>
            <w:pPr>
              <w:pStyle w:val="12"/>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b w:val="0"/>
                <w:bCs w:val="0"/>
                <w:kern w:val="2"/>
                <w:sz w:val="24"/>
                <w:szCs w:val="24"/>
                <w:lang w:val="en" w:eastAsia="zh-CN" w:bidi="ar-SA"/>
              </w:rPr>
            </w:pPr>
            <w:r>
              <w:rPr>
                <w:rFonts w:hint="eastAsia" w:ascii="仿宋_GB2312" w:hAnsi="仿宋_GB2312" w:eastAsia="仿宋_GB2312" w:cs="仿宋_GB2312"/>
                <w:b w:val="0"/>
                <w:bCs w:val="0"/>
                <w:kern w:val="2"/>
                <w:sz w:val="24"/>
                <w:szCs w:val="24"/>
                <w:lang w:val="en-US" w:eastAsia="zh-CN" w:bidi="ar-SA"/>
              </w:rPr>
              <w:t>知识产权保护体系建设及知识产权纠纷多元化解</w:t>
            </w:r>
          </w:p>
          <w:p>
            <w:pPr>
              <w:pStyle w:val="8"/>
              <w:keepNext w:val="0"/>
              <w:keepLines w:val="0"/>
              <w:pageBreakBefore w:val="0"/>
              <w:widowControl w:val="0"/>
              <w:kinsoku/>
              <w:wordWrap/>
              <w:overflowPunct/>
              <w:topLinePunct w:val="0"/>
              <w:autoSpaceDE/>
              <w:autoSpaceDN/>
              <w:bidi w:val="0"/>
              <w:adjustRightInd/>
              <w:snapToGrid/>
              <w:spacing w:beforeLines="0" w:after="0" w:afterLines="0" w:line="360" w:lineRule="exact"/>
              <w:ind w:left="0" w:leftChars="0" w:right="0" w:rightChars="0" w:firstLine="0" w:firstLineChars="0"/>
              <w:jc w:val="left"/>
              <w:textAlignment w:val="auto"/>
              <w:outlineLvl w:val="9"/>
              <w:rPr>
                <w:rFonts w:hint="eastAsia" w:ascii="仿宋_GB2312" w:hAnsi="仿宋_GB2312" w:eastAsia="仿宋_GB2312" w:cs="仿宋_GB2312"/>
                <w:b w:val="0"/>
                <w:bCs/>
                <w:sz w:val="24"/>
                <w:szCs w:val="24"/>
              </w:rPr>
            </w:pPr>
          </w:p>
        </w:tc>
        <w:tc>
          <w:tcPr>
            <w:tcW w:w="2179" w:type="dxa"/>
            <w:vAlign w:val="center"/>
          </w:tcPr>
          <w:p>
            <w:pPr>
              <w:pStyle w:val="9"/>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val="0"/>
                <w:color w:val="000000"/>
                <w:sz w:val="24"/>
                <w:szCs w:val="24"/>
                <w:lang w:eastAsia="zh-CN"/>
              </w:rPr>
              <w:t>协镖（云浮）企业管理服务有限公司</w:t>
            </w:r>
          </w:p>
        </w:tc>
        <w:tc>
          <w:tcPr>
            <w:tcW w:w="1764" w:type="dxa"/>
            <w:vAlign w:val="center"/>
          </w:tcPr>
          <w:p>
            <w:pPr>
              <w:pStyle w:val="6"/>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eastAsia="zh-CN"/>
              </w:rPr>
              <w:t>云浮市市场监督管理局知识产权保护科</w:t>
            </w:r>
            <w:r>
              <w:rPr>
                <w:rFonts w:hint="eastAsia" w:ascii="仿宋_GB2312" w:hAnsi="仿宋_GB2312" w:eastAsia="仿宋_GB2312" w:cs="仿宋_GB2312"/>
                <w:b w:val="0"/>
                <w:bCs/>
                <w:sz w:val="24"/>
                <w:szCs w:val="24"/>
                <w:lang w:val="en-US" w:eastAsia="zh-CN"/>
              </w:rPr>
              <w:t xml:space="preserve"> </w:t>
            </w:r>
          </w:p>
        </w:tc>
        <w:tc>
          <w:tcPr>
            <w:tcW w:w="1395"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cs="宋体"/>
                <w:i w:val="0"/>
                <w:color w:val="000000"/>
                <w:kern w:val="0"/>
                <w:sz w:val="22"/>
                <w:szCs w:val="22"/>
                <w:u w:val="none"/>
                <w:lang w:val="en-US" w:eastAsia="zh-CN" w:bidi="ar"/>
              </w:rPr>
              <w:t>2</w:t>
            </w:r>
          </w:p>
        </w:tc>
        <w:tc>
          <w:tcPr>
            <w:tcW w:w="262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val="0"/>
                <w:kern w:val="2"/>
                <w:sz w:val="24"/>
                <w:szCs w:val="24"/>
                <w:lang w:val="en-US" w:eastAsia="zh-CN" w:bidi="ar-SA"/>
              </w:rPr>
              <w:t>专利侵权纠纷行政裁决效能提升项目</w:t>
            </w:r>
          </w:p>
        </w:tc>
        <w:tc>
          <w:tcPr>
            <w:tcW w:w="21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kern w:val="2"/>
                <w:sz w:val="24"/>
                <w:szCs w:val="24"/>
                <w:lang w:val="en-US" w:eastAsia="zh-CN" w:bidi="ar-SA"/>
              </w:rPr>
              <w:t>广东省知识产权研究会</w:t>
            </w:r>
          </w:p>
        </w:tc>
        <w:tc>
          <w:tcPr>
            <w:tcW w:w="1764"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云浮市市场监督管理局知识产权保护科</w:t>
            </w:r>
            <w:r>
              <w:rPr>
                <w:rFonts w:hint="eastAsia" w:ascii="仿宋_GB2312" w:hAnsi="仿宋_GB2312" w:eastAsia="仿宋_GB2312" w:cs="仿宋_GB2312"/>
                <w:b w:val="0"/>
                <w:bCs/>
                <w:sz w:val="24"/>
                <w:szCs w:val="24"/>
                <w:lang w:val="en-US" w:eastAsia="zh-CN"/>
              </w:rPr>
              <w:t xml:space="preserve"> </w:t>
            </w:r>
          </w:p>
        </w:tc>
        <w:tc>
          <w:tcPr>
            <w:tcW w:w="1395"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宋体" w:hAnsi="宋体" w:cs="宋体"/>
                <w:i w:val="0"/>
                <w:color w:val="000000"/>
                <w:kern w:val="0"/>
                <w:sz w:val="22"/>
                <w:szCs w:val="22"/>
                <w:u w:val="none"/>
                <w:lang w:val="en-US" w:eastAsia="zh-CN" w:bidi="ar"/>
              </w:rPr>
              <w:t>3</w:t>
            </w:r>
          </w:p>
        </w:tc>
        <w:tc>
          <w:tcPr>
            <w:tcW w:w="2627" w:type="dxa"/>
            <w:vAlign w:val="center"/>
          </w:tcPr>
          <w:p>
            <w:pPr>
              <w:pStyle w:val="11"/>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sz w:val="24"/>
                <w:szCs w:val="24"/>
              </w:rPr>
            </w:pPr>
            <w:r>
              <w:rPr>
                <w:rFonts w:hint="default" w:ascii="仿宋_GB2312" w:hAnsi="仿宋_GB2312" w:eastAsia="仿宋_GB2312" w:cs="仿宋_GB2312"/>
                <w:b w:val="0"/>
                <w:bCs w:val="0"/>
                <w:kern w:val="2"/>
                <w:sz w:val="24"/>
                <w:szCs w:val="24"/>
                <w:lang w:val="en-US" w:eastAsia="zh-CN" w:bidi="ar-SA"/>
              </w:rPr>
              <w:t>重点领域、关键环节知识产权保护</w:t>
            </w:r>
            <w:r>
              <w:rPr>
                <w:rFonts w:hint="eastAsia" w:ascii="仿宋_GB2312" w:hAnsi="仿宋_GB2312" w:eastAsia="仿宋_GB2312" w:cs="仿宋_GB2312"/>
                <w:b w:val="0"/>
                <w:bCs w:val="0"/>
                <w:kern w:val="2"/>
                <w:sz w:val="24"/>
                <w:szCs w:val="24"/>
                <w:lang w:val="en-US" w:eastAsia="zh-CN" w:bidi="ar-SA"/>
              </w:rPr>
              <w:t>（重点展会及电商知识产权保护）</w:t>
            </w:r>
          </w:p>
        </w:tc>
        <w:tc>
          <w:tcPr>
            <w:tcW w:w="2179" w:type="dxa"/>
            <w:vAlign w:val="center"/>
          </w:tcPr>
          <w:p>
            <w:pPr>
              <w:pStyle w:val="11"/>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val="0"/>
                <w:color w:val="000000"/>
                <w:sz w:val="24"/>
                <w:szCs w:val="24"/>
                <w:lang w:eastAsia="zh-CN"/>
              </w:rPr>
              <w:t>广东知得失网络科技有限公司</w:t>
            </w:r>
          </w:p>
        </w:tc>
        <w:tc>
          <w:tcPr>
            <w:tcW w:w="1764"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云浮市市场监督管理局知识产权保护科</w:t>
            </w:r>
            <w:r>
              <w:rPr>
                <w:rFonts w:hint="eastAsia" w:ascii="仿宋_GB2312" w:hAnsi="仿宋_GB2312" w:eastAsia="仿宋_GB2312" w:cs="仿宋_GB2312"/>
                <w:b w:val="0"/>
                <w:bCs/>
                <w:sz w:val="24"/>
                <w:szCs w:val="24"/>
                <w:lang w:val="en-US" w:eastAsia="zh-CN"/>
              </w:rPr>
              <w:t xml:space="preserve"> </w:t>
            </w:r>
          </w:p>
        </w:tc>
        <w:tc>
          <w:tcPr>
            <w:tcW w:w="1395"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2627"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val="0"/>
                <w:kern w:val="2"/>
                <w:sz w:val="24"/>
                <w:szCs w:val="24"/>
                <w:lang w:val="en-US" w:eastAsia="zh-CN" w:bidi="ar-SA"/>
              </w:rPr>
              <w:t>知识产权海外保护与维权援助能力提升</w:t>
            </w:r>
          </w:p>
        </w:tc>
        <w:tc>
          <w:tcPr>
            <w:tcW w:w="2179" w:type="dxa"/>
            <w:vAlign w:val="center"/>
          </w:tcPr>
          <w:p>
            <w:pPr>
              <w:pStyle w:val="6"/>
              <w:keepNext w:val="0"/>
              <w:keepLines w:val="0"/>
              <w:pageBreakBefore w:val="0"/>
              <w:kinsoku/>
              <w:wordWrap/>
              <w:overflowPunct/>
              <w:topLinePunct w:val="0"/>
              <w:autoSpaceDE/>
              <w:autoSpaceDN/>
              <w:bidi w:val="0"/>
              <w:adjustRightInd/>
              <w:snapToGrid/>
              <w:spacing w:line="360" w:lineRule="exact"/>
              <w:ind w:right="21" w:rightChars="0"/>
              <w:jc w:val="center"/>
              <w:textAlignment w:val="auto"/>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color w:val="000000"/>
                <w:sz w:val="24"/>
                <w:szCs w:val="24"/>
                <w:lang w:eastAsia="zh-CN"/>
              </w:rPr>
              <w:t>广州恒成智道信息科技有限公司</w:t>
            </w:r>
          </w:p>
        </w:tc>
        <w:tc>
          <w:tcPr>
            <w:tcW w:w="1764"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云浮市市场监督管理局知识产权保护科</w:t>
            </w:r>
            <w:r>
              <w:rPr>
                <w:rFonts w:hint="eastAsia" w:ascii="仿宋_GB2312" w:hAnsi="仿宋_GB2312" w:eastAsia="仿宋_GB2312" w:cs="仿宋_GB2312"/>
                <w:b w:val="0"/>
                <w:bCs/>
                <w:sz w:val="24"/>
                <w:szCs w:val="24"/>
                <w:lang w:val="en-US" w:eastAsia="zh-CN"/>
              </w:rPr>
              <w:t xml:space="preserve"> </w:t>
            </w:r>
          </w:p>
        </w:tc>
        <w:tc>
          <w:tcPr>
            <w:tcW w:w="1395"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w:t>
            </w:r>
          </w:p>
        </w:tc>
        <w:tc>
          <w:tcPr>
            <w:tcW w:w="2627"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left"/>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地理标志产品湾区认证</w:t>
            </w:r>
          </w:p>
        </w:tc>
        <w:tc>
          <w:tcPr>
            <w:tcW w:w="2179" w:type="dxa"/>
            <w:vAlign w:val="center"/>
          </w:tcPr>
          <w:p>
            <w:pPr>
              <w:pStyle w:val="6"/>
              <w:keepNext w:val="0"/>
              <w:keepLines w:val="0"/>
              <w:pageBreakBefore w:val="0"/>
              <w:kinsoku/>
              <w:wordWrap/>
              <w:overflowPunct/>
              <w:topLinePunct w:val="0"/>
              <w:autoSpaceDE/>
              <w:autoSpaceDN/>
              <w:bidi w:val="0"/>
              <w:adjustRightInd/>
              <w:snapToGrid/>
              <w:spacing w:line="360" w:lineRule="exact"/>
              <w:ind w:right="21" w:rightChars="0"/>
              <w:jc w:val="center"/>
              <w:textAlignment w:val="auto"/>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b w:val="0"/>
                <w:bCs w:val="0"/>
                <w:color w:val="000000"/>
                <w:sz w:val="24"/>
                <w:szCs w:val="24"/>
                <w:lang w:eastAsia="zh-CN"/>
              </w:rPr>
              <w:t>方圆标志认证集团广东有限公司</w:t>
            </w:r>
          </w:p>
        </w:tc>
        <w:tc>
          <w:tcPr>
            <w:tcW w:w="1764"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云浮市市场监督管理局知识产权保护科</w:t>
            </w:r>
            <w:r>
              <w:rPr>
                <w:rFonts w:hint="eastAsia" w:ascii="仿宋_GB2312" w:hAnsi="仿宋_GB2312" w:eastAsia="仿宋_GB2312" w:cs="仿宋_GB2312"/>
                <w:b w:val="0"/>
                <w:bCs/>
                <w:sz w:val="24"/>
                <w:szCs w:val="24"/>
                <w:lang w:val="en-US" w:eastAsia="zh-CN"/>
              </w:rPr>
              <w:t xml:space="preserve"> </w:t>
            </w:r>
          </w:p>
        </w:tc>
        <w:tc>
          <w:tcPr>
            <w:tcW w:w="1395"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6</w:t>
            </w:r>
          </w:p>
        </w:tc>
        <w:tc>
          <w:tcPr>
            <w:tcW w:w="2627"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left"/>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地理标志产品培育、地理标志专用标志使用（杨柳冬瓜）</w:t>
            </w:r>
          </w:p>
        </w:tc>
        <w:tc>
          <w:tcPr>
            <w:tcW w:w="2179"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中宇恒泰（北京）地理标志科技有限公司</w:t>
            </w:r>
          </w:p>
        </w:tc>
        <w:tc>
          <w:tcPr>
            <w:tcW w:w="1764"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云浮市市场监督管理局知识产权保护科</w:t>
            </w:r>
            <w:r>
              <w:rPr>
                <w:rFonts w:hint="eastAsia" w:ascii="仿宋_GB2312" w:hAnsi="仿宋_GB2312" w:eastAsia="仿宋_GB2312" w:cs="仿宋_GB2312"/>
                <w:b w:val="0"/>
                <w:bCs/>
                <w:sz w:val="24"/>
                <w:szCs w:val="24"/>
                <w:lang w:val="en-US" w:eastAsia="zh-CN"/>
              </w:rPr>
              <w:t xml:space="preserve"> </w:t>
            </w:r>
          </w:p>
        </w:tc>
        <w:tc>
          <w:tcPr>
            <w:tcW w:w="1395"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Merge w:val="continue"/>
            <w:tcBorders/>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宋体" w:hAnsi="宋体" w:cs="宋体"/>
                <w:i w:val="0"/>
                <w:color w:val="000000"/>
                <w:kern w:val="0"/>
                <w:sz w:val="22"/>
                <w:szCs w:val="22"/>
                <w:u w:val="none"/>
                <w:lang w:val="en-US" w:eastAsia="zh-CN" w:bidi="ar"/>
              </w:rPr>
            </w:pPr>
          </w:p>
        </w:tc>
        <w:tc>
          <w:tcPr>
            <w:tcW w:w="2627" w:type="dxa"/>
            <w:vAlign w:val="center"/>
          </w:tcPr>
          <w:p>
            <w:pPr>
              <w:pStyle w:val="6"/>
              <w:keepNext w:val="0"/>
              <w:keepLines w:val="0"/>
              <w:pageBreakBefore w:val="0"/>
              <w:kinsoku/>
              <w:wordWrap/>
              <w:overflowPunct/>
              <w:topLinePunct w:val="0"/>
              <w:autoSpaceDE/>
              <w:autoSpaceDN/>
              <w:bidi w:val="0"/>
              <w:adjustRightInd/>
              <w:snapToGrid/>
              <w:spacing w:line="360" w:lineRule="exact"/>
              <w:ind w:left="14" w:leftChars="0" w:right="2" w:rightChars="0"/>
              <w:jc w:val="left"/>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地理标志产品培育、地理标志专用标志使用（云浮豉油膏</w:t>
            </w:r>
            <w:bookmarkStart w:id="0" w:name="_GoBack"/>
            <w:bookmarkEnd w:id="0"/>
            <w:r>
              <w:rPr>
                <w:rFonts w:hint="eastAsia" w:ascii="仿宋_GB2312" w:hAnsi="仿宋_GB2312" w:eastAsia="仿宋_GB2312" w:cs="仿宋_GB2312"/>
                <w:b w:val="0"/>
                <w:bCs/>
                <w:color w:val="000000"/>
                <w:kern w:val="2"/>
                <w:sz w:val="24"/>
                <w:szCs w:val="24"/>
                <w:lang w:val="en-US" w:eastAsia="zh-CN" w:bidi="ar-SA"/>
              </w:rPr>
              <w:t>）</w:t>
            </w:r>
          </w:p>
        </w:tc>
        <w:tc>
          <w:tcPr>
            <w:tcW w:w="2179" w:type="dxa"/>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eastAsia="zh-CN"/>
              </w:rPr>
              <w:t>中宇恒泰（北京）地理标志科技有限公司</w:t>
            </w:r>
          </w:p>
        </w:tc>
        <w:tc>
          <w:tcPr>
            <w:tcW w:w="1764" w:type="dxa"/>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云浮市市场监督管理局知识产权保护科</w:t>
            </w:r>
            <w:r>
              <w:rPr>
                <w:rFonts w:hint="eastAsia" w:ascii="仿宋_GB2312" w:hAnsi="仿宋_GB2312" w:eastAsia="仿宋_GB2312" w:cs="仿宋_GB2312"/>
                <w:b w:val="0"/>
                <w:bCs/>
                <w:sz w:val="24"/>
                <w:szCs w:val="24"/>
                <w:lang w:val="en-US" w:eastAsia="zh-CN"/>
              </w:rPr>
              <w:t xml:space="preserve"> </w:t>
            </w:r>
          </w:p>
        </w:tc>
        <w:tc>
          <w:tcPr>
            <w:tcW w:w="1395" w:type="dxa"/>
            <w:vAlign w:val="center"/>
          </w:tcPr>
          <w:p>
            <w:pPr>
              <w:pStyle w:val="6"/>
              <w:keepNext w:val="0"/>
              <w:keepLines w:val="0"/>
              <w:pageBreakBefore w:val="0"/>
              <w:kinsoku/>
              <w:wordWrap/>
              <w:overflowPunct/>
              <w:topLinePunct w:val="0"/>
              <w:autoSpaceDE/>
              <w:autoSpaceDN/>
              <w:bidi w:val="0"/>
              <w:adjustRightInd/>
              <w:snapToGrid/>
              <w:spacing w:line="360" w:lineRule="exact"/>
              <w:ind w:left="252" w:leftChars="0"/>
              <w:jc w:val="center"/>
              <w:textAlignment w:val="auto"/>
              <w:rPr>
                <w:rFonts w:hint="eastAsia" w:ascii="仿宋_GB2312" w:hAnsi="仿宋_GB2312" w:eastAsia="仿宋_GB2312" w:cs="仿宋_GB2312"/>
                <w:b w:val="0"/>
                <w:bCs/>
                <w:sz w:val="24"/>
                <w:szCs w:val="24"/>
              </w:rPr>
            </w:pPr>
          </w:p>
        </w:tc>
      </w:tr>
    </w:tbl>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b w:val="0"/>
          <w:bCs w:val="0"/>
          <w:sz w:val="36"/>
          <w:szCs w:val="36"/>
        </w:rPr>
      </w:pPr>
    </w:p>
    <w:p>
      <w:pPr>
        <w:keepNext w:val="0"/>
        <w:keepLines w:val="0"/>
        <w:pageBreakBefore w:val="0"/>
        <w:kinsoku/>
        <w:wordWrap/>
        <w:overflowPunct/>
        <w:topLinePunct w:val="0"/>
        <w:autoSpaceDE/>
        <w:autoSpaceDN/>
        <w:bidi w:val="0"/>
        <w:adjustRightInd/>
        <w:snapToGrid/>
        <w:spacing w:line="52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roman"/>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A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ideographDigital"/>
      <w:pStyle w:val="10"/>
      <w:lvlText w:val="%1."/>
      <w:lvlJc w:val="left"/>
      <w:pPr>
        <w:tabs>
          <w:tab w:val="left" w:pos="420"/>
        </w:tabs>
        <w:ind w:left="1380" w:hanging="420"/>
      </w:pPr>
      <w:rPr>
        <w:rFonts w:hint="eastAsia"/>
      </w:rPr>
    </w:lvl>
    <w:lvl w:ilvl="1" w:tentative="0">
      <w:start w:val="1"/>
      <w:numFmt w:val="lowerLetter"/>
      <w:lvlText w:val="%2)"/>
      <w:lvlJc w:val="left"/>
      <w:pPr>
        <w:tabs>
          <w:tab w:val="left" w:pos="840"/>
        </w:tabs>
        <w:ind w:left="1800" w:hanging="420"/>
      </w:pPr>
    </w:lvl>
    <w:lvl w:ilvl="2" w:tentative="0">
      <w:start w:val="1"/>
      <w:numFmt w:val="lowerRoman"/>
      <w:lvlText w:val="%3."/>
      <w:lvlJc w:val="right"/>
      <w:pPr>
        <w:tabs>
          <w:tab w:val="left" w:pos="1260"/>
        </w:tabs>
        <w:ind w:left="2220" w:hanging="420"/>
      </w:pPr>
    </w:lvl>
    <w:lvl w:ilvl="3" w:tentative="0">
      <w:start w:val="1"/>
      <w:numFmt w:val="decimal"/>
      <w:lvlText w:val="%4."/>
      <w:lvlJc w:val="left"/>
      <w:pPr>
        <w:tabs>
          <w:tab w:val="left" w:pos="1680"/>
        </w:tabs>
        <w:ind w:left="2640" w:hanging="420"/>
      </w:pPr>
    </w:lvl>
    <w:lvl w:ilvl="4" w:tentative="0">
      <w:start w:val="1"/>
      <w:numFmt w:val="lowerLetter"/>
      <w:lvlText w:val="%5)"/>
      <w:lvlJc w:val="left"/>
      <w:pPr>
        <w:tabs>
          <w:tab w:val="left" w:pos="2100"/>
        </w:tabs>
        <w:ind w:left="3060" w:hanging="420"/>
      </w:pPr>
    </w:lvl>
    <w:lvl w:ilvl="5" w:tentative="0">
      <w:start w:val="1"/>
      <w:numFmt w:val="lowerRoman"/>
      <w:lvlText w:val="%6."/>
      <w:lvlJc w:val="right"/>
      <w:pPr>
        <w:tabs>
          <w:tab w:val="left" w:pos="2520"/>
        </w:tabs>
        <w:ind w:left="3480" w:hanging="420"/>
      </w:pPr>
    </w:lvl>
    <w:lvl w:ilvl="6" w:tentative="0">
      <w:start w:val="1"/>
      <w:numFmt w:val="decimal"/>
      <w:lvlText w:val="%7."/>
      <w:lvlJc w:val="left"/>
      <w:pPr>
        <w:tabs>
          <w:tab w:val="left" w:pos="2940"/>
        </w:tabs>
        <w:ind w:left="3900" w:hanging="420"/>
      </w:pPr>
    </w:lvl>
    <w:lvl w:ilvl="7" w:tentative="0">
      <w:start w:val="1"/>
      <w:numFmt w:val="lowerLetter"/>
      <w:lvlText w:val="%8)"/>
      <w:lvlJc w:val="left"/>
      <w:pPr>
        <w:tabs>
          <w:tab w:val="left" w:pos="3360"/>
        </w:tabs>
        <w:ind w:left="4320" w:hanging="420"/>
      </w:pPr>
    </w:lvl>
    <w:lvl w:ilvl="8" w:tentative="0">
      <w:start w:val="1"/>
      <w:numFmt w:val="lowerRoman"/>
      <w:lvlText w:val="%9."/>
      <w:lvlJc w:val="right"/>
      <w:pPr>
        <w:tabs>
          <w:tab w:val="left" w:pos="3780"/>
        </w:tabs>
        <w:ind w:left="47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2B51B5"/>
    <w:rsid w:val="00AD191A"/>
    <w:rsid w:val="02D22C88"/>
    <w:rsid w:val="031A2C8B"/>
    <w:rsid w:val="06E53FC6"/>
    <w:rsid w:val="079F285F"/>
    <w:rsid w:val="0B9308BD"/>
    <w:rsid w:val="0BCE52E9"/>
    <w:rsid w:val="0BE254A0"/>
    <w:rsid w:val="0BE953DA"/>
    <w:rsid w:val="0D3A498A"/>
    <w:rsid w:val="0E667553"/>
    <w:rsid w:val="0F1704FC"/>
    <w:rsid w:val="16272243"/>
    <w:rsid w:val="17334AFC"/>
    <w:rsid w:val="19E44E7D"/>
    <w:rsid w:val="1D3A4DA1"/>
    <w:rsid w:val="1DE7753A"/>
    <w:rsid w:val="1E5A1BD2"/>
    <w:rsid w:val="1F3B7C6C"/>
    <w:rsid w:val="1F60135E"/>
    <w:rsid w:val="202D1EF8"/>
    <w:rsid w:val="21202D2D"/>
    <w:rsid w:val="21D30014"/>
    <w:rsid w:val="239D7D5D"/>
    <w:rsid w:val="24901910"/>
    <w:rsid w:val="25CB6E35"/>
    <w:rsid w:val="27CC1B6B"/>
    <w:rsid w:val="287A1AC5"/>
    <w:rsid w:val="28D80045"/>
    <w:rsid w:val="29207E79"/>
    <w:rsid w:val="2B584D1B"/>
    <w:rsid w:val="2CEC6891"/>
    <w:rsid w:val="341D6535"/>
    <w:rsid w:val="35DD0772"/>
    <w:rsid w:val="362862C4"/>
    <w:rsid w:val="363E518D"/>
    <w:rsid w:val="376E38A8"/>
    <w:rsid w:val="380072D8"/>
    <w:rsid w:val="388B7DEC"/>
    <w:rsid w:val="4162038D"/>
    <w:rsid w:val="42843D1E"/>
    <w:rsid w:val="42DE2C4A"/>
    <w:rsid w:val="44361695"/>
    <w:rsid w:val="44685571"/>
    <w:rsid w:val="468F6EB1"/>
    <w:rsid w:val="4BDD6C53"/>
    <w:rsid w:val="4FAA2B70"/>
    <w:rsid w:val="51CB4F16"/>
    <w:rsid w:val="522E6AF3"/>
    <w:rsid w:val="58DE6DBF"/>
    <w:rsid w:val="59E44B9D"/>
    <w:rsid w:val="5A764265"/>
    <w:rsid w:val="5D0362B0"/>
    <w:rsid w:val="5E523B85"/>
    <w:rsid w:val="601A5C57"/>
    <w:rsid w:val="62AE05DB"/>
    <w:rsid w:val="65000CF2"/>
    <w:rsid w:val="65385DB0"/>
    <w:rsid w:val="673DD287"/>
    <w:rsid w:val="68BA05BA"/>
    <w:rsid w:val="6941591C"/>
    <w:rsid w:val="69F17CCC"/>
    <w:rsid w:val="6BAE740D"/>
    <w:rsid w:val="6EF32C1C"/>
    <w:rsid w:val="6F2436DA"/>
    <w:rsid w:val="6FB81871"/>
    <w:rsid w:val="7057530F"/>
    <w:rsid w:val="70FE0CDE"/>
    <w:rsid w:val="712B02E8"/>
    <w:rsid w:val="7181746E"/>
    <w:rsid w:val="72282042"/>
    <w:rsid w:val="73D740ED"/>
    <w:rsid w:val="742B51B5"/>
    <w:rsid w:val="78C12601"/>
    <w:rsid w:val="79B534F3"/>
    <w:rsid w:val="7B0B4F0F"/>
    <w:rsid w:val="7DEB207F"/>
    <w:rsid w:val="DEF9E065"/>
    <w:rsid w:val="F57BA10D"/>
    <w:rsid w:val="F76B49A9"/>
    <w:rsid w:val="F7DD4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Paragraph"/>
    <w:basedOn w:val="1"/>
    <w:qFormat/>
    <w:uiPriority w:val="1"/>
    <w:rPr>
      <w:rFonts w:ascii="宋体" w:hAnsi="宋体" w:eastAsia="宋体" w:cs="宋体"/>
      <w:lang w:val="en-US" w:eastAsia="zh-CN" w:bidi="ar-SA"/>
    </w:rPr>
  </w:style>
  <w:style w:type="paragraph" w:customStyle="1" w:styleId="7">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正文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正文 New New New New New New New New New New New New New New New New New New New New New New New New New New New New New New New New New New New New New New New New New New New New New New"/>
    <w:next w:val="10"/>
    <w:qFormat/>
    <w:uiPriority w:val="0"/>
    <w:pPr>
      <w:widowControl w:val="0"/>
      <w:jc w:val="both"/>
    </w:pPr>
    <w:rPr>
      <w:rFonts w:ascii="Times New Roman" w:hAnsi="Times New Roman" w:eastAsia="仿宋_GB2312" w:cs="Times New Roman"/>
      <w:kern w:val="2"/>
      <w:sz w:val="32"/>
      <w:szCs w:val="24"/>
      <w:lang w:val="en-US" w:eastAsia="zh-CN"/>
    </w:rPr>
  </w:style>
  <w:style w:type="paragraph" w:customStyle="1" w:styleId="10">
    <w:name w:val="标题 1 New"/>
    <w:basedOn w:val="9"/>
    <w:next w:val="9"/>
    <w:qFormat/>
    <w:uiPriority w:val="0"/>
    <w:pPr>
      <w:keepNext/>
      <w:keepLines/>
      <w:numPr>
        <w:ilvl w:val="0"/>
        <w:numId w:val="1"/>
      </w:numPr>
      <w:outlineLvl w:val="0"/>
    </w:pPr>
    <w:rPr>
      <w:rFonts w:ascii="Times New Roman" w:hAnsi="Times New Roman" w:eastAsia="黑体" w:cs="Times New Roman"/>
      <w:bCs/>
      <w:kern w:val="44"/>
      <w:sz w:val="30"/>
      <w:szCs w:val="44"/>
      <w:lang w:val="en-US" w:eastAsia="zh-CN"/>
    </w:rPr>
  </w:style>
  <w:style w:type="paragraph" w:customStyle="1" w:styleId="11">
    <w:name w:val="正文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黑体"/>
      <w:kern w:val="2"/>
      <w:sz w:val="21"/>
      <w:szCs w:val="24"/>
      <w:lang w:val="en-US" w:eastAsia="zh-CN"/>
    </w:rPr>
  </w:style>
  <w:style w:type="paragraph" w:customStyle="1" w:styleId="12">
    <w:name w:val="Normal"/>
    <w:next w:val="13"/>
    <w:qFormat/>
    <w:uiPriority w:val="0"/>
    <w:pPr>
      <w:widowControl w:val="0"/>
      <w:jc w:val="both"/>
    </w:pPr>
    <w:rPr>
      <w:rFonts w:hint="eastAsia" w:ascii="Times New Roman" w:hAnsi="Times New Roman" w:eastAsia="仿宋_GB2312" w:cs="Times New Roman"/>
      <w:kern w:val="2"/>
      <w:sz w:val="32"/>
      <w:lang w:val="en-US" w:eastAsia="zh-CN" w:bidi="ar-SA"/>
    </w:rPr>
  </w:style>
  <w:style w:type="paragraph" w:customStyle="1" w:styleId="13">
    <w:name w:val="heading 1"/>
    <w:basedOn w:val="12"/>
    <w:next w:val="12"/>
    <w:qFormat/>
    <w:uiPriority w:val="0"/>
    <w:pPr>
      <w:keepNext/>
      <w:keepLines/>
      <w:spacing w:before="340" w:beforeLines="0" w:after="330" w:afterLines="0" w:line="578" w:lineRule="auto"/>
      <w:outlineLvl w:val="0"/>
    </w:pPr>
    <w:rPr>
      <w:rFonts w:hint="default" w:ascii="Times New Roman" w:eastAsia="仿宋_GB2312"/>
      <w:b/>
      <w:kern w:val="44"/>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市直单位</Company>
  <Pages>1</Pages>
  <Words>0</Words>
  <Characters>0</Characters>
  <Lines>0</Lines>
  <Paragraphs>0</Paragraphs>
  <TotalTime>1</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2023-08-31T09:37:00Z</dcterms:created>
  <dc:creator>张建</dc:creator>
  <cp:lastModifiedBy>user1</cp:lastModifiedBy>
  <dcterms:modified xsi:type="dcterms:W3CDTF">2024-09-06T16:11:13Z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7FE788EB3F9E32DE5737F0644E7729A1</vt:lpwstr>
  </property>
</Properties>
</file>