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rPr>
      </w:pPr>
    </w:p>
    <w:p>
      <w:pPr>
        <w:rPr>
          <w:rFonts w:hint="eastAsia" w:ascii="黑体" w:hAnsi="黑体" w:eastAsia="黑体" w:cs="宋体"/>
          <w:kern w:val="0"/>
          <w:sz w:val="32"/>
          <w:szCs w:val="32"/>
        </w:rPr>
      </w:pPr>
      <w:r>
        <w:rPr>
          <w:rFonts w:hint="eastAsia" w:ascii="黑体" w:hAnsi="黑体" w:eastAsia="黑体" w:cs="宋体"/>
          <w:kern w:val="0"/>
          <w:sz w:val="32"/>
          <w:szCs w:val="32"/>
        </w:rPr>
        <w:t>附件2</w:t>
      </w:r>
    </w:p>
    <w:p>
      <w:pPr>
        <w:spacing w:line="660" w:lineRule="atLeast"/>
        <w:rPr>
          <w:rFonts w:hint="eastAsia"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宋体" w:eastAsia="方正小标宋简体"/>
          <w:sz w:val="44"/>
          <w:szCs w:val="44"/>
        </w:rPr>
      </w:pPr>
      <w:r>
        <w:rPr>
          <w:rFonts w:hint="eastAsia" w:ascii="方正小标宋简体" w:hAnsi="宋体" w:eastAsia="方正小标宋简体"/>
          <w:sz w:val="44"/>
          <w:szCs w:val="44"/>
        </w:rPr>
        <w:t>关于《云浮市知识产权质押融资风险补偿</w:t>
      </w:r>
    </w:p>
    <w:p>
      <w:pPr>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宋体" w:eastAsia="方正小标宋简体"/>
          <w:sz w:val="44"/>
          <w:szCs w:val="44"/>
        </w:rPr>
      </w:pPr>
      <w:r>
        <w:rPr>
          <w:rFonts w:hint="eastAsia" w:ascii="方正小标宋简体" w:hAnsi="宋体" w:eastAsia="方正小标宋简体"/>
          <w:sz w:val="44"/>
          <w:szCs w:val="44"/>
        </w:rPr>
        <w:t>资金管理办法》的起草说明</w:t>
      </w:r>
    </w:p>
    <w:p>
      <w:pPr>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textAlignment w:val="auto"/>
        <w:outlineLvl w:val="9"/>
        <w:rPr>
          <w:rFonts w:hint="eastAsia" w:ascii="仿宋" w:hAnsi="仿宋" w:eastAsia="仿宋"/>
          <w:sz w:val="44"/>
          <w:szCs w:val="32"/>
        </w:rPr>
      </w:pP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s="宋体"/>
          <w:color w:val="000000"/>
          <w:kern w:val="0"/>
          <w:sz w:val="32"/>
          <w:szCs w:val="32"/>
        </w:rPr>
      </w:pPr>
      <w:r>
        <w:rPr>
          <w:rFonts w:hint="eastAsia" w:ascii="仿宋" w:hAnsi="仿宋" w:eastAsia="仿宋" w:cs="宋体"/>
          <w:kern w:val="0"/>
          <w:sz w:val="32"/>
          <w:szCs w:val="32"/>
        </w:rPr>
        <w:t xml:space="preserve">   </w:t>
      </w:r>
      <w:r>
        <w:rPr>
          <w:rFonts w:hint="eastAsia" w:ascii="仿宋" w:hAnsi="仿宋" w:eastAsia="仿宋" w:cs="宋体"/>
          <w:color w:val="000000"/>
          <w:kern w:val="0"/>
          <w:sz w:val="32"/>
          <w:szCs w:val="32"/>
        </w:rPr>
        <w:t xml:space="preserve"> </w:t>
      </w:r>
      <w:r>
        <w:rPr>
          <w:rFonts w:hint="eastAsia" w:ascii="仿宋_GB2312" w:hAnsi="仿宋_GB2312" w:eastAsia="仿宋_GB2312" w:cs="宋体"/>
          <w:color w:val="000000"/>
          <w:kern w:val="0"/>
          <w:sz w:val="32"/>
          <w:szCs w:val="32"/>
        </w:rPr>
        <w:t>为贯彻落实党中央、国务院关于加快实施创新驱动发展的战略部署和省政府办公厅《关于印发广东省促进中小企业知识产权保护和利用若干政策措施的通知》（粤办函〔2019〕79号）精神，大力鼓励金融机构增加知识产权信贷，推动知识产权与金融产业的融合，结合我市实际，我局</w:t>
      </w:r>
      <w:r>
        <w:rPr>
          <w:rFonts w:hint="eastAsia" w:ascii="仿宋_GB2312" w:hAnsi="仿宋_GB2312" w:eastAsia="仿宋_GB2312" w:cs="宋体"/>
          <w:color w:val="000000"/>
          <w:kern w:val="0"/>
          <w:sz w:val="32"/>
          <w:szCs w:val="32"/>
          <w:lang w:val="en-US" w:eastAsia="zh-CN"/>
        </w:rPr>
        <w:t>与云浮市财政局、原云浮市金融工作局、中国人民银行云浮市中心支行、原中国银行保险监督管理委员会云浮监管分局于2020年9月24日共同印发了</w:t>
      </w:r>
      <w:r>
        <w:rPr>
          <w:rFonts w:hint="eastAsia" w:ascii="仿宋_GB2312" w:hAnsi="仿宋_GB2312" w:eastAsia="仿宋_GB2312" w:cs="宋体"/>
          <w:color w:val="000000"/>
          <w:kern w:val="0"/>
          <w:sz w:val="32"/>
          <w:szCs w:val="32"/>
        </w:rPr>
        <w:t>《云浮市知识产权质押融资风险补偿资</w:t>
      </w:r>
      <w:r>
        <w:rPr>
          <w:rFonts w:hint="eastAsia" w:ascii="仿宋_GB2312" w:hAnsi="仿宋_GB2312" w:eastAsia="仿宋_GB2312" w:cs="宋体"/>
          <w:color w:val="000000"/>
          <w:kern w:val="0"/>
          <w:sz w:val="32"/>
          <w:szCs w:val="32"/>
          <w:lang w:val="en-US" w:eastAsia="zh-CN"/>
        </w:rPr>
        <w:t>金管理办法》（以下简称《原办法》）。因《原办法》于2025年9月24日到期失效，为继续推进我市知识产权质押融资工作，结合相关管理部门名称调整等情况，我局起草了</w:t>
      </w:r>
      <w:r>
        <w:rPr>
          <w:rFonts w:hint="eastAsia" w:ascii="仿宋_GB2312" w:hAnsi="仿宋_GB2312" w:eastAsia="仿宋_GB2312" w:cs="宋体"/>
          <w:color w:val="auto"/>
          <w:kern w:val="0"/>
          <w:sz w:val="32"/>
          <w:szCs w:val="32"/>
        </w:rPr>
        <w:t>《云浮市知识产权质押融资风险补偿资金管理办法》</w:t>
      </w:r>
      <w:r>
        <w:rPr>
          <w:rFonts w:hint="eastAsia" w:ascii="仿宋_GB2312" w:hAnsi="仿宋_GB2312" w:eastAsia="仿宋_GB2312" w:cs="宋体"/>
          <w:color w:val="auto"/>
          <w:kern w:val="0"/>
          <w:sz w:val="32"/>
          <w:szCs w:val="32"/>
          <w:lang w:eastAsia="zh-CN"/>
        </w:rPr>
        <w:t>（</w:t>
      </w:r>
      <w:r>
        <w:rPr>
          <w:rFonts w:hint="eastAsia" w:ascii="仿宋_GB2312" w:hAnsi="仿宋_GB2312" w:eastAsia="仿宋_GB2312" w:cs="宋体"/>
          <w:color w:val="auto"/>
          <w:kern w:val="0"/>
          <w:sz w:val="32"/>
          <w:szCs w:val="32"/>
          <w:lang w:val="en-US" w:eastAsia="zh-CN"/>
        </w:rPr>
        <w:t>2026）</w:t>
      </w:r>
      <w:r>
        <w:rPr>
          <w:rFonts w:hint="eastAsia" w:ascii="仿宋_GB2312" w:hAnsi="仿宋_GB2312" w:eastAsia="仿宋_GB2312" w:cs="宋体"/>
          <w:color w:val="auto"/>
          <w:kern w:val="0"/>
          <w:sz w:val="32"/>
          <w:szCs w:val="32"/>
        </w:rPr>
        <w:t>（</w:t>
      </w:r>
      <w:r>
        <w:rPr>
          <w:rFonts w:hint="eastAsia" w:ascii="仿宋_GB2312" w:hAnsi="仿宋_GB2312" w:eastAsia="仿宋_GB2312" w:cs="宋体"/>
          <w:color w:val="000000"/>
          <w:kern w:val="0"/>
          <w:sz w:val="32"/>
          <w:szCs w:val="32"/>
        </w:rPr>
        <w:t>以下简称《办法》</w:t>
      </w:r>
      <w:r>
        <w:rPr>
          <w:rFonts w:hint="eastAsia" w:ascii="仿宋_GB2312" w:hAnsi="仿宋_GB2312" w:eastAsia="仿宋_GB2312" w:cs="宋体"/>
          <w:color w:val="000000"/>
          <w:kern w:val="0"/>
          <w:sz w:val="32"/>
          <w:szCs w:val="32"/>
          <w:lang w:eastAsia="zh-CN"/>
        </w:rPr>
        <w:t>），</w:t>
      </w:r>
      <w:r>
        <w:rPr>
          <w:rFonts w:hint="eastAsia" w:ascii="仿宋_GB2312" w:hAnsi="仿宋_GB2312" w:eastAsia="仿宋_GB2312" w:cs="宋体"/>
          <w:color w:val="000000"/>
          <w:kern w:val="0"/>
          <w:sz w:val="32"/>
          <w:szCs w:val="32"/>
        </w:rPr>
        <w:t>现将有关情况说明如下：</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黑体" w:hAnsi="黑体" w:eastAsia="黑体"/>
          <w:bCs/>
          <w:color w:val="000000"/>
          <w:sz w:val="32"/>
          <w:szCs w:val="32"/>
        </w:rPr>
      </w:pPr>
      <w:r>
        <w:rPr>
          <w:rFonts w:hint="eastAsia" w:ascii="仿宋_GB2312" w:hAnsi="仿宋_GB2312" w:eastAsia="仿宋_GB2312"/>
          <w:bCs/>
          <w:color w:val="000000"/>
          <w:sz w:val="32"/>
          <w:szCs w:val="32"/>
        </w:rPr>
        <w:t xml:space="preserve"> </w:t>
      </w:r>
      <w:r>
        <w:rPr>
          <w:rFonts w:hint="eastAsia" w:ascii="黑体" w:hAnsi="黑体" w:eastAsia="黑体"/>
          <w:bCs/>
          <w:color w:val="000000"/>
          <w:sz w:val="32"/>
          <w:szCs w:val="32"/>
        </w:rPr>
        <w:t>一、起草背景</w:t>
      </w:r>
    </w:p>
    <w:p>
      <w:pPr>
        <w:pStyle w:val="20"/>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为贯彻落实《国家知识产权局关于印发&lt;推动知识产权高质量发展年度工作指引（2019）&gt;的通知》（国知发运字〔2019〕38号）和《广东省人民政府办公厅关于印发广东省促进中小企业知识产权保护和利用若干政策措施的通知》（粤办函〔2019〕79号）</w:t>
      </w:r>
      <w:r>
        <w:rPr>
          <w:rFonts w:hint="eastAsia" w:ascii="仿宋_GB2312" w:hAnsi="仿宋_GB2312" w:cs="宋体"/>
          <w:color w:val="000000"/>
          <w:kern w:val="0"/>
          <w:sz w:val="32"/>
          <w:szCs w:val="32"/>
          <w:lang w:val="en-US" w:eastAsia="zh-CN"/>
        </w:rPr>
        <w:t>文件精神</w:t>
      </w:r>
      <w:r>
        <w:rPr>
          <w:rFonts w:hint="eastAsia" w:ascii="仿宋_GB2312" w:hAnsi="仿宋_GB2312" w:eastAsia="仿宋_GB2312" w:cs="宋体"/>
          <w:color w:val="000000"/>
          <w:kern w:val="0"/>
          <w:sz w:val="32"/>
          <w:szCs w:val="32"/>
        </w:rPr>
        <w:t>，2019年5月省市场监管局下发了《关于进一步推动知识产权质押融资工作的通知》</w:t>
      </w:r>
      <w:bookmarkStart w:id="0" w:name="NO"/>
      <w:bookmarkEnd w:id="0"/>
      <w:r>
        <w:rPr>
          <w:rFonts w:hint="eastAsia" w:ascii="仿宋_GB2312" w:hAnsi="仿宋_GB2312" w:eastAsia="仿宋_GB2312" w:cs="宋体"/>
          <w:color w:val="000000"/>
          <w:kern w:val="0"/>
          <w:sz w:val="32"/>
          <w:szCs w:val="32"/>
        </w:rPr>
        <w:t>（粤市监办发〔2019〕496号），要求“加快建立知识产权质押融资风险补偿机制，建立知识产权质押融资风险补偿资金池，获得省财政引导资金的地市，按照省市投入珠三角地区不少于1：2、粤东西北地区不少于1：1的原则，落实地市配套资金，尽快出台知识产权质押融资风险补偿资金管理办法，力争2020年实现全省知识产权质押融资风险补偿资金全覆盖”。</w:t>
      </w:r>
      <w:r>
        <w:rPr>
          <w:rFonts w:hint="eastAsia" w:ascii="仿宋_GB2312" w:hAnsi="仿宋_GB2312" w:cs="宋体"/>
          <w:color w:val="000000"/>
          <w:kern w:val="0"/>
          <w:sz w:val="32"/>
          <w:szCs w:val="32"/>
          <w:lang w:val="en-US" w:eastAsia="zh-CN"/>
        </w:rPr>
        <w:t>依据</w:t>
      </w:r>
      <w:r>
        <w:rPr>
          <w:rFonts w:hint="eastAsia" w:ascii="仿宋_GB2312" w:hAnsi="仿宋_GB2312" w:eastAsia="仿宋_GB2312" w:cs="宋体"/>
          <w:color w:val="000000"/>
          <w:kern w:val="0"/>
          <w:sz w:val="32"/>
          <w:szCs w:val="32"/>
        </w:rPr>
        <w:t>《广东省财政厅关于提前下达2020年促进经济高质量发展专项资金(知识产权创造保护运用及专利奖励)的通知》（粤财工〔2019〕181号），2019年12月省下达我市2020年知识产权质押融资风险补偿机制建立专项资金500万元。为加强对专项资金的管理，提升政府财政资金的杠杆和风险保障作用，鼓励和引导银行业等金融机构加大对中小微企业的信贷支持力度，我局</w:t>
      </w:r>
      <w:r>
        <w:rPr>
          <w:rFonts w:hint="eastAsia" w:ascii="仿宋_GB2312" w:hAnsi="仿宋_GB2312" w:eastAsia="仿宋_GB2312" w:cs="宋体"/>
          <w:color w:val="000000"/>
          <w:kern w:val="0"/>
          <w:sz w:val="32"/>
          <w:szCs w:val="32"/>
          <w:lang w:val="en-US" w:eastAsia="zh-CN"/>
        </w:rPr>
        <w:t>与云浮市财政局、原云浮市金融工作局、中国人民银行云浮市中心支行、原中国银行保险监督管理委员会云浮监管分局于2020年9月24日共同印发了</w:t>
      </w:r>
      <w:r>
        <w:rPr>
          <w:rFonts w:hint="eastAsia" w:ascii="仿宋_GB2312" w:hAnsi="仿宋_GB2312" w:eastAsia="仿宋_GB2312" w:cs="宋体"/>
          <w:color w:val="000000"/>
          <w:kern w:val="0"/>
          <w:sz w:val="32"/>
          <w:szCs w:val="32"/>
        </w:rPr>
        <w:t>《云浮市知识产权质押融资风险补偿资金管理办法》</w:t>
      </w:r>
      <w:r>
        <w:rPr>
          <w:rFonts w:hint="eastAsia" w:ascii="仿宋_GB2312" w:hAnsi="仿宋_GB2312" w:cs="宋体"/>
          <w:color w:val="000000"/>
          <w:kern w:val="0"/>
          <w:sz w:val="32"/>
          <w:szCs w:val="32"/>
          <w:lang w:eastAsia="zh-CN"/>
        </w:rPr>
        <w:t>。</w:t>
      </w:r>
      <w:r>
        <w:rPr>
          <w:rFonts w:hint="eastAsia" w:ascii="仿宋_GB2312" w:hAnsi="仿宋_GB2312" w:cs="宋体"/>
          <w:color w:val="000000"/>
          <w:kern w:val="0"/>
          <w:sz w:val="32"/>
          <w:szCs w:val="32"/>
          <w:lang w:val="en-US" w:eastAsia="zh-CN"/>
        </w:rPr>
        <w:t>《原办法》于2025年9月24日到期失效，因机构改革等原因，无法将《原办法》进行延期，</w:t>
      </w:r>
      <w:r>
        <w:rPr>
          <w:rFonts w:hint="eastAsia" w:ascii="仿宋_GB2312" w:hAnsi="仿宋_GB2312" w:eastAsia="仿宋_GB2312" w:cs="宋体"/>
          <w:color w:val="000000"/>
          <w:kern w:val="0"/>
          <w:sz w:val="32"/>
          <w:szCs w:val="32"/>
        </w:rPr>
        <w:t>特起草</w:t>
      </w:r>
      <w:r>
        <w:rPr>
          <w:rFonts w:hint="eastAsia" w:ascii="仿宋_GB2312" w:hAnsi="仿宋_GB2312" w:cs="宋体"/>
          <w:color w:val="000000"/>
          <w:kern w:val="0"/>
          <w:sz w:val="32"/>
          <w:szCs w:val="32"/>
          <w:lang w:val="en-US" w:eastAsia="zh-CN"/>
        </w:rPr>
        <w:t>本</w:t>
      </w:r>
      <w:r>
        <w:rPr>
          <w:rFonts w:hint="eastAsia" w:ascii="仿宋_GB2312" w:hAnsi="仿宋_GB2312" w:eastAsia="仿宋_GB2312" w:cs="宋体"/>
          <w:color w:val="000000"/>
          <w:kern w:val="0"/>
          <w:sz w:val="32"/>
          <w:szCs w:val="32"/>
        </w:rPr>
        <w:t>办法。</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黑体" w:hAnsi="黑体" w:eastAsia="黑体"/>
          <w:bCs/>
          <w:color w:val="000000"/>
          <w:sz w:val="32"/>
          <w:szCs w:val="32"/>
        </w:rPr>
      </w:pPr>
      <w:r>
        <w:rPr>
          <w:rFonts w:hint="eastAsia" w:ascii="黑体" w:hAnsi="黑体" w:eastAsia="黑体"/>
          <w:bCs/>
          <w:color w:val="000000"/>
          <w:sz w:val="32"/>
          <w:szCs w:val="32"/>
        </w:rPr>
        <w:t xml:space="preserve">二、起草过程 </w:t>
      </w:r>
    </w:p>
    <w:p>
      <w:pPr>
        <w:pStyle w:val="21"/>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5" w:firstLineChars="0"/>
        <w:textAlignment w:val="auto"/>
        <w:outlineLvl w:val="9"/>
        <w:rPr>
          <w:rFonts w:hint="eastAsia" w:ascii="仿宋_GB2312" w:hAnsi="仿宋_GB2312" w:eastAsia="仿宋_GB2312"/>
          <w:color w:val="000000"/>
          <w:sz w:val="32"/>
          <w:szCs w:val="32"/>
        </w:rPr>
      </w:pPr>
      <w:r>
        <w:rPr>
          <w:rFonts w:hint="eastAsia" w:ascii="仿宋_GB2312" w:hAnsi="仿宋_GB2312" w:eastAsia="仿宋_GB2312" w:cs="仿宋"/>
          <w:color w:val="000000"/>
          <w:sz w:val="32"/>
          <w:szCs w:val="32"/>
        </w:rPr>
        <w:t>本办法</w:t>
      </w:r>
      <w:r>
        <w:rPr>
          <w:rFonts w:hint="eastAsia" w:ascii="仿宋_GB2312" w:hAnsi="仿宋_GB2312" w:eastAsia="仿宋_GB2312" w:cs="仿宋"/>
          <w:color w:val="000000"/>
          <w:sz w:val="32"/>
          <w:szCs w:val="32"/>
          <w:lang w:val="en-US" w:eastAsia="zh-CN"/>
        </w:rPr>
        <w:t>主要参考</w:t>
      </w:r>
      <w:r>
        <w:rPr>
          <w:rFonts w:hint="eastAsia" w:ascii="仿宋_GB2312" w:hAnsi="仿宋_GB2312" w:eastAsia="仿宋_GB2312" w:cs="宋体"/>
          <w:color w:val="000000"/>
          <w:kern w:val="0"/>
          <w:sz w:val="32"/>
          <w:szCs w:val="32"/>
        </w:rPr>
        <w:t>我局</w:t>
      </w:r>
      <w:r>
        <w:rPr>
          <w:rFonts w:hint="eastAsia" w:ascii="仿宋_GB2312" w:hAnsi="仿宋_GB2312" w:eastAsia="仿宋_GB2312" w:cs="宋体"/>
          <w:color w:val="000000"/>
          <w:kern w:val="0"/>
          <w:sz w:val="32"/>
          <w:szCs w:val="32"/>
          <w:lang w:val="en-US" w:eastAsia="zh-CN"/>
        </w:rPr>
        <w:t>与云浮市财政局、原云浮市金融工作局、中国人民银行云浮市中心支行、原中国银行保险监督管理委员会云浮监管分局于2020年9月24日共同印发了</w:t>
      </w:r>
      <w:r>
        <w:rPr>
          <w:rFonts w:hint="eastAsia" w:ascii="仿宋_GB2312" w:hAnsi="仿宋_GB2312" w:eastAsia="仿宋_GB2312" w:cs="宋体"/>
          <w:color w:val="000000"/>
          <w:kern w:val="0"/>
          <w:sz w:val="32"/>
          <w:szCs w:val="32"/>
        </w:rPr>
        <w:t>《云浮市知识产权质押融资风险补偿资金管理办法》</w:t>
      </w:r>
      <w:r>
        <w:rPr>
          <w:rFonts w:hint="eastAsia" w:ascii="仿宋_GB2312" w:hAnsi="仿宋_GB2312" w:eastAsia="仿宋_GB2312" w:cs="宋体"/>
          <w:color w:val="000000"/>
          <w:kern w:val="0"/>
          <w:sz w:val="32"/>
          <w:szCs w:val="32"/>
          <w:lang w:eastAsia="zh-CN"/>
        </w:rPr>
        <w:t>，</w:t>
      </w:r>
      <w:r>
        <w:rPr>
          <w:rFonts w:hint="eastAsia" w:ascii="仿宋_GB2312" w:hAnsi="仿宋_GB2312" w:eastAsia="仿宋_GB2312" w:cs="宋体"/>
          <w:color w:val="000000"/>
          <w:kern w:val="0"/>
          <w:sz w:val="32"/>
          <w:szCs w:val="32"/>
          <w:lang w:val="en-US" w:eastAsia="zh-CN"/>
        </w:rPr>
        <w:t>结合该《办法》实施5年来的实际情况，</w:t>
      </w:r>
      <w:r>
        <w:rPr>
          <w:rFonts w:hint="eastAsia" w:ascii="仿宋_GB2312" w:hAnsi="仿宋_GB2312" w:eastAsia="仿宋_GB2312"/>
          <w:color w:val="000000"/>
          <w:sz w:val="32"/>
        </w:rPr>
        <w:t>形成《云浮市</w:t>
      </w:r>
      <w:r>
        <w:rPr>
          <w:rFonts w:hint="eastAsia" w:ascii="仿宋_GB2312" w:hAnsi="仿宋_GB2312" w:eastAsia="仿宋_GB2312"/>
          <w:color w:val="000000"/>
          <w:sz w:val="32"/>
          <w:lang w:val="en-US" w:eastAsia="zh-CN"/>
        </w:rPr>
        <w:t>中小微企业</w:t>
      </w:r>
      <w:r>
        <w:rPr>
          <w:rFonts w:hint="eastAsia" w:ascii="仿宋_GB2312" w:hAnsi="仿宋_GB2312" w:eastAsia="仿宋_GB2312"/>
          <w:color w:val="000000"/>
          <w:sz w:val="32"/>
        </w:rPr>
        <w:t>知识产权质押融资风险补偿资金管理办法》（</w:t>
      </w:r>
      <w:r>
        <w:rPr>
          <w:rFonts w:hint="eastAsia" w:ascii="仿宋_GB2312" w:hAnsi="仿宋_GB2312" w:eastAsia="仿宋_GB2312"/>
          <w:color w:val="000000"/>
          <w:sz w:val="32"/>
          <w:lang w:val="en-US" w:eastAsia="zh-CN"/>
        </w:rPr>
        <w:t>征求意见稿</w:t>
      </w:r>
      <w:r>
        <w:rPr>
          <w:rFonts w:hint="eastAsia" w:ascii="仿宋_GB2312" w:hAnsi="仿宋_GB2312" w:eastAsia="仿宋_GB2312"/>
          <w:color w:val="000000"/>
          <w:sz w:val="32"/>
        </w:rPr>
        <w:t>）</w:t>
      </w:r>
      <w:r>
        <w:rPr>
          <w:rFonts w:hint="eastAsia" w:ascii="仿宋_GB2312" w:hAnsi="仿宋_GB2312" w:eastAsia="仿宋_GB2312"/>
          <w:color w:val="000000"/>
          <w:sz w:val="32"/>
          <w:lang w:eastAsia="zh-CN"/>
        </w:rPr>
        <w:t>，</w:t>
      </w:r>
      <w:r>
        <w:rPr>
          <w:rFonts w:hint="eastAsia" w:ascii="仿宋_GB2312" w:hAnsi="仿宋_GB2312" w:eastAsia="仿宋_GB2312" w:cs="宋体"/>
          <w:color w:val="000000"/>
          <w:kern w:val="0"/>
          <w:sz w:val="32"/>
          <w:szCs w:val="32"/>
          <w:lang w:val="en-US" w:eastAsia="zh-CN"/>
        </w:rPr>
        <w:t>于</w:t>
      </w:r>
      <w:r>
        <w:rPr>
          <w:rFonts w:hint="eastAsia" w:ascii="仿宋_GB2312" w:hAnsi="仿宋_GB2312" w:eastAsia="仿宋_GB2312" w:cs="宋体"/>
          <w:color w:val="000000"/>
          <w:kern w:val="0"/>
          <w:sz w:val="32"/>
          <w:szCs w:val="32"/>
        </w:rPr>
        <w:t>202</w:t>
      </w:r>
      <w:r>
        <w:rPr>
          <w:rFonts w:hint="eastAsia" w:ascii="仿宋_GB2312" w:hAnsi="仿宋_GB2312" w:eastAsia="仿宋_GB2312" w:cs="宋体"/>
          <w:color w:val="000000"/>
          <w:kern w:val="0"/>
          <w:sz w:val="32"/>
          <w:szCs w:val="32"/>
          <w:lang w:val="en-US" w:eastAsia="zh-CN"/>
        </w:rPr>
        <w:t>5</w:t>
      </w:r>
      <w:r>
        <w:rPr>
          <w:rFonts w:hint="eastAsia" w:ascii="仿宋_GB2312" w:hAnsi="仿宋_GB2312" w:eastAsia="仿宋_GB2312" w:cs="宋体"/>
          <w:color w:val="000000"/>
          <w:kern w:val="0"/>
          <w:sz w:val="32"/>
          <w:szCs w:val="32"/>
        </w:rPr>
        <w:t>年</w:t>
      </w:r>
      <w:r>
        <w:rPr>
          <w:rFonts w:hint="eastAsia" w:ascii="仿宋_GB2312" w:hAnsi="仿宋_GB2312" w:eastAsia="仿宋_GB2312" w:cs="宋体"/>
          <w:color w:val="000000"/>
          <w:kern w:val="0"/>
          <w:sz w:val="32"/>
          <w:szCs w:val="32"/>
          <w:lang w:val="en-US" w:eastAsia="zh-CN"/>
        </w:rPr>
        <w:t>7</w:t>
      </w:r>
      <w:r>
        <w:rPr>
          <w:rFonts w:hint="eastAsia" w:ascii="仿宋_GB2312" w:hAnsi="仿宋_GB2312" w:eastAsia="仿宋_GB2312" w:cs="宋体"/>
          <w:color w:val="000000"/>
          <w:kern w:val="0"/>
          <w:sz w:val="32"/>
          <w:szCs w:val="32"/>
        </w:rPr>
        <w:t>月</w:t>
      </w:r>
      <w:r>
        <w:rPr>
          <w:rFonts w:hint="eastAsia" w:ascii="仿宋_GB2312" w:hAnsi="仿宋_GB2312" w:eastAsia="仿宋_GB2312" w:cs="宋体"/>
          <w:color w:val="000000"/>
          <w:kern w:val="0"/>
          <w:sz w:val="32"/>
          <w:szCs w:val="32"/>
          <w:lang w:val="en-US" w:eastAsia="zh-CN"/>
        </w:rPr>
        <w:t>10</w:t>
      </w:r>
      <w:r>
        <w:rPr>
          <w:rFonts w:hint="eastAsia" w:ascii="仿宋_GB2312" w:hAnsi="仿宋_GB2312" w:eastAsia="仿宋_GB2312" w:cs="宋体"/>
          <w:color w:val="000000"/>
          <w:kern w:val="0"/>
          <w:sz w:val="32"/>
          <w:szCs w:val="32"/>
        </w:rPr>
        <w:t>日</w:t>
      </w:r>
      <w:r>
        <w:rPr>
          <w:rFonts w:hint="eastAsia" w:ascii="仿宋_GB2312" w:hAnsi="仿宋_GB2312" w:eastAsia="仿宋_GB2312"/>
          <w:sz w:val="32"/>
          <w:szCs w:val="32"/>
          <w:lang w:eastAsia="zh-CN"/>
        </w:rPr>
        <w:t>进行了</w:t>
      </w:r>
      <w:r>
        <w:rPr>
          <w:rFonts w:hint="eastAsia" w:ascii="仿宋_GB2312" w:eastAsia="仿宋_GB2312"/>
          <w:sz w:val="32"/>
          <w:szCs w:val="32"/>
          <w:lang w:eastAsia="zh-CN"/>
        </w:rPr>
        <w:t>第一</w:t>
      </w:r>
      <w:r>
        <w:rPr>
          <w:rFonts w:hint="eastAsia" w:ascii="仿宋_GB2312" w:eastAsia="仿宋_GB2312"/>
          <w:sz w:val="32"/>
          <w:szCs w:val="32"/>
        </w:rPr>
        <w:t>次征求意见建议，</w:t>
      </w:r>
      <w:r>
        <w:rPr>
          <w:rFonts w:hint="eastAsia" w:ascii="仿宋_GB2312" w:eastAsia="仿宋_GB2312"/>
          <w:sz w:val="32"/>
          <w:szCs w:val="32"/>
          <w:lang w:eastAsia="zh-CN"/>
        </w:rPr>
        <w:t>经第一</w:t>
      </w:r>
      <w:r>
        <w:rPr>
          <w:rFonts w:hint="eastAsia" w:ascii="仿宋_GB2312" w:eastAsia="仿宋_GB2312"/>
          <w:sz w:val="32"/>
          <w:szCs w:val="32"/>
        </w:rPr>
        <w:t>次征求意见建议</w:t>
      </w:r>
      <w:r>
        <w:rPr>
          <w:rFonts w:hint="eastAsia" w:ascii="仿宋_GB2312" w:eastAsia="仿宋_GB2312"/>
          <w:sz w:val="32"/>
          <w:szCs w:val="32"/>
          <w:lang w:eastAsia="zh-CN"/>
        </w:rPr>
        <w:t>和</w:t>
      </w:r>
      <w:r>
        <w:rPr>
          <w:rFonts w:hint="eastAsia" w:ascii="仿宋_GB2312" w:eastAsia="仿宋_GB2312"/>
          <w:sz w:val="32"/>
          <w:szCs w:val="32"/>
        </w:rPr>
        <w:t>多次</w:t>
      </w:r>
      <w:r>
        <w:rPr>
          <w:rFonts w:hint="eastAsia" w:ascii="仿宋_GB2312" w:eastAsia="仿宋_GB2312"/>
          <w:sz w:val="32"/>
          <w:szCs w:val="32"/>
          <w:lang w:eastAsia="zh-CN"/>
        </w:rPr>
        <w:t>与有关单位沟通研究，我局</w:t>
      </w:r>
      <w:r>
        <w:rPr>
          <w:rFonts w:hint="eastAsia" w:ascii="仿宋_GB2312" w:eastAsia="仿宋_GB2312"/>
          <w:sz w:val="32"/>
          <w:szCs w:val="32"/>
        </w:rPr>
        <w:t>对</w:t>
      </w:r>
      <w:r>
        <w:rPr>
          <w:rFonts w:hint="eastAsia" w:ascii="仿宋_GB2312" w:hAnsi="仿宋_GB2312" w:eastAsia="仿宋_GB2312" w:cs="宋体"/>
          <w:color w:val="000000"/>
          <w:kern w:val="0"/>
          <w:sz w:val="32"/>
          <w:szCs w:val="32"/>
        </w:rPr>
        <w:t>《办法》</w:t>
      </w:r>
      <w:r>
        <w:rPr>
          <w:rFonts w:hint="eastAsia" w:ascii="仿宋_GB2312" w:eastAsia="仿宋_GB2312"/>
          <w:sz w:val="32"/>
          <w:szCs w:val="32"/>
        </w:rPr>
        <w:t>进行</w:t>
      </w:r>
      <w:r>
        <w:rPr>
          <w:rFonts w:hint="eastAsia" w:ascii="仿宋_GB2312" w:eastAsia="仿宋_GB2312"/>
          <w:sz w:val="32"/>
          <w:szCs w:val="32"/>
          <w:lang w:eastAsia="zh-CN"/>
        </w:rPr>
        <w:t>了</w:t>
      </w:r>
      <w:r>
        <w:rPr>
          <w:rFonts w:hint="eastAsia" w:ascii="仿宋_GB2312" w:eastAsia="仿宋_GB2312"/>
          <w:sz w:val="32"/>
          <w:szCs w:val="32"/>
        </w:rPr>
        <w:t>修改</w:t>
      </w:r>
      <w:r>
        <w:rPr>
          <w:rFonts w:hint="eastAsia" w:ascii="仿宋_GB2312" w:eastAsia="仿宋_GB2312"/>
          <w:sz w:val="32"/>
          <w:szCs w:val="32"/>
          <w:lang w:eastAsia="zh-CN"/>
        </w:rPr>
        <w:t>，</w:t>
      </w:r>
      <w:r>
        <w:rPr>
          <w:rFonts w:hint="eastAsia" w:ascii="仿宋_GB2312" w:hAnsi="仿宋_GB2312" w:eastAsia="仿宋_GB2312" w:cs="宋体"/>
          <w:color w:val="000000"/>
          <w:kern w:val="0"/>
          <w:sz w:val="32"/>
          <w:szCs w:val="32"/>
          <w:lang w:val="en-US" w:eastAsia="zh-CN"/>
        </w:rPr>
        <w:t>形成</w:t>
      </w:r>
      <w:r>
        <w:rPr>
          <w:rFonts w:hint="eastAsia" w:ascii="仿宋_GB2312" w:hAnsi="仿宋_GB2312" w:eastAsia="仿宋_GB2312" w:cs="宋体"/>
          <w:color w:val="000000"/>
          <w:kern w:val="0"/>
          <w:sz w:val="32"/>
          <w:szCs w:val="32"/>
        </w:rPr>
        <w:t>《云浮市</w:t>
      </w:r>
      <w:r>
        <w:rPr>
          <w:rFonts w:hint="eastAsia" w:ascii="仿宋_GB2312" w:hAnsi="仿宋_GB2312" w:eastAsia="仿宋_GB2312" w:cs="宋体"/>
          <w:color w:val="000000"/>
          <w:kern w:val="0"/>
          <w:sz w:val="32"/>
          <w:szCs w:val="32"/>
          <w:lang w:val="en-US" w:eastAsia="zh-CN"/>
        </w:rPr>
        <w:t>中小微企业</w:t>
      </w:r>
      <w:r>
        <w:rPr>
          <w:rFonts w:hint="eastAsia" w:ascii="仿宋_GB2312" w:hAnsi="仿宋_GB2312" w:eastAsia="仿宋_GB2312" w:cs="宋体"/>
          <w:color w:val="000000"/>
          <w:kern w:val="0"/>
          <w:sz w:val="32"/>
          <w:szCs w:val="32"/>
        </w:rPr>
        <w:t>知识产权质押融资风险补偿资金管理办法</w:t>
      </w:r>
      <w:r>
        <w:rPr>
          <w:rFonts w:hint="eastAsia" w:ascii="仿宋_GB2312" w:hAnsi="仿宋_GB2312" w:eastAsia="仿宋_GB2312" w:cs="宋体"/>
          <w:color w:val="000000"/>
          <w:kern w:val="0"/>
          <w:sz w:val="32"/>
          <w:szCs w:val="32"/>
          <w:lang w:eastAsia="zh-CN"/>
        </w:rPr>
        <w:t>（第二次征求意见稿）</w:t>
      </w:r>
      <w:r>
        <w:rPr>
          <w:rFonts w:hint="eastAsia" w:ascii="仿宋_GB2312" w:hAnsi="仿宋_GB2312" w:eastAsia="仿宋_GB2312" w:cs="宋体"/>
          <w:color w:val="000000"/>
          <w:kern w:val="0"/>
          <w:sz w:val="32"/>
          <w:szCs w:val="32"/>
        </w:rPr>
        <w:t>》</w:t>
      </w:r>
      <w:r>
        <w:rPr>
          <w:rFonts w:hint="eastAsia" w:ascii="仿宋_GB2312" w:hAnsi="仿宋_GB2312" w:eastAsia="仿宋_GB2312"/>
          <w:color w:val="000000"/>
          <w:sz w:val="32"/>
          <w:szCs w:val="32"/>
          <w:lang w:eastAsia="zh-CN"/>
        </w:rPr>
        <w:t>，于</w:t>
      </w:r>
      <w:r>
        <w:rPr>
          <w:rFonts w:hint="eastAsia" w:ascii="仿宋_GB2312" w:hAnsi="仿宋_GB2312" w:eastAsia="仿宋_GB2312"/>
          <w:color w:val="000000"/>
          <w:sz w:val="32"/>
          <w:szCs w:val="32"/>
          <w:lang w:val="en-US" w:eastAsia="zh-CN"/>
        </w:rPr>
        <w:t>2026年6</w:t>
      </w:r>
      <w:r>
        <w:rPr>
          <w:rFonts w:hint="eastAsia" w:ascii="仿宋_GB2312" w:hAnsi="仿宋_GB2312" w:eastAsia="仿宋_GB2312"/>
          <w:color w:val="000000"/>
          <w:sz w:val="32"/>
          <w:szCs w:val="32"/>
        </w:rPr>
        <w:t>月</w:t>
      </w:r>
      <w:r>
        <w:rPr>
          <w:rFonts w:hint="eastAsia" w:ascii="仿宋_GB2312" w:hAnsi="仿宋_GB2312" w:eastAsia="仿宋_GB2312"/>
          <w:color w:val="000000"/>
          <w:sz w:val="32"/>
          <w:szCs w:val="32"/>
          <w:lang w:val="en-US" w:eastAsia="zh-CN"/>
        </w:rPr>
        <w:t>22</w:t>
      </w:r>
      <w:r>
        <w:rPr>
          <w:rFonts w:hint="eastAsia" w:ascii="仿宋_GB2312" w:hAnsi="仿宋_GB2312" w:eastAsia="仿宋_GB2312"/>
          <w:color w:val="000000"/>
          <w:sz w:val="32"/>
          <w:szCs w:val="32"/>
        </w:rPr>
        <w:t>日至</w:t>
      </w:r>
      <w:r>
        <w:rPr>
          <w:rFonts w:hint="eastAsia" w:ascii="仿宋_GB2312" w:hAnsi="仿宋_GB2312" w:eastAsia="仿宋_GB2312"/>
          <w:color w:val="000000"/>
          <w:sz w:val="32"/>
          <w:szCs w:val="32"/>
          <w:lang w:val="en-US" w:eastAsia="zh-CN"/>
        </w:rPr>
        <w:t>7</w:t>
      </w:r>
      <w:r>
        <w:rPr>
          <w:rFonts w:hint="eastAsia" w:ascii="仿宋_GB2312" w:hAnsi="仿宋_GB2312" w:eastAsia="仿宋_GB2312"/>
          <w:color w:val="000000"/>
          <w:sz w:val="32"/>
          <w:szCs w:val="32"/>
        </w:rPr>
        <w:t>月</w:t>
      </w:r>
      <w:r>
        <w:rPr>
          <w:rFonts w:hint="eastAsia" w:ascii="仿宋_GB2312" w:hAnsi="仿宋_GB2312" w:eastAsia="仿宋_GB2312"/>
          <w:color w:val="000000"/>
          <w:sz w:val="32"/>
          <w:szCs w:val="32"/>
          <w:lang w:val="en-US" w:eastAsia="zh-CN"/>
        </w:rPr>
        <w:t>1</w:t>
      </w:r>
      <w:r>
        <w:rPr>
          <w:rFonts w:hint="eastAsia" w:ascii="仿宋_GB2312" w:hAnsi="仿宋_GB2312" w:eastAsia="仿宋_GB2312"/>
          <w:color w:val="000000"/>
          <w:sz w:val="32"/>
          <w:szCs w:val="32"/>
        </w:rPr>
        <w:t>日</w:t>
      </w:r>
      <w:r>
        <w:rPr>
          <w:rFonts w:hint="eastAsia" w:ascii="仿宋_GB2312" w:hAnsi="仿宋_GB2312" w:eastAsia="仿宋_GB2312"/>
          <w:color w:val="000000"/>
          <w:sz w:val="32"/>
          <w:szCs w:val="32"/>
          <w:lang w:eastAsia="zh-CN"/>
        </w:rPr>
        <w:t>进行了第二次征求意见建议，再次进行了修改</w:t>
      </w:r>
      <w:r>
        <w:rPr>
          <w:rFonts w:hint="eastAsia" w:ascii="仿宋_GB2312" w:hAnsi="仿宋_GB2312" w:eastAsia="仿宋_GB2312"/>
          <w:color w:val="auto"/>
          <w:sz w:val="32"/>
          <w:szCs w:val="32"/>
          <w:lang w:eastAsia="zh-CN"/>
        </w:rPr>
        <w:t>。为落实《广东省人民政府办公厅印发关于加快推进科技金融深度融合助力科技型企业创新发展实施意见的通知》有关“扩大扶持政策和补偿基金覆盖面”精神，不局限于中小微企业才能纳入知识产权质押融资风险补偿范围，现形成《云浮市知识产权质押融资风险补偿资金管理办法（第三次征求意见稿）》</w:t>
      </w:r>
      <w:r>
        <w:rPr>
          <w:rFonts w:hint="eastAsia" w:ascii="仿宋_GB2312" w:hAnsi="仿宋_GB2312" w:eastAsia="仿宋_GB2312"/>
          <w:color w:val="auto"/>
          <w:sz w:val="32"/>
          <w:szCs w:val="32"/>
        </w:rPr>
        <w:t>。</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bCs/>
          <w:color w:val="000000"/>
          <w:sz w:val="32"/>
          <w:szCs w:val="32"/>
        </w:rPr>
      </w:pPr>
      <w:r>
        <w:rPr>
          <w:rFonts w:hint="eastAsia" w:ascii="黑体" w:hAnsi="黑体" w:eastAsia="黑体"/>
          <w:bCs/>
          <w:color w:val="000000"/>
          <w:sz w:val="32"/>
          <w:szCs w:val="32"/>
        </w:rPr>
        <w:t>三、政策依据</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lang w:eastAsia="zh-CN"/>
        </w:rPr>
        <w:t>（一）</w:t>
      </w:r>
      <w:r>
        <w:rPr>
          <w:rFonts w:hint="eastAsia" w:ascii="仿宋_GB2312" w:hAnsi="仿宋_GB2312" w:eastAsia="仿宋_GB2312" w:cs="宋体"/>
          <w:color w:val="000000"/>
          <w:kern w:val="0"/>
          <w:sz w:val="32"/>
          <w:szCs w:val="32"/>
        </w:rPr>
        <w:t>《国家知识产权局关于印发&lt;推动知识产权高质量发展年度工作指引（2019）&gt;的通知》（国知发运字〔2019〕38号）；</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color w:val="000000"/>
          <w:kern w:val="0"/>
          <w:sz w:val="32"/>
          <w:szCs w:val="32"/>
          <w:lang w:eastAsia="zh-CN"/>
        </w:rPr>
      </w:pPr>
      <w:r>
        <w:rPr>
          <w:rFonts w:hint="eastAsia" w:ascii="仿宋_GB2312" w:hAnsi="仿宋_GB2312" w:eastAsia="仿宋_GB2312" w:cs="宋体"/>
          <w:color w:val="000000"/>
          <w:kern w:val="0"/>
          <w:sz w:val="32"/>
          <w:szCs w:val="32"/>
          <w:lang w:eastAsia="zh-CN"/>
        </w:rPr>
        <w:t>（二）</w:t>
      </w:r>
      <w:r>
        <w:rPr>
          <w:rFonts w:hint="eastAsia" w:ascii="仿宋_GB2312" w:hAnsi="仿宋_GB2312" w:eastAsia="仿宋_GB2312" w:cs="宋体"/>
          <w:color w:val="000000"/>
          <w:kern w:val="0"/>
          <w:sz w:val="32"/>
          <w:szCs w:val="32"/>
        </w:rPr>
        <w:t>《广东省人民政府办公厅关于印发广东省促进中小企业知识产权保护和利用若干政策措施的通知》（粤办函〔2019〕79号）</w:t>
      </w:r>
      <w:r>
        <w:rPr>
          <w:rFonts w:hint="eastAsia" w:ascii="仿宋_GB2312" w:hAnsi="仿宋_GB2312" w:eastAsia="仿宋_GB2312" w:cs="宋体"/>
          <w:color w:val="000000"/>
          <w:kern w:val="0"/>
          <w:sz w:val="32"/>
          <w:szCs w:val="32"/>
          <w:lang w:eastAsia="zh-CN"/>
        </w:rPr>
        <w:t>；</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olor w:val="auto"/>
          <w:sz w:val="32"/>
          <w:szCs w:val="32"/>
        </w:rPr>
      </w:pPr>
      <w:r>
        <w:rPr>
          <w:rFonts w:hint="eastAsia" w:ascii="仿宋_GB2312" w:hAnsi="仿宋_GB2312" w:eastAsia="仿宋_GB2312" w:cs="宋体"/>
          <w:color w:val="auto"/>
          <w:kern w:val="0"/>
          <w:sz w:val="32"/>
          <w:szCs w:val="32"/>
          <w:lang w:eastAsia="zh-CN"/>
        </w:rPr>
        <w:t>（三）《广东省人民政府办公厅印发关于加快推进科技金融深度融合助力科技型企业创新发展实施意见的通知》（粤府办〔2024〕2号）</w:t>
      </w:r>
      <w:r>
        <w:rPr>
          <w:rFonts w:hint="eastAsia" w:ascii="仿宋_GB2312" w:hAnsi="仿宋_GB2312" w:eastAsia="仿宋_GB2312" w:cs="宋体"/>
          <w:color w:val="auto"/>
          <w:kern w:val="0"/>
          <w:sz w:val="32"/>
          <w:szCs w:val="32"/>
        </w:rPr>
        <w:t>。</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黑体" w:hAnsi="黑体" w:eastAsia="黑体"/>
          <w:bCs/>
          <w:color w:val="000000"/>
          <w:sz w:val="32"/>
          <w:szCs w:val="32"/>
        </w:rPr>
      </w:pPr>
      <w:r>
        <w:rPr>
          <w:rFonts w:hint="eastAsia" w:ascii="黑体" w:hAnsi="黑体" w:eastAsia="黑体"/>
          <w:bCs/>
          <w:color w:val="000000"/>
          <w:sz w:val="32"/>
          <w:szCs w:val="32"/>
        </w:rPr>
        <w:t>四、其他事项说明</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s="宋体"/>
          <w:color w:val="0000FF"/>
          <w:kern w:val="0"/>
          <w:sz w:val="32"/>
          <w:szCs w:val="32"/>
        </w:rPr>
      </w:pPr>
      <w:r>
        <w:rPr>
          <w:rFonts w:hint="eastAsia" w:ascii="仿宋_GB2312" w:hAnsi="仿宋_GB2312" w:eastAsia="仿宋_GB2312"/>
          <w:color w:val="000000"/>
          <w:sz w:val="32"/>
          <w:szCs w:val="32"/>
          <w:lang w:eastAsia="zh-CN"/>
        </w:rPr>
        <w:t>（一）</w:t>
      </w:r>
      <w:r>
        <w:rPr>
          <w:rFonts w:hint="eastAsia" w:ascii="仿宋_GB2312" w:hAnsi="仿宋_GB2312" w:eastAsia="仿宋_GB2312"/>
          <w:color w:val="auto"/>
          <w:sz w:val="32"/>
          <w:szCs w:val="32"/>
        </w:rPr>
        <w:t>知识产权质押融资范畴，只定义为专利权、商标权、地理标志</w:t>
      </w:r>
      <w:r>
        <w:rPr>
          <w:rFonts w:hint="eastAsia" w:ascii="仿宋_GB2312" w:hAnsi="仿宋_GB2312" w:eastAsia="仿宋_GB2312"/>
          <w:color w:val="auto"/>
          <w:sz w:val="32"/>
          <w:szCs w:val="32"/>
          <w:lang w:eastAsia="zh-CN"/>
        </w:rPr>
        <w:t>、数据知识产权</w:t>
      </w:r>
      <w:r>
        <w:rPr>
          <w:rFonts w:hint="eastAsia" w:ascii="仿宋_GB2312" w:hAnsi="仿宋_GB2312" w:eastAsia="仿宋_GB2312"/>
          <w:color w:val="auto"/>
          <w:sz w:val="32"/>
          <w:szCs w:val="32"/>
        </w:rPr>
        <w:t>的原因：</w:t>
      </w:r>
      <w:r>
        <w:rPr>
          <w:rFonts w:hint="eastAsia" w:ascii="仿宋_GB2312" w:hAnsi="仿宋_GB2312" w:eastAsia="仿宋_GB2312"/>
          <w:color w:val="000000"/>
          <w:sz w:val="32"/>
          <w:szCs w:val="32"/>
        </w:rPr>
        <w:t>按三定方案，市场监督管理局负责专利权、商标权、地理标志</w:t>
      </w:r>
      <w:r>
        <w:rPr>
          <w:rFonts w:hint="eastAsia" w:ascii="仿宋_GB2312" w:hAnsi="仿宋_GB2312" w:eastAsia="仿宋_GB2312"/>
          <w:color w:val="000000"/>
          <w:sz w:val="32"/>
          <w:szCs w:val="32"/>
          <w:lang w:eastAsia="zh-CN"/>
        </w:rPr>
        <w:t>、数据知识产权</w:t>
      </w:r>
      <w:r>
        <w:rPr>
          <w:rFonts w:hint="eastAsia" w:ascii="仿宋_GB2312" w:hAnsi="仿宋_GB2312" w:eastAsia="仿宋_GB2312"/>
          <w:color w:val="000000"/>
          <w:sz w:val="32"/>
          <w:szCs w:val="32"/>
        </w:rPr>
        <w:t>市场监管工作，不包括著作权、植物新品种</w:t>
      </w:r>
      <w:r>
        <w:rPr>
          <w:rFonts w:hint="eastAsia" w:ascii="仿宋_GB2312" w:hAnsi="仿宋_GB2312" w:eastAsia="仿宋_GB2312" w:cs="宋体"/>
          <w:color w:val="0000FF"/>
          <w:kern w:val="0"/>
          <w:sz w:val="32"/>
          <w:szCs w:val="32"/>
        </w:rPr>
        <w:t>。</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default" w:ascii="仿宋_GB2312" w:hAnsi="仿宋_GB2312" w:eastAsia="仿宋_GB2312" w:cs="宋体"/>
          <w:color w:val="000000"/>
          <w:kern w:val="0"/>
          <w:sz w:val="32"/>
          <w:szCs w:val="32"/>
          <w:lang w:val="en-US"/>
        </w:rPr>
      </w:pPr>
      <w:r>
        <w:rPr>
          <w:rFonts w:hint="eastAsia" w:ascii="仿宋_GB2312" w:hAnsi="仿宋_GB2312" w:eastAsia="仿宋_GB2312"/>
          <w:color w:val="000000"/>
          <w:sz w:val="32"/>
          <w:szCs w:val="32"/>
          <w:lang w:eastAsia="zh-CN"/>
        </w:rPr>
        <w:t>（二）</w:t>
      </w:r>
      <w:r>
        <w:rPr>
          <w:rFonts w:hint="eastAsia" w:ascii="仿宋_GB2312" w:hAnsi="仿宋_GB2312" w:eastAsia="仿宋_GB2312" w:cs="宋体"/>
          <w:color w:val="000000"/>
          <w:kern w:val="0"/>
          <w:sz w:val="32"/>
          <w:szCs w:val="32"/>
          <w:lang w:val="en-US" w:eastAsia="zh-CN"/>
        </w:rPr>
        <w:t>2020年9月24日印发的</w:t>
      </w:r>
      <w:r>
        <w:rPr>
          <w:rFonts w:hint="eastAsia" w:ascii="仿宋_GB2312" w:hAnsi="仿宋_GB2312" w:eastAsia="仿宋_GB2312" w:cs="宋体"/>
          <w:color w:val="000000"/>
          <w:kern w:val="0"/>
          <w:sz w:val="32"/>
          <w:szCs w:val="32"/>
        </w:rPr>
        <w:t>《云浮市知识产权质押融资风险补偿资金管理办法》</w:t>
      </w:r>
      <w:r>
        <w:rPr>
          <w:rFonts w:hint="eastAsia" w:ascii="仿宋_GB2312" w:hAnsi="仿宋_GB2312" w:eastAsia="仿宋_GB2312" w:cs="宋体"/>
          <w:color w:val="000000"/>
          <w:kern w:val="0"/>
          <w:sz w:val="32"/>
          <w:szCs w:val="32"/>
          <w:lang w:val="en-US" w:eastAsia="zh-CN"/>
        </w:rPr>
        <w:t>规定</w:t>
      </w:r>
      <w:r>
        <w:rPr>
          <w:rFonts w:hint="eastAsia" w:ascii="仿宋_GB2312" w:hAnsi="仿宋_GB2312" w:eastAsia="仿宋_GB2312" w:cs="宋体"/>
          <w:color w:val="000000"/>
          <w:kern w:val="0"/>
          <w:sz w:val="32"/>
          <w:szCs w:val="32"/>
        </w:rPr>
        <w:t>在市市场监管部门</w:t>
      </w:r>
      <w:r>
        <w:rPr>
          <w:rFonts w:hint="eastAsia" w:ascii="仿宋_GB2312" w:hAnsi="仿宋_GB2312" w:eastAsia="仿宋_GB2312" w:cs="宋体"/>
          <w:color w:val="000000"/>
          <w:kern w:val="0"/>
          <w:sz w:val="32"/>
          <w:szCs w:val="32"/>
          <w:lang w:val="en-US" w:eastAsia="zh-CN"/>
        </w:rPr>
        <w:t>设立“联席会议及其</w:t>
      </w:r>
      <w:r>
        <w:rPr>
          <w:rFonts w:hint="eastAsia" w:ascii="仿宋_GB2312" w:hAnsi="仿宋_GB2312" w:eastAsia="仿宋_GB2312" w:cs="宋体"/>
          <w:color w:val="000000"/>
          <w:kern w:val="0"/>
          <w:sz w:val="32"/>
          <w:szCs w:val="32"/>
        </w:rPr>
        <w:t>办公室</w:t>
      </w:r>
      <w:r>
        <w:rPr>
          <w:rFonts w:hint="eastAsia" w:ascii="仿宋_GB2312" w:hAnsi="仿宋_GB2312" w:eastAsia="仿宋_GB2312" w:cs="宋体"/>
          <w:color w:val="000000"/>
          <w:kern w:val="0"/>
          <w:sz w:val="32"/>
          <w:szCs w:val="32"/>
          <w:lang w:eastAsia="zh-CN"/>
        </w:rPr>
        <w:t>”</w:t>
      </w:r>
      <w:r>
        <w:rPr>
          <w:rFonts w:hint="eastAsia" w:ascii="仿宋_GB2312" w:hAnsi="仿宋_GB2312" w:eastAsia="仿宋_GB2312" w:cs="宋体"/>
          <w:color w:val="000000"/>
          <w:kern w:val="0"/>
          <w:sz w:val="32"/>
          <w:szCs w:val="32"/>
        </w:rPr>
        <w:t>，</w:t>
      </w:r>
      <w:r>
        <w:rPr>
          <w:rFonts w:hint="eastAsia" w:ascii="仿宋_GB2312" w:hAnsi="仿宋_GB2312" w:eastAsia="仿宋_GB2312" w:cs="宋体"/>
          <w:color w:val="000000"/>
          <w:kern w:val="0"/>
          <w:sz w:val="32"/>
          <w:szCs w:val="32"/>
          <w:lang w:val="en-US" w:eastAsia="zh-CN"/>
        </w:rPr>
        <w:t>依据</w:t>
      </w:r>
      <w:r>
        <w:rPr>
          <w:rFonts w:hint="eastAsia" w:ascii="仿宋_GB2312" w:hAnsi="仿宋_GB2312" w:eastAsia="仿宋_GB2312" w:cs="宋体"/>
          <w:color w:val="000000"/>
          <w:kern w:val="0"/>
          <w:sz w:val="32"/>
          <w:szCs w:val="32"/>
        </w:rPr>
        <w:t>《</w:t>
      </w:r>
      <w:r>
        <w:rPr>
          <w:rFonts w:hint="eastAsia" w:ascii="仿宋_GB2312" w:hAnsi="仿宋_GB2312" w:eastAsia="仿宋_GB2312" w:cs="宋体"/>
          <w:color w:val="000000"/>
          <w:kern w:val="0"/>
          <w:sz w:val="32"/>
          <w:szCs w:val="32"/>
          <w:lang w:val="en-US" w:eastAsia="zh-CN"/>
        </w:rPr>
        <w:t>地方议事协调机构管理办法（实行）</w:t>
      </w:r>
      <w:r>
        <w:rPr>
          <w:rFonts w:hint="eastAsia" w:ascii="仿宋_GB2312" w:hAnsi="仿宋_GB2312" w:eastAsia="仿宋_GB2312" w:cs="宋体"/>
          <w:color w:val="000000"/>
          <w:kern w:val="0"/>
          <w:sz w:val="32"/>
          <w:szCs w:val="32"/>
        </w:rPr>
        <w:t>》</w:t>
      </w:r>
      <w:r>
        <w:rPr>
          <w:rFonts w:hint="eastAsia" w:ascii="仿宋_GB2312" w:hAnsi="仿宋_GB2312" w:eastAsia="仿宋_GB2312" w:cs="宋体"/>
          <w:color w:val="000000"/>
          <w:kern w:val="0"/>
          <w:sz w:val="32"/>
          <w:szCs w:val="32"/>
          <w:lang w:val="en-US" w:eastAsia="zh-CN"/>
        </w:rPr>
        <w:t>第四条“市、县两级原则上不设议事协调机构”的规定，不再设立。</w:t>
      </w:r>
    </w:p>
    <w:p>
      <w:pPr>
        <w:pStyle w:val="18"/>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default" w:ascii="仿宋_GB2312" w:hAnsi="仿宋_GB2312" w:eastAsia="仿宋_GB2312" w:cs="宋体"/>
          <w:color w:val="auto"/>
          <w:kern w:val="0"/>
          <w:sz w:val="32"/>
          <w:szCs w:val="32"/>
          <w:lang w:val="en-US" w:eastAsia="zh-CN"/>
        </w:rPr>
      </w:pPr>
      <w:r>
        <w:rPr>
          <w:rFonts w:hint="eastAsia" w:ascii="仿宋_GB2312" w:hAnsi="仿宋_GB2312" w:eastAsia="仿宋_GB2312"/>
          <w:color w:val="000000"/>
          <w:sz w:val="32"/>
          <w:szCs w:val="32"/>
          <w:lang w:eastAsia="zh-CN"/>
        </w:rPr>
        <w:t>（三）</w:t>
      </w:r>
      <w:r>
        <w:rPr>
          <w:rFonts w:hint="eastAsia" w:ascii="仿宋_GB2312" w:hAnsi="仿宋_GB2312" w:eastAsia="仿宋_GB2312" w:cs="宋体"/>
          <w:color w:val="000000"/>
          <w:kern w:val="0"/>
          <w:sz w:val="32"/>
          <w:szCs w:val="32"/>
        </w:rPr>
        <w:t>制定主体方面：</w:t>
      </w:r>
      <w:r>
        <w:rPr>
          <w:rFonts w:hint="eastAsia" w:ascii="仿宋_GB2312" w:hAnsi="仿宋_GB2312" w:eastAsia="仿宋_GB2312" w:cs="宋体"/>
          <w:color w:val="000000"/>
          <w:kern w:val="0"/>
          <w:sz w:val="32"/>
          <w:szCs w:val="32"/>
          <w:lang w:val="en-US" w:eastAsia="zh-CN"/>
        </w:rPr>
        <w:t>2020年9月24日印发的</w:t>
      </w:r>
      <w:r>
        <w:rPr>
          <w:rFonts w:hint="eastAsia" w:ascii="仿宋_GB2312" w:hAnsi="仿宋_GB2312" w:eastAsia="仿宋_GB2312" w:cs="宋体"/>
          <w:color w:val="000000"/>
          <w:kern w:val="0"/>
          <w:sz w:val="32"/>
          <w:szCs w:val="32"/>
        </w:rPr>
        <w:t>《云浮市知识产权质押融资风险补偿资金管理办法》</w:t>
      </w:r>
      <w:r>
        <w:rPr>
          <w:rFonts w:hint="eastAsia" w:ascii="仿宋_GB2312" w:hAnsi="仿宋_GB2312" w:eastAsia="仿宋_GB2312" w:cs="宋体"/>
          <w:color w:val="000000"/>
          <w:kern w:val="0"/>
          <w:sz w:val="32"/>
          <w:szCs w:val="32"/>
          <w:lang w:eastAsia="zh-CN"/>
        </w:rPr>
        <w:t>（原办法）</w:t>
      </w:r>
      <w:r>
        <w:rPr>
          <w:rFonts w:hint="eastAsia" w:ascii="仿宋_GB2312" w:hAnsi="仿宋_GB2312" w:eastAsia="仿宋_GB2312" w:cs="宋体"/>
          <w:color w:val="000000"/>
          <w:kern w:val="0"/>
          <w:sz w:val="32"/>
          <w:szCs w:val="32"/>
          <w:lang w:val="en-US" w:eastAsia="zh-CN"/>
        </w:rPr>
        <w:t>是由我局牵头，与云浮市财政局、原云浮市金融工作局、中国人民银行云浮市中</w:t>
      </w:r>
      <w:bookmarkStart w:id="1" w:name="_GoBack"/>
      <w:r>
        <w:rPr>
          <w:rFonts w:hint="eastAsia" w:ascii="仿宋_GB2312" w:hAnsi="仿宋_GB2312" w:eastAsia="仿宋_GB2312" w:cs="宋体"/>
          <w:color w:val="000000"/>
          <w:kern w:val="0"/>
          <w:sz w:val="32"/>
          <w:szCs w:val="32"/>
          <w:lang w:val="en-US" w:eastAsia="zh-CN"/>
        </w:rPr>
        <w:t>心支行、原中国银行保险监督管理委员会云浮监管分局共同印发的</w:t>
      </w:r>
      <w:r>
        <w:rPr>
          <w:rFonts w:hint="eastAsia" w:ascii="仿宋_GB2312" w:hAnsi="仿宋_GB2312" w:eastAsia="仿宋_GB2312" w:cs="宋体"/>
          <w:color w:val="000000"/>
          <w:kern w:val="0"/>
          <w:sz w:val="32"/>
          <w:szCs w:val="32"/>
        </w:rPr>
        <w:t>。</w:t>
      </w:r>
      <w:r>
        <w:rPr>
          <w:rFonts w:hint="eastAsia" w:ascii="仿宋_GB2312" w:hAnsi="仿宋_GB2312" w:eastAsia="仿宋_GB2312"/>
          <w:color w:val="auto"/>
          <w:sz w:val="32"/>
        </w:rPr>
        <w:t>《云浮市知识产权质押融资风险补偿资金管理办法》</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lang w:val="en-US" w:eastAsia="zh-CN"/>
        </w:rPr>
        <w:t>2026</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lang w:val="en-US" w:eastAsia="zh-CN"/>
        </w:rPr>
        <w:t>拟由市市场监管局单独制定规范性文件并印发。</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黑体" w:hAnsi="黑体" w:eastAsia="黑体"/>
          <w:bCs/>
          <w:color w:val="000000"/>
          <w:sz w:val="32"/>
          <w:szCs w:val="32"/>
        </w:rPr>
      </w:pPr>
      <w:r>
        <w:rPr>
          <w:rFonts w:hint="eastAsia" w:ascii="黑体" w:hAnsi="黑体" w:eastAsia="黑体"/>
          <w:bCs/>
          <w:color w:val="000000"/>
          <w:sz w:val="32"/>
          <w:szCs w:val="32"/>
        </w:rPr>
        <w:t>五、具体内容</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olor w:val="000000"/>
          <w:sz w:val="32"/>
        </w:rPr>
      </w:pPr>
      <w:r>
        <w:rPr>
          <w:rFonts w:hint="eastAsia" w:ascii="仿宋_GB2312" w:hAnsi="仿宋_GB2312" w:eastAsia="仿宋_GB2312"/>
          <w:color w:val="000000"/>
          <w:sz w:val="32"/>
          <w:szCs w:val="32"/>
        </w:rPr>
        <w:t>《办法》</w:t>
      </w:r>
      <w:r>
        <w:rPr>
          <w:rFonts w:hint="eastAsia" w:ascii="仿宋_GB2312" w:hAnsi="仿宋_GB2312" w:eastAsia="仿宋_GB2312"/>
          <w:color w:val="000000"/>
          <w:sz w:val="32"/>
        </w:rPr>
        <w:t>共2</w:t>
      </w:r>
      <w:r>
        <w:rPr>
          <w:rFonts w:hint="eastAsia" w:ascii="仿宋_GB2312" w:hAnsi="仿宋_GB2312" w:eastAsia="仿宋_GB2312"/>
          <w:color w:val="000000"/>
          <w:sz w:val="32"/>
          <w:lang w:val="en-US" w:eastAsia="zh-CN"/>
        </w:rPr>
        <w:t>6</w:t>
      </w:r>
      <w:r>
        <w:rPr>
          <w:rFonts w:hint="eastAsia" w:ascii="仿宋_GB2312" w:hAnsi="仿宋_GB2312" w:eastAsia="仿宋_GB2312"/>
          <w:color w:val="000000"/>
          <w:sz w:val="32"/>
        </w:rPr>
        <w:t>条：</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olor w:val="000000"/>
          <w:sz w:val="32"/>
        </w:rPr>
      </w:pPr>
      <w:r>
        <w:rPr>
          <w:rFonts w:hint="eastAsia" w:ascii="仿宋_GB2312" w:hAnsi="仿宋_GB2312" w:eastAsia="仿宋_GB2312"/>
          <w:color w:val="000000"/>
          <w:sz w:val="32"/>
        </w:rPr>
        <w:t xml:space="preserve">    第一条  制度本办法的政策依据</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olor w:val="000000"/>
          <w:sz w:val="32"/>
        </w:rPr>
      </w:pPr>
      <w:r>
        <w:rPr>
          <w:rFonts w:hint="eastAsia" w:ascii="仿宋_GB2312" w:hAnsi="仿宋_GB2312" w:eastAsia="仿宋_GB2312"/>
          <w:color w:val="000000"/>
          <w:sz w:val="32"/>
        </w:rPr>
        <w:t xml:space="preserve">    第二条  </w:t>
      </w:r>
      <w:r>
        <w:rPr>
          <w:rFonts w:hint="eastAsia" w:ascii="仿宋_GB2312" w:hAnsi="仿宋_GB2312" w:eastAsia="仿宋_GB2312" w:cs="宋体"/>
          <w:color w:val="000000"/>
          <w:kern w:val="0"/>
          <w:sz w:val="32"/>
          <w:szCs w:val="32"/>
        </w:rPr>
        <w:t>知识产权质押融资</w:t>
      </w:r>
      <w:r>
        <w:rPr>
          <w:rFonts w:hint="eastAsia" w:ascii="仿宋_GB2312" w:hAnsi="仿宋_GB2312" w:eastAsia="仿宋_GB2312"/>
          <w:color w:val="000000"/>
          <w:sz w:val="32"/>
        </w:rPr>
        <w:t>的定义</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olor w:val="000000"/>
          <w:sz w:val="32"/>
        </w:rPr>
      </w:pPr>
      <w:r>
        <w:rPr>
          <w:rFonts w:hint="eastAsia" w:ascii="仿宋_GB2312" w:hAnsi="仿宋_GB2312" w:eastAsia="仿宋_GB2312"/>
          <w:color w:val="000000"/>
          <w:sz w:val="32"/>
        </w:rPr>
        <w:t xml:space="preserve">    第三条  资金构成、合作机构</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olor w:val="000000"/>
          <w:sz w:val="32"/>
        </w:rPr>
      </w:pPr>
      <w:r>
        <w:rPr>
          <w:rFonts w:hint="eastAsia" w:ascii="仿宋_GB2312" w:hAnsi="仿宋_GB2312" w:eastAsia="仿宋_GB2312"/>
          <w:color w:val="000000"/>
          <w:sz w:val="32"/>
        </w:rPr>
        <w:t xml:space="preserve">    第四条  账户管理</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olor w:val="000000"/>
          <w:sz w:val="32"/>
        </w:rPr>
      </w:pPr>
      <w:r>
        <w:rPr>
          <w:rFonts w:hint="eastAsia" w:ascii="仿宋_GB2312" w:hAnsi="仿宋_GB2312" w:eastAsia="仿宋_GB2312"/>
          <w:color w:val="000000"/>
          <w:sz w:val="32"/>
        </w:rPr>
        <w:t xml:space="preserve">    第五至六条  明确管理机构、管理方式和管理职责</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jc w:val="both"/>
        <w:textAlignment w:val="auto"/>
        <w:outlineLvl w:val="9"/>
        <w:rPr>
          <w:rFonts w:hint="eastAsia" w:ascii="仿宋_GB2312" w:hAnsi="仿宋_GB2312" w:eastAsia="仿宋_GB2312"/>
          <w:color w:val="000000"/>
          <w:sz w:val="32"/>
        </w:rPr>
      </w:pPr>
      <w:r>
        <w:rPr>
          <w:rFonts w:hint="eastAsia" w:ascii="仿宋_GB2312" w:hAnsi="仿宋_GB2312" w:eastAsia="仿宋_GB2312"/>
          <w:color w:val="000000"/>
          <w:sz w:val="32"/>
        </w:rPr>
        <w:t xml:space="preserve">    第七条  明确扶</w:t>
      </w:r>
      <w:bookmarkEnd w:id="1"/>
      <w:r>
        <w:rPr>
          <w:rFonts w:hint="eastAsia" w:ascii="仿宋_GB2312" w:hAnsi="仿宋_GB2312" w:eastAsia="仿宋_GB2312"/>
          <w:color w:val="000000"/>
          <w:sz w:val="32"/>
        </w:rPr>
        <w:t>持对象。</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olor w:val="000000"/>
          <w:sz w:val="32"/>
        </w:rPr>
      </w:pPr>
      <w:r>
        <w:rPr>
          <w:rFonts w:hint="eastAsia" w:ascii="仿宋_GB2312" w:hAnsi="仿宋_GB2312" w:eastAsia="仿宋_GB2312"/>
          <w:color w:val="000000"/>
          <w:sz w:val="32"/>
        </w:rPr>
        <w:t>第八至十四条  明确运作方式、项目实施流程</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olor w:val="000000"/>
          <w:sz w:val="32"/>
        </w:rPr>
      </w:pPr>
      <w:r>
        <w:rPr>
          <w:rFonts w:hint="eastAsia" w:ascii="仿宋_GB2312" w:hAnsi="仿宋_GB2312" w:eastAsia="仿宋_GB2312"/>
          <w:color w:val="000000"/>
          <w:sz w:val="32"/>
        </w:rPr>
        <w:t>第十五条至十六条   加强风险控制</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olor w:val="000000"/>
          <w:sz w:val="32"/>
        </w:rPr>
      </w:pPr>
      <w:r>
        <w:rPr>
          <w:rFonts w:hint="eastAsia" w:ascii="仿宋_GB2312" w:hAnsi="仿宋_GB2312" w:eastAsia="仿宋_GB2312"/>
          <w:color w:val="000000"/>
          <w:sz w:val="32"/>
        </w:rPr>
        <w:t>第十七至二十</w:t>
      </w:r>
      <w:r>
        <w:rPr>
          <w:rFonts w:hint="eastAsia" w:ascii="仿宋_GB2312" w:hAnsi="仿宋_GB2312" w:eastAsia="仿宋_GB2312"/>
          <w:color w:val="000000"/>
          <w:sz w:val="32"/>
          <w:lang w:eastAsia="zh-CN"/>
        </w:rPr>
        <w:t>三</w:t>
      </w:r>
      <w:r>
        <w:rPr>
          <w:rFonts w:hint="eastAsia" w:ascii="仿宋_GB2312" w:hAnsi="仿宋_GB2312" w:eastAsia="仿宋_GB2312"/>
          <w:color w:val="000000"/>
          <w:sz w:val="32"/>
        </w:rPr>
        <w:t>条   明确监管部门、合作机构以及贷款企业的职责，加强管理。</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eastAsia" w:ascii="仿宋_GB2312" w:hAnsi="仿宋_GB2312" w:eastAsia="仿宋_GB2312"/>
          <w:color w:val="000000"/>
          <w:sz w:val="32"/>
        </w:rPr>
      </w:pPr>
      <w:r>
        <w:rPr>
          <w:rFonts w:hint="eastAsia" w:ascii="仿宋_GB2312" w:hAnsi="仿宋_GB2312" w:eastAsia="仿宋_GB2312"/>
          <w:color w:val="000000"/>
          <w:sz w:val="32"/>
        </w:rPr>
        <w:t>第二十</w:t>
      </w:r>
      <w:r>
        <w:rPr>
          <w:rFonts w:hint="eastAsia" w:ascii="仿宋_GB2312" w:hAnsi="仿宋_GB2312" w:eastAsia="仿宋_GB2312"/>
          <w:color w:val="000000"/>
          <w:sz w:val="32"/>
          <w:lang w:eastAsia="zh-CN"/>
        </w:rPr>
        <w:t>四</w:t>
      </w:r>
      <w:r>
        <w:rPr>
          <w:rFonts w:hint="eastAsia" w:ascii="仿宋_GB2312" w:hAnsi="仿宋_GB2312" w:eastAsia="仿宋_GB2312"/>
          <w:color w:val="000000"/>
          <w:sz w:val="32"/>
        </w:rPr>
        <w:t>至二十</w:t>
      </w:r>
      <w:r>
        <w:rPr>
          <w:rFonts w:hint="eastAsia" w:ascii="仿宋_GB2312" w:hAnsi="仿宋_GB2312" w:eastAsia="仿宋_GB2312"/>
          <w:color w:val="000000"/>
          <w:sz w:val="32"/>
          <w:lang w:eastAsia="zh-CN"/>
        </w:rPr>
        <w:t>六</w:t>
      </w:r>
      <w:r>
        <w:rPr>
          <w:rFonts w:hint="eastAsia" w:ascii="仿宋_GB2312" w:hAnsi="仿宋_GB2312" w:eastAsia="仿宋_GB2312"/>
          <w:color w:val="000000"/>
          <w:sz w:val="32"/>
        </w:rPr>
        <w:t xml:space="preserve">条  </w:t>
      </w:r>
      <w:r>
        <w:rPr>
          <w:rFonts w:hint="eastAsia" w:ascii="仿宋_GB2312" w:hAnsi="仿宋_GB2312" w:eastAsia="仿宋_GB2312" w:cs="仿宋"/>
          <w:color w:val="000000"/>
          <w:sz w:val="32"/>
          <w:szCs w:val="32"/>
        </w:rPr>
        <w:t>明确本办法的实施时间、解释权。</w:t>
      </w:r>
    </w:p>
    <w:p>
      <w:pPr>
        <w:rPr>
          <w:rFonts w:hint="eastAsia" w:ascii="仿宋" w:hAnsi="仿宋" w:eastAsia="仿宋" w:cs="仿宋"/>
          <w:sz w:val="28"/>
          <w:szCs w:val="28"/>
        </w:rPr>
      </w:pP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Align="top"/>
      <w:pBdr>
        <w:top w:val="none" w:color="auto" w:sz="0" w:space="0"/>
        <w:left w:val="none" w:color="auto" w:sz="0" w:space="0"/>
        <w:bottom w:val="none" w:color="auto" w:sz="0" w:space="0"/>
        <w:right w:val="none" w:color="auto" w:sz="0" w:space="0"/>
        <w:between w:val="none" w:color="auto" w:sz="0" w:space="0"/>
      </w:pBdr>
      <w:spacing w:after="0" w:afterLines="0"/>
      <w:rPr>
        <w:rFonts w:hint="eastAsia" w:ascii="宋体" w:hAnsi="宋体" w:eastAsia="宋体"/>
        <w:sz w:val="24"/>
      </w:rPr>
    </w:pPr>
    <w:r>
      <w:rPr>
        <w:rFonts w:hint="eastAsia" w:ascii="宋体" w:hAnsi="宋体" w:eastAsia="宋体"/>
        <w:sz w:val="24"/>
      </w:rPr>
      <w:fldChar w:fldCharType="begin"/>
    </w:r>
    <w:r>
      <w:rPr>
        <w:rStyle w:val="6"/>
        <w:rFonts w:hint="eastAsia" w:ascii="宋体" w:hAnsi="宋体" w:eastAsia="宋体"/>
        <w:sz w:val="24"/>
      </w:rPr>
      <w:instrText xml:space="preserve"> PAGE  </w:instrText>
    </w:r>
    <w:r>
      <w:rPr>
        <w:rFonts w:hint="eastAsia" w:ascii="宋体" w:hAnsi="宋体" w:eastAsia="宋体"/>
        <w:sz w:val="24"/>
      </w:rPr>
      <w:fldChar w:fldCharType="separate"/>
    </w:r>
    <w:r>
      <w:rPr>
        <w:rStyle w:val="6"/>
        <w:rFonts w:hint="eastAsia" w:ascii="宋体" w:hAnsi="宋体" w:eastAsia="宋体"/>
        <w:sz w:val="24"/>
      </w:rPr>
      <w:t>- 1 -</w:t>
    </w:r>
    <w:r>
      <w:rPr>
        <w:rFonts w:hint="eastAsia" w:ascii="宋体" w:hAnsi="宋体" w:eastAsia="宋体"/>
        <w:sz w:val="24"/>
      </w:rPr>
      <w:fldChar w:fldCharType="end"/>
    </w:r>
  </w:p>
  <w:p>
    <w:pPr>
      <w:pStyle w:val="2"/>
      <w:ind w:right="360" w:firstLine="360" w:firstLineChars="0"/>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2"/>
                      <w:rPr>
                        <w:rFonts w:hint="eastAsia"/>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D991D27"/>
    <w:rsid w:val="35DE69B4"/>
    <w:rsid w:val="499D74BF"/>
    <w:rsid w:val="7B632B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 w:type="paragraph" w:customStyle="1" w:styleId="7">
    <w:name w:val="正文 New New New New New"/>
    <w:uiPriority w:val="0"/>
    <w:pPr>
      <w:widowControl w:val="0"/>
      <w:jc w:val="both"/>
    </w:pPr>
    <w:rPr>
      <w:rFonts w:ascii="Times New Roman" w:hAnsi="Times New Roman" w:eastAsia="仿宋_GB2312" w:cs="黑体"/>
      <w:kern w:val="2"/>
      <w:sz w:val="32"/>
      <w:szCs w:val="24"/>
      <w:lang w:val="en-US" w:eastAsia="zh-CN"/>
    </w:rPr>
  </w:style>
  <w:style w:type="paragraph" w:customStyle="1" w:styleId="8">
    <w:name w:val="正文 New New New New"/>
    <w:uiPriority w:val="0"/>
    <w:pPr>
      <w:widowControl w:val="0"/>
      <w:jc w:val="both"/>
    </w:pPr>
    <w:rPr>
      <w:rFonts w:ascii="Times New Roman" w:hAnsi="Times New Roman" w:eastAsia="宋体" w:cs="Times New Roman"/>
      <w:kern w:val="2"/>
      <w:sz w:val="21"/>
      <w:szCs w:val="24"/>
      <w:lang w:val="en-US" w:eastAsia="zh-CN"/>
    </w:rPr>
  </w:style>
  <w:style w:type="paragraph" w:customStyle="1" w:styleId="9">
    <w:name w:val="p0"/>
    <w:basedOn w:val="1"/>
    <w:uiPriority w:val="0"/>
    <w:pPr>
      <w:widowControl/>
    </w:pPr>
    <w:rPr>
      <w:kern w:val="0"/>
      <w:szCs w:val="21"/>
    </w:rPr>
  </w:style>
  <w:style w:type="paragraph" w:customStyle="1" w:styleId="10">
    <w:name w:val="正文 New New New New New New New New New New"/>
    <w:qFormat/>
    <w:uiPriority w:val="0"/>
    <w:pPr>
      <w:jc w:val="both"/>
    </w:pPr>
    <w:rPr>
      <w:rFonts w:ascii="Calibri" w:hAnsi="Calibri" w:eastAsia="宋体" w:cs="Times New Roman"/>
      <w:kern w:val="2"/>
      <w:sz w:val="21"/>
      <w:szCs w:val="24"/>
      <w:lang w:val="en-US" w:eastAsia="zh-CN" w:bidi="ar-SA"/>
    </w:rPr>
  </w:style>
  <w:style w:type="paragraph" w:customStyle="1" w:styleId="11">
    <w:name w:val="p0 New"/>
    <w:uiPriority w:val="0"/>
    <w:rPr>
      <w:rFonts w:ascii="Times New Roman" w:hAnsi="Times New Roman" w:eastAsia="宋体" w:cs="Times New Roman"/>
      <w:sz w:val="32"/>
      <w:szCs w:val="32"/>
      <w:lang w:val="en-US" w:eastAsia="zh-CN" w:bidi="ar-SA"/>
    </w:rPr>
  </w:style>
  <w:style w:type="paragraph" w:customStyle="1" w:styleId="12">
    <w:name w:val="正文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正文 New New New New New New New"/>
    <w:uiPriority w:val="0"/>
    <w:pPr>
      <w:jc w:val="both"/>
    </w:pPr>
    <w:rPr>
      <w:rFonts w:ascii="Calibri" w:hAnsi="Calibri" w:eastAsia="宋体" w:cs="Times New Roman"/>
      <w:kern w:val="2"/>
      <w:sz w:val="21"/>
      <w:szCs w:val="24"/>
      <w:lang w:val="en-US" w:eastAsia="zh-CN" w:bidi="ar-SA"/>
    </w:rPr>
  </w:style>
  <w:style w:type="paragraph" w:customStyle="1" w:styleId="14">
    <w:name w:val="UserStyle_7"/>
    <w:basedOn w:val="15"/>
    <w:link w:val="25"/>
    <w:uiPriority w:val="0"/>
    <w:pPr>
      <w:spacing w:after="160" w:afterLines="0" w:line="240" w:lineRule="exact"/>
      <w:jc w:val="left"/>
    </w:pPr>
  </w:style>
  <w:style w:type="paragraph" w:customStyle="1" w:styleId="15">
    <w:name w:val="正文 New New New New New New New New New"/>
    <w:uiPriority w:val="0"/>
    <w:pPr>
      <w:jc w:val="both"/>
    </w:pPr>
    <w:rPr>
      <w:rFonts w:ascii="Calibri" w:hAnsi="Calibri" w:eastAsia="宋体" w:cs="Times New Roman"/>
      <w:kern w:val="2"/>
      <w:sz w:val="21"/>
      <w:szCs w:val="24"/>
      <w:lang w:val="en-US" w:eastAsia="zh-CN" w:bidi="ar-SA"/>
    </w:rPr>
  </w:style>
  <w:style w:type="paragraph" w:customStyle="1" w:styleId="16">
    <w:name w:val="默认段落字体 Para Char Char Char Char Char Char Char Char Char Char"/>
    <w:basedOn w:val="13"/>
    <w:qFormat/>
    <w:uiPriority w:val="0"/>
    <w:pPr>
      <w:widowControl w:val="0"/>
    </w:pPr>
  </w:style>
  <w:style w:type="paragraph" w:customStyle="1" w:styleId="17">
    <w:name w:val="普通(网站) New New"/>
    <w:basedOn w:val="10"/>
    <w:qFormat/>
    <w:uiPriority w:val="0"/>
    <w:pPr>
      <w:widowControl w:val="0"/>
    </w:pPr>
    <w:rPr>
      <w:sz w:val="24"/>
    </w:rPr>
  </w:style>
  <w:style w:type="paragraph" w:customStyle="1" w:styleId="18">
    <w:name w:val="Normal"/>
    <w:uiPriority w:val="0"/>
    <w:pPr>
      <w:widowControl w:val="0"/>
      <w:jc w:val="both"/>
    </w:pPr>
    <w:rPr>
      <w:rFonts w:hint="eastAsia" w:ascii="Calibri" w:hAnsi="Calibri" w:eastAsia="宋体" w:cs="Times New Roman"/>
      <w:kern w:val="2"/>
      <w:sz w:val="21"/>
      <w:lang w:val="en-US" w:eastAsia="zh-CN" w:bidi="ar-SA"/>
    </w:rPr>
  </w:style>
  <w:style w:type="paragraph" w:customStyle="1" w:styleId="19">
    <w:name w:val="正文 New New New"/>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20">
    <w:name w:val="正文 New New New New New New"/>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21">
    <w:name w:val="正文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正文 New New New New New New New New"/>
    <w:uiPriority w:val="0"/>
    <w:pPr>
      <w:widowControl w:val="0"/>
      <w:jc w:val="both"/>
    </w:pPr>
    <w:rPr>
      <w:rFonts w:ascii="Times New Roman" w:hAnsi="Times New Roman" w:eastAsia="宋体" w:cs="黑体"/>
      <w:kern w:val="2"/>
      <w:sz w:val="21"/>
      <w:szCs w:val="24"/>
      <w:lang w:val="en-US" w:eastAsia="zh-CN"/>
    </w:rPr>
  </w:style>
  <w:style w:type="paragraph" w:customStyle="1" w:styleId="23">
    <w:name w:val="正文 New New New New New New New New New New New"/>
    <w:uiPriority w:val="0"/>
    <w:pPr>
      <w:widowControl w:val="0"/>
      <w:jc w:val="both"/>
    </w:pPr>
    <w:rPr>
      <w:rFonts w:ascii="Times New Roman" w:hAnsi="Times New Roman" w:eastAsia="仿宋_GB2312" w:cs="黑体"/>
      <w:kern w:val="2"/>
      <w:sz w:val="32"/>
      <w:szCs w:val="24"/>
      <w:lang w:val="en-US" w:eastAsia="zh-CN"/>
    </w:rPr>
  </w:style>
  <w:style w:type="character" w:customStyle="1" w:styleId="24">
    <w:name w:val="超链接 New"/>
    <w:basedOn w:val="5"/>
    <w:uiPriority w:val="0"/>
    <w:rPr>
      <w:color w:val="0000FF"/>
      <w:u w:val="single"/>
    </w:rPr>
  </w:style>
  <w:style w:type="character" w:customStyle="1" w:styleId="25">
    <w:name w:val="NormalCharacter"/>
    <w:link w:val="14"/>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260</Words>
  <Characters>1482</Characters>
  <Lines>12</Lines>
  <Paragraphs>3</Paragraphs>
  <TotalTime>10</TotalTime>
  <ScaleCrop>false</ScaleCrop>
  <LinksUpToDate>false</LinksUpToDate>
  <CharactersWithSpaces>1739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2020-09-11T01:44:00Z</dcterms:created>
  <dc:creator>Administrator</dc:creator>
  <cp:lastModifiedBy>张建</cp:lastModifiedBy>
  <cp:lastPrinted>2020-05-18T09:08:00Z</cp:lastPrinted>
  <dcterms:modified xsi:type="dcterms:W3CDTF">2026-10-19T07:47:49Z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