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880" w:firstLineChars="200"/>
        <w:jc w:val="center"/>
        <w:textAlignment w:val="auto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云浮市职称评审业务指南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0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000000"/>
          <w:kern w:val="0"/>
          <w:sz w:val="30"/>
          <w:szCs w:val="30"/>
        </w:rPr>
        <w:t>一、办理材料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申报人应根据自己的专业技术岗位，对照国家、省的职称政策及相应资格条件，如实填报并一次性提交全部申报材料。除另有规定的专业外，申报材料的时效截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止到本评审年度的12月31日，截止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后取得的业绩成果、学术成果、学历（学位）等，不作为评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审的有效材料。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申报评审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除网上申报外还需提交以下纸质材料，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纸质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须与网上申报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填写内容一致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先在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广东省专业技术人才职称管理系统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”提交网上申报材料，后根据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整理纸质材料，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复印件需加盖单位公章和由审核人签名确认，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原件在材料审核时一并出示给工作人员查验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）：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级职称送评材料目录单》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（表一）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，粘贴于送评材料文件袋正面上。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2.《广东省专业技术资格评审表》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（表二）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《广东省专业技术人才职称管理系统》填报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后自动生成并下载打印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不可单独使用附件中表格填报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本表共16页，用A4纸双面打印，其结构、字体、字号不予改变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下载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的表格如出现不整齐或跨页等问题，需手工进行调整，以便美观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跨页问题请严格按附加页格式整理（例：下载的表格第1页因填写内容过多，自动跨页成2页，那么则需调整页码为“第1-1页共16页”“第1-2页共16页”，其他页面超出也以此类推“第2-1页共16页”“第2-2页共16页”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3.《专业技术资格申报人基本情况及评审登记表》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（表三）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，数量按本表说明，不用装订。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4.《证书、证明材料》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（表四）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按分类粘贴相关证书材料，装订成册。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包括学历（学位）证书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（复印件）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专业技术资格（职称）证书（复印件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如无则无需提供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继续教育证书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原件或复印件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与个人经历相同的连续半年以上的社保凭证或人事主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管部门（档案保管部门）出具的在职证明等相关在职在岗证明材料（原件）。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非公有制企业（单位）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需提交工商营业执照副本复印件。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《业绩、成果材料》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（表五）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，按分类装订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成册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提交的材料应与《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表二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》《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表三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》所填内容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相对应，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包括《获奖材料》《科研成果、专利材料》《论文、论著材料》《其他业绩成果材料》。对照所申报的职称条件，提交任现职以来的专业技术工作经历和业绩、成果材料，包括论文、著作、奖励等证书、证明及其他辅助证明材料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论文须提交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原件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和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highlight w:val="none"/>
        </w:rPr>
        <w:t>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各一份，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复印件剔除与本人无关内容，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提交与本人相关刊物的封面、封底、目录、本人论文正文页（内容应齐全）即可。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6.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《贴职称证相片、身份证复印件页》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（表六）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1份，不用装订。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复印正反面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7.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《广东省专业技术人员申报专业技术资格评前公示情况表》（原件）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（表七）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1份，不用装订。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8.任现职以来的专业技术工作总结（原件）1份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，中级2000字以上、初级1500字以上，双面打印，单独装订，须单位审核盖章。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9.《年度考核材料》或《专业技术人员年度（任职期满）考核登记表》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ascii="仿宋_GB2312" w:hAnsi="宋体" w:eastAsia="仿宋_GB2312" w:cs="宋体"/>
          <w:b/>
          <w:bCs/>
          <w:color w:val="auto"/>
          <w:kern w:val="0"/>
          <w:sz w:val="32"/>
          <w:szCs w:val="32"/>
        </w:rPr>
        <w:t>由申报人所在工作单位提交）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，提交各年度考核表格复印件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（对照资格条件，按申报相应层级职称学历、资历条件要求的最低年限提供）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或聘任期满考核表，须单位审核盖章。装订成册。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.实行行业准入或上岗资格的专业，申报人须提交相应的从业、职业（执业）资格证或上岗证（复印件）。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高技能人才申报贯通评审专业技术职称，需提供职业技能等级证书（复印件）。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0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宋体"/>
          <w:color w:val="auto"/>
          <w:kern w:val="0"/>
          <w:sz w:val="30"/>
          <w:szCs w:val="30"/>
        </w:rPr>
        <w:t>二、评审业务办理程序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个人提出申请→用人单位审核申报材料、考核、公示、推荐→主管部门或职称申报点审核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→报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用人单位所在地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人社部门审核→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材料送相应职称评委会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→评委会评审→评审结果公示</w:t>
      </w:r>
      <w:r>
        <w:rPr>
          <w:rFonts w:hint="eastAsia" w:ascii="仿宋_GB2312" w:hAnsi="微软雅黑" w:eastAsia="仿宋_GB2312"/>
          <w:color w:val="000000" w:themeColor="text1"/>
          <w:kern w:val="2"/>
          <w:sz w:val="32"/>
          <w:szCs w:val="32"/>
        </w:rPr>
        <w:t>（不少于5个工作日）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→人社部门核准发证、清退申报材料。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非公有制组织、社会组织的专业技术人员申报职称评审，由工作单位履行审核、公示、推荐等程序，申报材料由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工作单位所属人力资源和社会保障部门职称申报点负责受理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。自由职业者申报职称评审，可由人事代理机构或行业性社会组织等履行审核、公示、推荐等程序，申报材料由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工作单位所属人力资源和社会保障部门职称申报点负责受理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我市申报高级职称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中小学教师除外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及需委托市外评委会评审的中、初级申报材料，须按评委会受理时间提前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个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工作日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市人社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局专业技术人员管理科审核。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自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2016年起，我市职称评审工作启用《广东省专业技术人才职称管理系统》（网址：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https://ggfw.hrss.gd.gov.cn/gdweb/ggfw/web/pub/ggfwzyjs.do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），除省另有规定的行业外，专业技术人员应先通过该网上申报系统申报评审，并同时提交纸质申报材料。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三、办理途径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1.各企事业单位专业技术人才应通过其所在单位申报；已在各级人才市场办理人事代理的，也可经所在单位同意，通过各级人才市场申报。</w:t>
      </w:r>
      <w:bookmarkStart w:id="0" w:name="_Hlk49330665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非公有制组织、社会组织专业技术人才其申报材料经用人单位推荐、申报点受理审核后按规定程序报送评委会；自由职业者申报职称评审，可由人事代理机构或行业性社会组织等履行审核、公示、推荐等程序，经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所在地人社局职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称申报点受理审核后按规定程序报送评委会。</w:t>
      </w:r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2.对个别专业的职称市内不能评审，需委托市外评委会评审的，送审前申报材料须经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市人社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局专业技术人员管理科审核并出具委托函，以便进行评审结果确认。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四、办理时间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每年集中申报和评审一次，具体时间按照省、市年度评审工作通知执行。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、咨询电话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市人社局专技科：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0766-8869061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云城区人社局专技股：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0766-8829926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云安区人社局事业和专技股：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0766-861315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罗定市人社局专技股：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0766-3725350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新兴县人社局专技股：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0766-2921983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郁南县人社局专技股：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0766-7330126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、评审收费标准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高级收费标准为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580元/人；中级收费标准为450元/人；初级收费标准为280元/人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；高级专业技术资格考试费每人100元（对需要考试的人员收取）、答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辩费每人140元（对需要答辩的人员收取）、论著鉴定费每人200元（对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需要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进行论著鉴定的人员收取）。收费依据：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《关于转发省物价局、省财政厅〈关于调整专业技术资格评审费标准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的复函〉的通知》（粤人发〔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  <w:highlight w:val="none"/>
        </w:rPr>
        <w:t>2007〕35号）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。对申报评审人员收取的费用，不论评委会评审结果通过与否，所缴费用一律不予退还。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、表格下载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firstLine="640" w:firstLineChars="200"/>
        <w:textAlignment w:val="auto"/>
        <w:rPr>
          <w:color w:val="auto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《广东省职称评审表》（表二）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须在职称系统完成填报后生成下载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并打印（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若自动生成评审表格式框架不规范，请自行调整后再提交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未按要求操作，影响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"/>
        </w:rPr>
        <w:t>评审结果的自行承担后果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宋体"/>
          <w:color w:val="auto"/>
          <w:spacing w:val="-20"/>
          <w:kern w:val="0"/>
          <w:sz w:val="32"/>
          <w:szCs w:val="32"/>
        </w:rPr>
        <w:t>其余评审相关表格可在《广东省专业技术人才职称管理系统》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（https://ggfw.hrss.gd.gov.cn/gdweb/ggfw/web/pub/ggfwzyjs.do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）“文件下载”栏目下载。</w:t>
      </w:r>
    </w:p>
    <w:sectPr>
      <w:pgSz w:w="11906" w:h="16838"/>
      <w:pgMar w:top="1797" w:right="1440" w:bottom="1440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kMWMwYzc2Njk3ZWYwMDllNDVlMWQzNzM5ODM5MGUifQ=="/>
  </w:docVars>
  <w:rsids>
    <w:rsidRoot w:val="00CB7104"/>
    <w:rsid w:val="00104E57"/>
    <w:rsid w:val="002C7DEF"/>
    <w:rsid w:val="00546B0D"/>
    <w:rsid w:val="005721AA"/>
    <w:rsid w:val="00681C1C"/>
    <w:rsid w:val="006C1A45"/>
    <w:rsid w:val="006F4F7D"/>
    <w:rsid w:val="00847FF9"/>
    <w:rsid w:val="0089369B"/>
    <w:rsid w:val="008D41C9"/>
    <w:rsid w:val="00CB7104"/>
    <w:rsid w:val="00D86594"/>
    <w:rsid w:val="00DA43E9"/>
    <w:rsid w:val="00F87D0E"/>
    <w:rsid w:val="014001AC"/>
    <w:rsid w:val="053F67FE"/>
    <w:rsid w:val="05706FFD"/>
    <w:rsid w:val="0C031032"/>
    <w:rsid w:val="0D653CE9"/>
    <w:rsid w:val="1990274E"/>
    <w:rsid w:val="1BDB0DA5"/>
    <w:rsid w:val="1CBE35E5"/>
    <w:rsid w:val="20F45086"/>
    <w:rsid w:val="23EF47E5"/>
    <w:rsid w:val="26BB1EFF"/>
    <w:rsid w:val="26CF2050"/>
    <w:rsid w:val="29503FB2"/>
    <w:rsid w:val="2A8860D0"/>
    <w:rsid w:val="2B471FB3"/>
    <w:rsid w:val="2E0F0FB9"/>
    <w:rsid w:val="2EC35DCA"/>
    <w:rsid w:val="2FE53B49"/>
    <w:rsid w:val="30777609"/>
    <w:rsid w:val="33E96CC6"/>
    <w:rsid w:val="37B7401D"/>
    <w:rsid w:val="3823071A"/>
    <w:rsid w:val="3A922B1F"/>
    <w:rsid w:val="3A9D5FE2"/>
    <w:rsid w:val="40E94A0D"/>
    <w:rsid w:val="40ED7A77"/>
    <w:rsid w:val="471C5C4A"/>
    <w:rsid w:val="48F57A71"/>
    <w:rsid w:val="49534B0A"/>
    <w:rsid w:val="4D720E04"/>
    <w:rsid w:val="4E345F70"/>
    <w:rsid w:val="4ED236ED"/>
    <w:rsid w:val="4F160A04"/>
    <w:rsid w:val="51497F84"/>
    <w:rsid w:val="51CB7002"/>
    <w:rsid w:val="51CD78BB"/>
    <w:rsid w:val="56B55774"/>
    <w:rsid w:val="56F3530E"/>
    <w:rsid w:val="570E3E02"/>
    <w:rsid w:val="58C90389"/>
    <w:rsid w:val="5C284387"/>
    <w:rsid w:val="5CED1228"/>
    <w:rsid w:val="5EDB1643"/>
    <w:rsid w:val="5F891239"/>
    <w:rsid w:val="605D0F75"/>
    <w:rsid w:val="61D32F25"/>
    <w:rsid w:val="640163D1"/>
    <w:rsid w:val="640E2D6F"/>
    <w:rsid w:val="65681D8A"/>
    <w:rsid w:val="65A74E21"/>
    <w:rsid w:val="65C5522C"/>
    <w:rsid w:val="668F01D5"/>
    <w:rsid w:val="67523BFC"/>
    <w:rsid w:val="696C4D44"/>
    <w:rsid w:val="69772DF3"/>
    <w:rsid w:val="69972DB0"/>
    <w:rsid w:val="69A80C2B"/>
    <w:rsid w:val="6C4C04D0"/>
    <w:rsid w:val="6CBF7A44"/>
    <w:rsid w:val="6E057A20"/>
    <w:rsid w:val="6F3A09FD"/>
    <w:rsid w:val="74647AF7"/>
    <w:rsid w:val="756B7C19"/>
    <w:rsid w:val="78B039E4"/>
    <w:rsid w:val="7BAE4FEF"/>
    <w:rsid w:val="7CED1FC8"/>
    <w:rsid w:val="7E663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13c57df6-e8c4-4292-a1d0-318a2bd5410e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62876DAB</paraID>
      <start>3</start>
      <end>4</end>
      <status>modified</status>
      <modifiedWord>（</modifiedWord>
      <trackRevisions>false</trackRevisions>
    </reviewItem>
    <reviewItem>
      <errorID>91484d3c-b19d-4a85-82c4-c69c57338094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62876DAB</paraID>
      <start>6</start>
      <end>7</end>
      <status>modified</status>
      <modifiedWord>）</modifiedWord>
      <trackRevisions>false</trackRevisions>
    </reviewItem>
    <reviewItem>
      <errorID>75157520-1d1f-400e-9f3e-053a63465671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29EB23BB</paraID>
      <start>107</start>
      <end>109</end>
      <status>modified</status>
      <modifiedWord>需要</modifiedWord>
      <trackRevisions>false</trackRevisions>
    </reviewItem>
    <reviewItem>
      <errorID>9d0821ec-273f-46b6-8b28-bd5db1b0eacc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61B1DA33</paraID>
      <start>32</start>
      <end>33</end>
      <status>modified</status>
      <modifiedWord>（</modifiedWord>
      <trackRevisions>false</trackRevisions>
    </reviewItem>
    <reviewItem>
      <errorID>19d22929-1e4e-43e8-ab94-ec8739f93b53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61B1DA33</paraID>
      <start>58</start>
      <end>59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c09f24-d3ed-4550-a24a-5511cd65af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2402</Words>
  <Characters>2638</Characters>
  <Lines>19</Lines>
  <Paragraphs>5</Paragraphs>
  <TotalTime>26</TotalTime>
  <ScaleCrop>false</ScaleCrop>
  <LinksUpToDate>false</LinksUpToDate>
  <CharactersWithSpaces>2640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2020-08-25T08:44:00Z</dcterms:created>
  <dc:creator>Administrator</dc:creator>
  <cp:lastModifiedBy>吴湘湘</cp:lastModifiedBy>
  <cp:lastPrinted>2025-12-18T08:56:00Z</cp:lastPrinted>
  <dcterms:modified xsi:type="dcterms:W3CDTF">2025-12-29T00:22:27Z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740E8D9251DE4D30B3E82F724D55875D</vt:lpwstr>
  </property>
  <property fmtid="{D5CDD505-2E9C-101B-9397-08002B2CF9AE}" pid="4" name="KSOTemplateDocerSaveRecord">
    <vt:lpwstr>eyJoZGlkIjoiNDBkMWMwYzc2Njk3ZWYwMDllNDVlMWQzNzM5ODM5MGUiLCJ1c2VySWQiOiIyNzc1NjM3MiJ9</vt:lpwstr>
  </property>
</Properties>
</file>