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44"/>
          <w:szCs w:val="44"/>
        </w:rPr>
      </w:pPr>
    </w:p>
    <w:p>
      <w:pPr>
        <w:jc w:val="center"/>
        <w:rPr>
          <w:b/>
          <w:bCs/>
          <w:sz w:val="44"/>
          <w:szCs w:val="44"/>
        </w:rPr>
      </w:pPr>
      <w:r>
        <w:rPr>
          <w:b/>
          <w:bCs/>
          <w:sz w:val="44"/>
          <w:szCs w:val="44"/>
        </w:rPr>
        <w:t>不合格报告说明</w:t>
      </w:r>
    </w:p>
    <w:p>
      <w:pPr>
        <w:rPr>
          <w:rFonts w:hint="eastAsia"/>
          <w:sz w:val="24"/>
        </w:rPr>
      </w:pPr>
      <w:r>
        <w:rPr>
          <w:rFonts w:hint="eastAsia"/>
          <w:sz w:val="24"/>
        </w:rPr>
        <w:t>检验报告书编号：JQT25FC04079</w:t>
      </w:r>
      <w:r>
        <w:rPr>
          <w:rFonts w:hint="eastAsia"/>
          <w:sz w:val="24"/>
        </w:rPr>
        <w:tab/>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吡唑醚菌酯</w:t>
            </w:r>
          </w:p>
        </w:tc>
        <w:tc>
          <w:tcPr>
            <w:tcW w:w="1418" w:type="dxa"/>
            <w:vAlign w:val="center"/>
          </w:tcPr>
          <w:p>
            <w:pPr>
              <w:jc w:val="center"/>
              <w:rPr>
                <w:rFonts w:hint="eastAsia"/>
                <w:szCs w:val="21"/>
                <w:lang w:val="en-US" w:eastAsia="zh-CN"/>
              </w:rPr>
            </w:pPr>
            <w:r>
              <w:rPr>
                <w:rFonts w:hint="eastAsia"/>
                <w:szCs w:val="21"/>
                <w:lang w:val="en-US" w:eastAsia="zh-CN"/>
              </w:rPr>
              <w:t>农药残留</w:t>
            </w:r>
          </w:p>
        </w:tc>
        <w:tc>
          <w:tcPr>
            <w:tcW w:w="1842" w:type="dxa"/>
            <w:vAlign w:val="center"/>
          </w:tcPr>
          <w:p>
            <w:pPr>
              <w:jc w:val="center"/>
              <w:rPr>
                <w:rFonts w:hint="eastAsia"/>
                <w:szCs w:val="21"/>
                <w:lang w:val="en-US" w:eastAsia="zh-CN"/>
              </w:rPr>
            </w:pPr>
            <w:r>
              <w:rPr>
                <w:rFonts w:hint="eastAsia"/>
                <w:szCs w:val="21"/>
                <w:lang w:val="en-US" w:eastAsia="zh-CN"/>
              </w:rPr>
              <w:t>0.24mg/kg</w:t>
            </w:r>
          </w:p>
        </w:tc>
        <w:tc>
          <w:tcPr>
            <w:tcW w:w="1843" w:type="dxa"/>
            <w:vAlign w:val="center"/>
          </w:tcPr>
          <w:p>
            <w:pPr>
              <w:jc w:val="center"/>
              <w:rPr>
                <w:rFonts w:hint="eastAsia"/>
                <w:szCs w:val="21"/>
                <w:lang w:val="en-US" w:eastAsia="zh-CN"/>
              </w:rPr>
            </w:pPr>
            <w:r>
              <w:rPr>
                <w:rFonts w:hint="eastAsia"/>
                <w:szCs w:val="21"/>
                <w:lang w:val="en-US" w:eastAsia="zh-CN"/>
              </w:rPr>
              <w:t>≤0.1mg/kg</w:t>
            </w:r>
          </w:p>
        </w:tc>
        <w:tc>
          <w:tcPr>
            <w:tcW w:w="3260"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蔬菜中检出超标的农药残留，与蔬菜生长期间农药使用剂量未严格控制或在停用农药后短期内马上采收上市等原因有关。</w:t>
            </w:r>
          </w:p>
        </w:tc>
        <w:tc>
          <w:tcPr>
            <w:tcW w:w="332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吡唑醚菌酯为甲氧基丙烯酸酯类广谱杀菌剂，为线粒体呼吸抑制剂，对作物病害具有保护、治疗和根治作用。</w:t>
            </w:r>
          </w:p>
        </w:tc>
        <w:tc>
          <w:tcPr>
            <w:tcW w:w="1106" w:type="dxa"/>
            <w:vAlign w:val="center"/>
          </w:tcPr>
          <w:p>
            <w:pPr>
              <w:jc w:val="center"/>
              <w:rPr>
                <w:rFonts w:hint="eastAsia"/>
                <w:szCs w:val="21"/>
              </w:rPr>
            </w:pPr>
            <w:r>
              <w:rPr>
                <w:rFonts w:hint="eastAsia"/>
                <w:szCs w:val="21"/>
              </w:rPr>
              <w:t>食用农产品（</w:t>
            </w:r>
            <w:r>
              <w:rPr>
                <w:rFonts w:hint="eastAsia"/>
                <w:szCs w:val="21"/>
                <w:lang w:val="en-US" w:eastAsia="zh-CN"/>
              </w:rPr>
              <w:t>荔枝</w:t>
            </w:r>
            <w:r>
              <w:rPr>
                <w:rFonts w:hint="eastAsia"/>
                <w:szCs w:val="21"/>
              </w:rPr>
              <w:t>）</w:t>
            </w:r>
          </w:p>
        </w:tc>
      </w:tr>
    </w:tbl>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检验报告书编号：JQT25FC04081</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吡唑醚菌酯、除虫脲</w:t>
            </w:r>
          </w:p>
        </w:tc>
        <w:tc>
          <w:tcPr>
            <w:tcW w:w="1418" w:type="dxa"/>
            <w:vAlign w:val="center"/>
          </w:tcPr>
          <w:p>
            <w:pPr>
              <w:jc w:val="center"/>
              <w:rPr>
                <w:rFonts w:hint="eastAsia"/>
                <w:szCs w:val="21"/>
                <w:lang w:val="en-US" w:eastAsia="zh-CN"/>
              </w:rPr>
            </w:pPr>
            <w:r>
              <w:rPr>
                <w:rFonts w:hint="eastAsia"/>
                <w:szCs w:val="21"/>
                <w:lang w:val="en-US" w:eastAsia="zh-CN"/>
              </w:rPr>
              <w:t>农药残留、农药残留</w:t>
            </w:r>
          </w:p>
        </w:tc>
        <w:tc>
          <w:tcPr>
            <w:tcW w:w="1842" w:type="dxa"/>
            <w:vAlign w:val="center"/>
          </w:tcPr>
          <w:p>
            <w:pPr>
              <w:jc w:val="center"/>
              <w:rPr>
                <w:rFonts w:hint="eastAsia"/>
                <w:szCs w:val="21"/>
                <w:lang w:val="en-US" w:eastAsia="zh-CN"/>
              </w:rPr>
            </w:pPr>
            <w:r>
              <w:rPr>
                <w:rFonts w:hint="eastAsia"/>
                <w:szCs w:val="21"/>
                <w:lang w:val="en-US" w:eastAsia="zh-CN"/>
              </w:rPr>
              <w:t>0.14mg/kg、2.10mg/kg</w:t>
            </w:r>
          </w:p>
        </w:tc>
        <w:tc>
          <w:tcPr>
            <w:tcW w:w="1843" w:type="dxa"/>
            <w:vAlign w:val="center"/>
          </w:tcPr>
          <w:p>
            <w:pPr>
              <w:jc w:val="center"/>
              <w:rPr>
                <w:rFonts w:hint="eastAsia"/>
                <w:szCs w:val="21"/>
                <w:lang w:val="en-US" w:eastAsia="zh-CN"/>
              </w:rPr>
            </w:pPr>
            <w:r>
              <w:rPr>
                <w:rFonts w:hint="eastAsia"/>
                <w:szCs w:val="21"/>
                <w:lang w:val="en-US" w:eastAsia="zh-CN"/>
              </w:rPr>
              <w:t>≤0.1mg/kg、≤0.5mg/kg</w:t>
            </w:r>
          </w:p>
        </w:tc>
        <w:tc>
          <w:tcPr>
            <w:tcW w:w="3260"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蔬菜中检出超标的农药残留，与蔬菜生长期间农药使用剂量未严格控制或在停用农药后短期内马上采收上市等原因有关。</w:t>
            </w:r>
          </w:p>
        </w:tc>
        <w:tc>
          <w:tcPr>
            <w:tcW w:w="3321"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吡唑醚菌酯为甲氧基丙烯酸酯类广谱杀菌剂，为线粒体呼吸抑制剂，对作物病害具有保护、治疗和根治作用。</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除虫脲，非内吸性昆虫生长调节剂，具有触杀和胃毒作用。在昆虫蜕皮或者卵的孵化时起效。用于林业、观赏乔木和果树，防治多种食叶昆虫。用于棉花、大豆、柑橘、茶树、蔬菜、水稻、花生、树生坚果和蘑菇，防治一些主要害虫。也用于防治蝇类、蚊类、蚱蜢、摩门蟋蟀和迁徙性蝗虫的幼虫。除虫脲在体内水解产生氯苯胺，有引起高铁血红蛋白症的危险，但对接触除虫脲的人群，未见中毒报告。食用食品一般不会导致除虫脲的急性中毒，但长期食用除虫脲超标的食品，对人体健康也有一定影响。</w:t>
            </w:r>
          </w:p>
        </w:tc>
        <w:tc>
          <w:tcPr>
            <w:tcW w:w="1106" w:type="dxa"/>
            <w:vAlign w:val="center"/>
          </w:tcPr>
          <w:p>
            <w:pPr>
              <w:jc w:val="center"/>
              <w:rPr>
                <w:rFonts w:hint="eastAsia"/>
                <w:szCs w:val="21"/>
              </w:rPr>
            </w:pPr>
            <w:r>
              <w:rPr>
                <w:rFonts w:hint="eastAsia"/>
                <w:szCs w:val="21"/>
              </w:rPr>
              <w:t>食用农产品（</w:t>
            </w:r>
            <w:r>
              <w:rPr>
                <w:rFonts w:hint="eastAsia"/>
                <w:szCs w:val="21"/>
                <w:lang w:val="en-US" w:eastAsia="zh-CN"/>
              </w:rPr>
              <w:t>荔枝）</w:t>
            </w:r>
          </w:p>
        </w:tc>
      </w:tr>
    </w:tbl>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jc w:val="center"/>
        <w:rPr>
          <w:b/>
          <w:bCs/>
          <w:sz w:val="44"/>
          <w:szCs w:val="44"/>
        </w:rPr>
      </w:pPr>
    </w:p>
    <w:p>
      <w:pPr>
        <w:rPr>
          <w:rFonts w:hint="eastAsia"/>
          <w:sz w:val="24"/>
        </w:rPr>
      </w:pPr>
      <w:r>
        <w:rPr>
          <w:rFonts w:hint="eastAsia"/>
          <w:sz w:val="24"/>
        </w:rPr>
        <w:t>检验报告书编号：JQT25FC06971</w:t>
      </w:r>
      <w:r>
        <w:rPr>
          <w:rFonts w:hint="eastAsia"/>
          <w:sz w:val="24"/>
        </w:rPr>
        <w:tab/>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菌落总数</w:t>
            </w:r>
          </w:p>
        </w:tc>
        <w:tc>
          <w:tcPr>
            <w:tcW w:w="1418" w:type="dxa"/>
            <w:vAlign w:val="center"/>
          </w:tcPr>
          <w:p>
            <w:pPr>
              <w:jc w:val="center"/>
              <w:rPr>
                <w:rFonts w:hint="eastAsia"/>
                <w:szCs w:val="21"/>
                <w:lang w:val="en-US" w:eastAsia="zh-CN"/>
              </w:rPr>
            </w:pPr>
            <w:r>
              <w:rPr>
                <w:rFonts w:hint="eastAsia"/>
                <w:szCs w:val="21"/>
                <w:lang w:val="en-US" w:eastAsia="zh-CN"/>
              </w:rPr>
              <w:t>微生物</w:t>
            </w:r>
          </w:p>
        </w:tc>
        <w:tc>
          <w:tcPr>
            <w:tcW w:w="1842" w:type="dxa"/>
            <w:vAlign w:val="center"/>
          </w:tcPr>
          <w:p>
            <w:pPr>
              <w:jc w:val="center"/>
              <w:rPr>
                <w:rFonts w:hint="eastAsia"/>
                <w:szCs w:val="21"/>
                <w:lang w:val="en-US" w:eastAsia="zh-CN"/>
              </w:rPr>
            </w:pPr>
            <w:r>
              <w:rPr>
                <w:rFonts w:hint="eastAsia"/>
                <w:szCs w:val="21"/>
                <w:lang w:val="en-US" w:eastAsia="zh-CN"/>
              </w:rPr>
              <w:t>600000CFU/g；410000CFU/g；860000CFU/g；460000CFU/g；540000CFU/g</w:t>
            </w:r>
          </w:p>
        </w:tc>
        <w:tc>
          <w:tcPr>
            <w:tcW w:w="1843" w:type="dxa"/>
            <w:vAlign w:val="center"/>
          </w:tcPr>
          <w:p>
            <w:pPr>
              <w:jc w:val="center"/>
              <w:rPr>
                <w:rFonts w:hint="eastAsia"/>
                <w:szCs w:val="21"/>
                <w:lang w:val="en-US" w:eastAsia="zh-CN"/>
              </w:rPr>
            </w:pPr>
            <w:r>
              <w:rPr>
                <w:rFonts w:hint="eastAsia"/>
                <w:szCs w:val="21"/>
                <w:lang w:val="en-US" w:eastAsia="zh-CN"/>
              </w:rPr>
              <w:t>n=5,c=2,m=30000,M=100000CFU/g</w:t>
            </w:r>
          </w:p>
        </w:tc>
        <w:tc>
          <w:tcPr>
            <w:tcW w:w="3260"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即食藻类制品中菌落总数超标的原因，可能是企业未按要求严格控制生产加工过程的卫生条件，也可能与产品包装密封不严或储运条件不当等有关。</w:t>
            </w:r>
          </w:p>
        </w:tc>
        <w:tc>
          <w:tcPr>
            <w:tcW w:w="332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藻类及其制品》（GB 19643—2016）中规定，即食藻类制品中同一批次产品5个样品的菌落总数检测结果均不得超过105CFU/g，且最多允许2个样品的检测结果超过3×104CFU/g。</w:t>
            </w:r>
          </w:p>
        </w:tc>
        <w:tc>
          <w:tcPr>
            <w:tcW w:w="1106" w:type="dxa"/>
            <w:vAlign w:val="center"/>
          </w:tcPr>
          <w:p>
            <w:pPr>
              <w:jc w:val="center"/>
              <w:rPr>
                <w:rFonts w:hint="eastAsia"/>
                <w:szCs w:val="21"/>
              </w:rPr>
            </w:pPr>
            <w:r>
              <w:rPr>
                <w:rFonts w:hint="eastAsia"/>
                <w:szCs w:val="21"/>
              </w:rPr>
              <w:t>水产制品（</w:t>
            </w:r>
            <w:r>
              <w:rPr>
                <w:rFonts w:hint="eastAsia"/>
                <w:szCs w:val="21"/>
                <w:lang w:val="en-US" w:eastAsia="zh-CN"/>
              </w:rPr>
              <w:t>藻类干制品</w:t>
            </w:r>
            <w:r>
              <w:rPr>
                <w:rFonts w:hint="eastAsia"/>
                <w:szCs w:val="21"/>
              </w:rPr>
              <w:t>）</w:t>
            </w:r>
          </w:p>
        </w:tc>
      </w:tr>
    </w:tbl>
    <w:p>
      <w:pPr>
        <w:jc w:val="both"/>
        <w:rPr>
          <w:b/>
          <w:bCs/>
          <w:sz w:val="44"/>
          <w:szCs w:val="44"/>
        </w:rPr>
      </w:pPr>
    </w:p>
    <w:p>
      <w:pPr>
        <w:jc w:val="both"/>
        <w:rPr>
          <w:b/>
          <w:bCs/>
          <w:sz w:val="44"/>
          <w:szCs w:val="44"/>
        </w:rPr>
      </w:pPr>
    </w:p>
    <w:p>
      <w:pPr>
        <w:jc w:val="both"/>
        <w:rPr>
          <w:b/>
          <w:bCs/>
          <w:sz w:val="44"/>
          <w:szCs w:val="44"/>
        </w:rPr>
      </w:pPr>
    </w:p>
    <w:p>
      <w:pPr>
        <w:jc w:val="both"/>
        <w:rPr>
          <w:b/>
          <w:bCs/>
          <w:sz w:val="44"/>
          <w:szCs w:val="44"/>
        </w:rPr>
      </w:pPr>
    </w:p>
    <w:p>
      <w:pPr>
        <w:jc w:val="both"/>
        <w:rPr>
          <w:b/>
          <w:bCs/>
          <w:sz w:val="44"/>
          <w:szCs w:val="44"/>
        </w:rPr>
      </w:pPr>
    </w:p>
    <w:p>
      <w:pPr>
        <w:jc w:val="both"/>
        <w:rPr>
          <w:b/>
          <w:bCs/>
          <w:sz w:val="44"/>
          <w:szCs w:val="44"/>
        </w:rPr>
      </w:pPr>
    </w:p>
    <w:p>
      <w:pPr>
        <w:rPr>
          <w:rFonts w:hint="eastAsia"/>
          <w:sz w:val="24"/>
        </w:rPr>
      </w:pPr>
      <w:r>
        <w:rPr>
          <w:rFonts w:hint="eastAsia"/>
          <w:sz w:val="24"/>
        </w:rPr>
        <w:t>检验报告书编号：JQT25FC07092</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菌落总数</w:t>
            </w:r>
          </w:p>
        </w:tc>
        <w:tc>
          <w:tcPr>
            <w:tcW w:w="1418" w:type="dxa"/>
            <w:vAlign w:val="center"/>
          </w:tcPr>
          <w:p>
            <w:pPr>
              <w:jc w:val="center"/>
              <w:rPr>
                <w:rFonts w:hint="eastAsia"/>
                <w:szCs w:val="21"/>
                <w:lang w:val="en-US" w:eastAsia="zh-CN"/>
              </w:rPr>
            </w:pPr>
            <w:r>
              <w:rPr>
                <w:rFonts w:hint="eastAsia"/>
                <w:szCs w:val="21"/>
                <w:lang w:val="en-US" w:eastAsia="zh-CN"/>
              </w:rPr>
              <w:t>微生物</w:t>
            </w:r>
          </w:p>
        </w:tc>
        <w:tc>
          <w:tcPr>
            <w:tcW w:w="1842" w:type="dxa"/>
            <w:vAlign w:val="center"/>
          </w:tcPr>
          <w:p>
            <w:pPr>
              <w:jc w:val="center"/>
              <w:rPr>
                <w:rFonts w:hint="eastAsia"/>
                <w:szCs w:val="21"/>
                <w:lang w:val="en-US" w:eastAsia="zh-CN"/>
              </w:rPr>
            </w:pPr>
            <w:r>
              <w:rPr>
                <w:rFonts w:hint="eastAsia"/>
                <w:szCs w:val="21"/>
                <w:lang w:val="en-US" w:eastAsia="zh-CN"/>
              </w:rPr>
              <w:t>260000CFU/g；160000CFU/g；480000CFU/g；230000CFU/g；370000CFU/g</w:t>
            </w:r>
          </w:p>
        </w:tc>
        <w:tc>
          <w:tcPr>
            <w:tcW w:w="1843" w:type="dxa"/>
            <w:vAlign w:val="center"/>
          </w:tcPr>
          <w:p>
            <w:pPr>
              <w:jc w:val="center"/>
              <w:rPr>
                <w:rFonts w:hint="eastAsia"/>
                <w:szCs w:val="21"/>
                <w:lang w:val="en-US" w:eastAsia="zh-CN"/>
              </w:rPr>
            </w:pPr>
            <w:r>
              <w:rPr>
                <w:rFonts w:hint="eastAsia"/>
                <w:szCs w:val="21"/>
                <w:lang w:val="en-US" w:eastAsia="zh-CN"/>
              </w:rPr>
              <w:t>n=5,c=2,m=30000,M=100000CFU/g</w:t>
            </w:r>
          </w:p>
        </w:tc>
        <w:tc>
          <w:tcPr>
            <w:tcW w:w="3260"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即食藻类制品中菌落总数超标的原因，可能是企业未按要求严格控制生产加工过程的卫生条件，也可能与产品包装密封不严或储运条件不当等有关。</w:t>
            </w:r>
          </w:p>
        </w:tc>
        <w:tc>
          <w:tcPr>
            <w:tcW w:w="3321"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食品安全国家标准 藻类及其制品》（GB 19643—2016）中规定，即食藻类制品中同一批次产品5个样品的菌落总数检测结果均不得超过105CFU/g，且最多允许2个样品的检测结果超过3×104CFU/g。</w:t>
            </w:r>
          </w:p>
        </w:tc>
        <w:tc>
          <w:tcPr>
            <w:tcW w:w="1106" w:type="dxa"/>
            <w:vAlign w:val="center"/>
          </w:tcPr>
          <w:p>
            <w:pPr>
              <w:jc w:val="center"/>
              <w:rPr>
                <w:rFonts w:hint="eastAsia"/>
                <w:szCs w:val="21"/>
              </w:rPr>
            </w:pPr>
            <w:r>
              <w:rPr>
                <w:rFonts w:hint="eastAsia"/>
                <w:szCs w:val="21"/>
              </w:rPr>
              <w:t>水产制品（</w:t>
            </w:r>
            <w:r>
              <w:rPr>
                <w:rFonts w:hint="eastAsia"/>
                <w:szCs w:val="21"/>
                <w:lang w:val="en-US" w:eastAsia="zh-CN"/>
              </w:rPr>
              <w:t>藻类干制品</w:t>
            </w:r>
            <w:r>
              <w:rPr>
                <w:rFonts w:hint="eastAsia"/>
                <w:szCs w:val="21"/>
              </w:rPr>
              <w:t>）</w:t>
            </w:r>
          </w:p>
        </w:tc>
      </w:tr>
    </w:tbl>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rPr>
          <w:rFonts w:hint="eastAsia"/>
          <w:sz w:val="24"/>
        </w:rPr>
      </w:pPr>
      <w:r>
        <w:rPr>
          <w:rFonts w:hint="eastAsia"/>
          <w:sz w:val="24"/>
        </w:rPr>
        <w:t>检验报告书编号：JQT25FC10919</w:t>
      </w:r>
      <w:r>
        <w:rPr>
          <w:rFonts w:hint="eastAsia"/>
          <w:sz w:val="24"/>
        </w:rPr>
        <w:tab/>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大肠菌群</w:t>
            </w:r>
          </w:p>
        </w:tc>
        <w:tc>
          <w:tcPr>
            <w:tcW w:w="1418" w:type="dxa"/>
            <w:vAlign w:val="center"/>
          </w:tcPr>
          <w:p>
            <w:pPr>
              <w:jc w:val="center"/>
              <w:rPr>
                <w:rFonts w:hint="eastAsia"/>
                <w:szCs w:val="21"/>
                <w:lang w:val="en-US" w:eastAsia="zh-CN"/>
              </w:rPr>
            </w:pPr>
            <w:r>
              <w:rPr>
                <w:rFonts w:hint="eastAsia"/>
                <w:szCs w:val="21"/>
                <w:lang w:val="en-US" w:eastAsia="zh-CN"/>
              </w:rPr>
              <w:t>微生物</w:t>
            </w:r>
          </w:p>
        </w:tc>
        <w:tc>
          <w:tcPr>
            <w:tcW w:w="1842" w:type="dxa"/>
            <w:vAlign w:val="center"/>
          </w:tcPr>
          <w:p>
            <w:pPr>
              <w:jc w:val="center"/>
              <w:rPr>
                <w:rFonts w:hint="eastAsia"/>
                <w:szCs w:val="21"/>
                <w:lang w:val="en-US" w:eastAsia="zh-CN"/>
              </w:rPr>
            </w:pPr>
            <w:r>
              <w:rPr>
                <w:rFonts w:hint="eastAsia"/>
                <w:szCs w:val="21"/>
                <w:lang w:val="en-US" w:eastAsia="zh-CN"/>
              </w:rPr>
              <w:t>检出</w:t>
            </w:r>
          </w:p>
        </w:tc>
        <w:tc>
          <w:tcPr>
            <w:tcW w:w="1843" w:type="dxa"/>
            <w:vAlign w:val="center"/>
          </w:tcPr>
          <w:p>
            <w:pPr>
              <w:jc w:val="center"/>
              <w:rPr>
                <w:rFonts w:hint="eastAsia"/>
                <w:szCs w:val="21"/>
                <w:lang w:val="en-US" w:eastAsia="zh-CN"/>
              </w:rPr>
            </w:pPr>
            <w:r>
              <w:rPr>
                <w:rFonts w:hint="eastAsia"/>
                <w:szCs w:val="21"/>
                <w:lang w:val="en-US" w:eastAsia="zh-CN"/>
              </w:rPr>
              <w:t>不得检出</w:t>
            </w:r>
          </w:p>
        </w:tc>
        <w:tc>
          <w:tcPr>
            <w:tcW w:w="3260"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餐具中检出大肠杆菌群的主要原因是产品清洗、灭菌不彻底，或存放过程中污染等原因导致。</w:t>
            </w:r>
          </w:p>
        </w:tc>
        <w:tc>
          <w:tcPr>
            <w:tcW w:w="3321"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eastAsia="zh-CN"/>
              </w:rPr>
              <w:t>大肠菌群是评价食品卫生安全的重要指标之一，如严重超标，说明其卫生状况达不到安全要求。消费者如果使用大肠杆菌群超标的餐饮具，有可能引起呕吐、腹泻、肠胃感染等症状。</w:t>
            </w:r>
          </w:p>
        </w:tc>
        <w:tc>
          <w:tcPr>
            <w:tcW w:w="1106" w:type="dxa"/>
            <w:vAlign w:val="center"/>
          </w:tcPr>
          <w:p>
            <w:pPr>
              <w:jc w:val="center"/>
              <w:rPr>
                <w:rFonts w:hint="eastAsia"/>
                <w:szCs w:val="21"/>
              </w:rPr>
            </w:pPr>
            <w:r>
              <w:rPr>
                <w:rFonts w:hint="eastAsia"/>
                <w:szCs w:val="21"/>
              </w:rPr>
              <w:t>餐饮食品（</w:t>
            </w:r>
            <w:r>
              <w:rPr>
                <w:rFonts w:hint="eastAsia"/>
                <w:szCs w:val="21"/>
                <w:lang w:val="en-US" w:eastAsia="zh-CN"/>
              </w:rPr>
              <w:t>复用餐饮具(餐馆自行消毒)</w:t>
            </w:r>
            <w:r>
              <w:rPr>
                <w:rFonts w:hint="eastAsia"/>
                <w:szCs w:val="21"/>
              </w:rPr>
              <w:t>）</w:t>
            </w:r>
          </w:p>
        </w:tc>
      </w:tr>
    </w:tbl>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rPr>
          <w:rFonts w:hint="eastAsia"/>
          <w:sz w:val="24"/>
        </w:rPr>
      </w:pPr>
      <w:r>
        <w:rPr>
          <w:rFonts w:hint="eastAsia"/>
          <w:sz w:val="24"/>
        </w:rPr>
        <w:t>检验报告书编号：JQT25FC14541</w:t>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84" w:type="dxa"/>
            <w:vAlign w:val="center"/>
          </w:tcPr>
          <w:p>
            <w:pPr>
              <w:jc w:val="center"/>
              <w:rPr>
                <w:rFonts w:hint="eastAsia"/>
                <w:szCs w:val="21"/>
                <w:lang w:val="en-US" w:eastAsia="zh-CN"/>
              </w:rPr>
            </w:pPr>
            <w:r>
              <w:rPr>
                <w:rFonts w:hint="eastAsia"/>
                <w:szCs w:val="21"/>
                <w:lang w:val="en-US" w:eastAsia="zh-CN"/>
              </w:rPr>
              <w:t>脱氢乙酸及其钠盐（以脱氢乙酸计）</w:t>
            </w:r>
          </w:p>
        </w:tc>
        <w:tc>
          <w:tcPr>
            <w:tcW w:w="1418" w:type="dxa"/>
            <w:vAlign w:val="center"/>
          </w:tcPr>
          <w:p>
            <w:pPr>
              <w:jc w:val="center"/>
              <w:rPr>
                <w:rFonts w:hint="eastAsia"/>
                <w:szCs w:val="21"/>
                <w:lang w:val="en-US" w:eastAsia="zh-CN"/>
              </w:rPr>
            </w:pPr>
            <w:r>
              <w:rPr>
                <w:rFonts w:hint="eastAsia"/>
                <w:szCs w:val="21"/>
                <w:lang w:val="en-US" w:eastAsia="zh-CN"/>
              </w:rPr>
              <w:t>食品添加剂</w:t>
            </w:r>
          </w:p>
        </w:tc>
        <w:tc>
          <w:tcPr>
            <w:tcW w:w="1842" w:type="dxa"/>
            <w:vAlign w:val="center"/>
          </w:tcPr>
          <w:p>
            <w:pPr>
              <w:jc w:val="center"/>
              <w:rPr>
                <w:rFonts w:hint="eastAsia"/>
                <w:szCs w:val="21"/>
                <w:lang w:val="en-US" w:eastAsia="zh-CN"/>
              </w:rPr>
            </w:pPr>
            <w:r>
              <w:rPr>
                <w:rFonts w:hint="eastAsia"/>
                <w:szCs w:val="21"/>
                <w:lang w:val="en-US" w:eastAsia="zh-CN"/>
              </w:rPr>
              <w:t>0.0464g/kg</w:t>
            </w:r>
          </w:p>
        </w:tc>
        <w:tc>
          <w:tcPr>
            <w:tcW w:w="1843" w:type="dxa"/>
            <w:vAlign w:val="center"/>
          </w:tcPr>
          <w:p>
            <w:pPr>
              <w:jc w:val="center"/>
              <w:rPr>
                <w:rFonts w:hint="eastAsia"/>
                <w:szCs w:val="21"/>
                <w:lang w:val="en-US" w:eastAsia="zh-CN"/>
              </w:rPr>
            </w:pPr>
            <w:r>
              <w:rPr>
                <w:rFonts w:hint="eastAsia"/>
                <w:szCs w:val="21"/>
                <w:lang w:val="en-US" w:eastAsia="zh-CN"/>
              </w:rPr>
              <w:t>不得使用</w:t>
            </w:r>
          </w:p>
        </w:tc>
        <w:tc>
          <w:tcPr>
            <w:tcW w:w="3260"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脱氢乙酸及其钠盐（以脱氢乙酸计）检测值超标的原因，可能是生产企业为防止食品腐败变质违规使用了该食品添加剂。</w:t>
            </w:r>
          </w:p>
        </w:tc>
        <w:tc>
          <w:tcPr>
            <w:tcW w:w="3321"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2760—2014）中规定，糕点中脱氢乙酸及其钠盐（以脱氢乙酸计）最大使用量为0.5g/kg。</w:t>
            </w:r>
          </w:p>
        </w:tc>
        <w:tc>
          <w:tcPr>
            <w:tcW w:w="1106" w:type="dxa"/>
            <w:vAlign w:val="center"/>
          </w:tcPr>
          <w:p>
            <w:pPr>
              <w:jc w:val="center"/>
              <w:rPr>
                <w:rFonts w:hint="eastAsia"/>
                <w:szCs w:val="21"/>
              </w:rPr>
            </w:pPr>
            <w:r>
              <w:rPr>
                <w:rFonts w:hint="eastAsia"/>
                <w:szCs w:val="21"/>
              </w:rPr>
              <w:t>餐饮食品（</w:t>
            </w:r>
            <w:r>
              <w:rPr>
                <w:rFonts w:hint="eastAsia"/>
                <w:szCs w:val="21"/>
                <w:lang w:val="en-US" w:eastAsia="zh-CN"/>
              </w:rPr>
              <w:t>粉丝粉条(自制)）</w:t>
            </w:r>
          </w:p>
        </w:tc>
      </w:tr>
    </w:tbl>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rPr>
          <w:rFonts w:hint="eastAsia" w:eastAsia="宋体"/>
          <w:sz w:val="24"/>
          <w:lang w:val="en-US" w:eastAsia="zh-CN"/>
        </w:rPr>
      </w:pPr>
      <w:r>
        <w:rPr>
          <w:rFonts w:hint="eastAsia"/>
          <w:sz w:val="24"/>
        </w:rPr>
        <w:t>检验报告书编号：SP202</w:t>
      </w:r>
      <w:r>
        <w:rPr>
          <w:rFonts w:hint="eastAsia"/>
          <w:sz w:val="24"/>
          <w:lang w:val="en-US" w:eastAsia="zh-CN"/>
        </w:rPr>
        <w:t>50676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301"/>
        <w:gridCol w:w="2385"/>
        <w:gridCol w:w="1417"/>
        <w:gridCol w:w="3544"/>
        <w:gridCol w:w="3037"/>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不合格原因分析</w:t>
            </w:r>
          </w:p>
        </w:tc>
        <w:tc>
          <w:tcPr>
            <w:tcW w:w="3037"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可能引起的危害</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cs="宋体"/>
                <w:sz w:val="24"/>
              </w:rPr>
              <w:t>阴离子合成洗涤剂（以十二烷基苯磺酸钠计）</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其他有毒有害物质</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000000"/>
                <w:sz w:val="24"/>
              </w:rPr>
            </w:pPr>
            <w:r>
              <w:rPr>
                <w:rFonts w:hint="eastAsia"/>
                <w:sz w:val="28"/>
              </w:rPr>
              <w:t>0.0</w:t>
            </w:r>
            <w:r>
              <w:rPr>
                <w:rFonts w:hint="eastAsia"/>
                <w:sz w:val="28"/>
                <w:lang w:val="en-US" w:eastAsia="zh-CN"/>
              </w:rPr>
              <w:t>0756</w:t>
            </w:r>
            <w:r>
              <w:rPr>
                <w:rFonts w:hint="eastAsia"/>
                <w:sz w:val="28"/>
              </w:rPr>
              <w:t>mg/100cm</w:t>
            </w:r>
            <w:r>
              <w:rPr>
                <w:rFonts w:hint="eastAsia"/>
                <w:sz w:val="28"/>
                <w:vertAlign w:val="superscript"/>
              </w:rPr>
              <w:t>2</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 w:val="28"/>
                <w:szCs w:val="28"/>
              </w:rPr>
            </w:pPr>
            <w:r>
              <w:rPr>
                <w:rFonts w:hint="eastAsia"/>
                <w:sz w:val="28"/>
              </w:rPr>
              <w:t>不得检出</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000000"/>
                <w:szCs w:val="21"/>
                <w:shd w:val="clear" w:color="auto" w:fill="FFFFFF"/>
              </w:rPr>
            </w:pPr>
            <w:r>
              <w:rPr>
                <w:rFonts w:hint="eastAsia" w:ascii="Verdana" w:hAnsi="Verdana" w:cs="Verdana"/>
                <w:color w:val="333333"/>
                <w:sz w:val="24"/>
                <w:shd w:val="clear" w:color="auto" w:fill="FFFFFF"/>
              </w:rPr>
              <w:t>1、</w:t>
            </w:r>
            <w:r>
              <w:rPr>
                <w:rFonts w:ascii="Verdana" w:hAnsi="Verdana" w:cs="Verdana"/>
                <w:color w:val="333333"/>
                <w:sz w:val="24"/>
                <w:shd w:val="clear" w:color="auto" w:fill="FFFFFF"/>
              </w:rPr>
              <w:t>清洗餐具所用洗涤剂、消毒剂不合格。</w:t>
            </w:r>
            <w:r>
              <w:rPr>
                <w:rFonts w:hint="eastAsia" w:ascii="宋体" w:hAnsi="宋体" w:cs="宋体"/>
                <w:color w:val="333333"/>
                <w:sz w:val="24"/>
                <w:shd w:val="clear" w:color="auto" w:fill="FFFFFF"/>
              </w:rPr>
              <w:t>如果用于清洗餐具的洗涤剂、消毒剂不符合标准，这样不仅清洗不干净餐具反而会造成二次污染。2、洗涤剂或消毒剂未彻底冲洗干净。3、餐具数量过多，洗涤剂、消毒剂浸泡餐具重复使用，造成交叉污染，使得阴离子洗涤剂残留在餐具中。</w:t>
            </w:r>
          </w:p>
        </w:tc>
        <w:tc>
          <w:tcPr>
            <w:tcW w:w="303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微软雅黑" w:hAnsi="微软雅黑" w:eastAsia="微软雅黑" w:cs="微软雅黑"/>
                <w:color w:val="333333"/>
                <w:sz w:val="24"/>
                <w:shd w:val="clear" w:color="auto" w:fill="FFFFFF"/>
              </w:rPr>
            </w:pPr>
            <w:r>
              <w:rPr>
                <w:rFonts w:hint="eastAsia" w:ascii="Arial" w:hAnsi="Arial" w:cs="Arial"/>
                <w:color w:val="333333"/>
                <w:szCs w:val="21"/>
                <w:shd w:val="clear" w:color="auto" w:fill="FFFFFF"/>
              </w:rPr>
              <w:t>长期摄入可引起人体</w:t>
            </w:r>
            <w:r>
              <w:rPr>
                <w:rFonts w:ascii="Arial" w:hAnsi="Arial" w:cs="Arial"/>
                <w:color w:val="333333"/>
                <w:szCs w:val="21"/>
                <w:shd w:val="clear" w:color="auto" w:fill="FFFFFF"/>
              </w:rPr>
              <w:t>慢性毒性</w:t>
            </w:r>
            <w:r>
              <w:rPr>
                <w:rFonts w:hint="eastAsia" w:ascii="Arial" w:hAnsi="Arial" w:cs="Arial"/>
                <w:color w:val="333333"/>
                <w:szCs w:val="21"/>
                <w:shd w:val="clear" w:color="auto" w:fill="FFFFFF"/>
              </w:rPr>
              <w:t>：</w:t>
            </w:r>
            <w:r>
              <w:rPr>
                <w:rFonts w:ascii="Arial" w:hAnsi="Arial" w:cs="Arial"/>
                <w:color w:val="333333"/>
                <w:szCs w:val="21"/>
                <w:shd w:val="clear" w:color="auto" w:fill="FFFFFF"/>
              </w:rPr>
              <w:t>阴离子洗涤剂有持久作用，动物摄入后表现为血液中胆固醇增高</w:t>
            </w:r>
            <w:r>
              <w:rPr>
                <w:rFonts w:hint="eastAsia" w:ascii="Arial" w:hAnsi="Arial" w:cs="Arial"/>
                <w:color w:val="333333"/>
                <w:szCs w:val="21"/>
                <w:shd w:val="clear" w:color="auto" w:fill="FFFFFF"/>
              </w:rPr>
              <w:t>；</w:t>
            </w:r>
            <w:r>
              <w:rPr>
                <w:rFonts w:ascii="Arial" w:hAnsi="Arial" w:cs="Arial"/>
                <w:color w:val="333333"/>
                <w:szCs w:val="21"/>
                <w:shd w:val="clear" w:color="auto" w:fill="FFFFFF"/>
              </w:rPr>
              <w:t>对人体皮肤也有损害</w:t>
            </w:r>
            <w:r>
              <w:rPr>
                <w:rFonts w:hint="eastAsia" w:ascii="Arial" w:hAnsi="Arial" w:cs="Arial"/>
                <w:color w:val="333333"/>
                <w:szCs w:val="21"/>
                <w:shd w:val="clear" w:color="auto" w:fill="FFFFFF"/>
              </w:rPr>
              <w:t>；</w:t>
            </w:r>
            <w:r>
              <w:rPr>
                <w:rFonts w:ascii="Arial" w:hAnsi="Arial" w:cs="Arial"/>
                <w:color w:val="333333"/>
                <w:szCs w:val="21"/>
                <w:shd w:val="clear" w:color="auto" w:fill="FFFFFF"/>
              </w:rPr>
              <w:t>对肝脏的损伤作用也是存在的。</w:t>
            </w:r>
          </w:p>
          <w:p>
            <w:pPr>
              <w:spacing w:line="400" w:lineRule="exact"/>
              <w:rPr>
                <w:rFonts w:hint="eastAsia" w:ascii="微软雅黑" w:hAnsi="微软雅黑" w:eastAsia="微软雅黑" w:cs="微软雅黑"/>
                <w:color w:val="333333"/>
                <w:sz w:val="24"/>
                <w:shd w:val="clear" w:color="auto" w:fill="FFFFFF"/>
              </w:rPr>
            </w:pP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w:t>
            </w:r>
          </w:p>
        </w:tc>
      </w:tr>
    </w:tbl>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ind w:firstLine="480" w:firstLineChars="200"/>
        <w:rPr>
          <w:rFonts w:hint="eastAsia"/>
          <w:sz w:val="24"/>
        </w:rPr>
      </w:pPr>
    </w:p>
    <w:p>
      <w:pPr>
        <w:rPr>
          <w:rFonts w:hint="eastAsia"/>
          <w:sz w:val="24"/>
        </w:rPr>
      </w:pPr>
    </w:p>
    <w:p>
      <w:pPr>
        <w:rPr>
          <w:rFonts w:hint="eastAsia"/>
          <w:sz w:val="24"/>
        </w:rPr>
      </w:pPr>
    </w:p>
    <w:p>
      <w:pPr>
        <w:rPr>
          <w:rFonts w:hint="eastAsia" w:eastAsia="宋体"/>
          <w:sz w:val="24"/>
          <w:lang w:val="en-US" w:eastAsia="zh-CN"/>
        </w:rPr>
      </w:pPr>
      <w:r>
        <w:rPr>
          <w:rFonts w:hint="eastAsia"/>
          <w:sz w:val="24"/>
        </w:rPr>
        <w:t>检验报告书编号：</w:t>
      </w:r>
      <w:r>
        <w:rPr>
          <w:sz w:val="24"/>
        </w:rPr>
        <w:t>SP20</w:t>
      </w:r>
      <w:r>
        <w:rPr>
          <w:rFonts w:hint="eastAsia"/>
          <w:sz w:val="24"/>
        </w:rPr>
        <w:t>250</w:t>
      </w:r>
      <w:r>
        <w:rPr>
          <w:rFonts w:hint="eastAsia"/>
          <w:sz w:val="24"/>
          <w:lang w:val="en-US" w:eastAsia="zh-CN"/>
        </w:rPr>
        <w:t>515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不合格原因分析</w:t>
            </w:r>
          </w:p>
        </w:tc>
        <w:tc>
          <w:tcPr>
            <w:tcW w:w="3321"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可能引起的危害</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13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cs="宋体"/>
                <w:sz w:val="24"/>
              </w:rPr>
              <w:t>甜蜜素（以环己基氨基磺酸计）</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Style w:val="9"/>
                <w:rFonts w:ascii="宋体" w:hAnsi="宋体"/>
                <w:sz w:val="24"/>
              </w:rPr>
              <w:t>超</w:t>
            </w:r>
            <w:r>
              <w:rPr>
                <w:rStyle w:val="9"/>
                <w:rFonts w:hint="eastAsia" w:ascii="宋体" w:hAnsi="宋体"/>
                <w:sz w:val="24"/>
              </w:rPr>
              <w:t>范围</w:t>
            </w:r>
            <w:r>
              <w:rPr>
                <w:rStyle w:val="9"/>
                <w:rFonts w:ascii="宋体" w:hAnsi="宋体"/>
                <w:sz w:val="24"/>
              </w:rPr>
              <w:t>使用食品添加剂</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color w:val="000000"/>
                <w:sz w:val="24"/>
              </w:rPr>
            </w:pPr>
            <w:r>
              <w:rPr>
                <w:rFonts w:hint="eastAsia"/>
                <w:sz w:val="28"/>
              </w:rPr>
              <w:t>0.1</w:t>
            </w:r>
            <w:r>
              <w:rPr>
                <w:rFonts w:hint="eastAsia"/>
                <w:sz w:val="28"/>
                <w:lang w:val="en-US" w:eastAsia="zh-CN"/>
              </w:rPr>
              <w:t>37</w:t>
            </w:r>
            <w:r>
              <w:rPr>
                <w:sz w:val="28"/>
              </w:rPr>
              <w:t>g/</w:t>
            </w:r>
            <w:r>
              <w:rPr>
                <w:rFonts w:hint="eastAsia"/>
                <w:sz w:val="28"/>
                <w:lang w:val="en-US" w:eastAsia="zh-CN"/>
              </w:rPr>
              <w:t>k</w:t>
            </w:r>
            <w:r>
              <w:rPr>
                <w:sz w:val="28"/>
              </w:rPr>
              <w:t>g</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sz w:val="28"/>
                <w:szCs w:val="28"/>
              </w:rPr>
            </w:pPr>
            <w:r>
              <w:rPr>
                <w:rFonts w:hint="eastAsia"/>
                <w:sz w:val="28"/>
              </w:rPr>
              <w:t>不得使用</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微软雅黑" w:hAnsi="微软雅黑" w:cs="宋体"/>
                <w:color w:val="434343"/>
                <w:kern w:val="0"/>
                <w:szCs w:val="21"/>
              </w:rPr>
            </w:pPr>
            <w:r>
              <w:rPr>
                <w:rFonts w:hint="eastAsia" w:ascii="微软雅黑" w:hAnsi="微软雅黑" w:cs="宋体"/>
                <w:color w:val="434343"/>
                <w:kern w:val="0"/>
                <w:szCs w:val="21"/>
                <w:lang w:val="en-US" w:eastAsia="zh-CN"/>
              </w:rPr>
              <w:t>1、降低成本：甜蜜素的甜度远高于蔗糖，少量添加即可达到增甜效果</w:t>
            </w:r>
            <w:r>
              <w:rPr>
                <w:rFonts w:hint="eastAsia" w:ascii="微软雅黑" w:hAnsi="微软雅黑" w:cs="宋体"/>
                <w:color w:val="434343"/>
                <w:kern w:val="0"/>
                <w:szCs w:val="21"/>
                <w:lang w:eastAsia="zh-CN"/>
              </w:rPr>
              <w:t>。</w:t>
            </w:r>
            <w:r>
              <w:rPr>
                <w:rFonts w:hint="eastAsia" w:ascii="微软雅黑" w:hAnsi="微软雅黑" w:cs="宋体"/>
                <w:color w:val="434343"/>
                <w:kern w:val="0"/>
                <w:szCs w:val="21"/>
                <w:lang w:val="en-US" w:eastAsia="zh-CN"/>
              </w:rPr>
              <w:t>2、</w:t>
            </w:r>
            <w:r>
              <w:rPr>
                <w:rFonts w:hint="eastAsia" w:ascii="微软雅黑" w:hAnsi="微软雅黑" w:cs="宋体"/>
                <w:color w:val="434343"/>
                <w:kern w:val="0"/>
                <w:szCs w:val="21"/>
                <w:lang w:eastAsia="zh-CN"/>
              </w:rPr>
              <w:t>掩盖面粉缺陷：使用陈化粮或低筋面粉时，甜味剂可中和酸涩口感，掩盖劣质原料的异味。</w:t>
            </w:r>
            <w:r>
              <w:rPr>
                <w:rFonts w:hint="eastAsia" w:ascii="微软雅黑" w:hAnsi="微软雅黑" w:cs="宋体"/>
                <w:color w:val="434343"/>
                <w:kern w:val="0"/>
                <w:szCs w:val="21"/>
                <w:lang w:val="en-US" w:eastAsia="zh-CN"/>
              </w:rPr>
              <w:t>3、</w:t>
            </w:r>
            <w:r>
              <w:rPr>
                <w:rFonts w:hint="eastAsia" w:ascii="微软雅黑" w:hAnsi="微软雅黑" w:cs="宋体"/>
                <w:color w:val="434343"/>
                <w:kern w:val="0"/>
                <w:szCs w:val="21"/>
                <w:lang w:eastAsia="zh-CN"/>
              </w:rPr>
              <w:t>制造松软假象：加入甜味剂刺激唾液分泌产生“入口即化”的错觉</w:t>
            </w:r>
            <w:r>
              <w:rPr>
                <w:rFonts w:ascii="微软雅黑" w:hAnsi="微软雅黑" w:cs="宋体"/>
                <w:color w:val="434343"/>
                <w:kern w:val="0"/>
                <w:szCs w:val="21"/>
              </w:rPr>
              <w:t>。</w:t>
            </w:r>
          </w:p>
          <w:p>
            <w:pPr>
              <w:spacing w:line="400" w:lineRule="exact"/>
              <w:rPr>
                <w:rFonts w:hint="eastAsia" w:ascii="宋体" w:hAnsi="宋体"/>
                <w:color w:val="000000"/>
                <w:szCs w:val="21"/>
                <w:shd w:val="clear" w:color="auto" w:fill="FFFFFF"/>
              </w:rPr>
            </w:pPr>
          </w:p>
        </w:tc>
        <w:tc>
          <w:tcPr>
            <w:tcW w:w="332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000000"/>
                <w:szCs w:val="21"/>
                <w:shd w:val="clear" w:color="auto" w:fill="FFFFFF"/>
              </w:rPr>
            </w:pPr>
            <w:r>
              <w:rPr>
                <w:rFonts w:hint="eastAsia" w:ascii="微软雅黑" w:hAnsi="微软雅黑" w:cs="宋体"/>
                <w:color w:val="434343"/>
                <w:kern w:val="0"/>
                <w:szCs w:val="21"/>
                <w:lang w:eastAsia="zh-CN"/>
              </w:rPr>
              <w:t>过量摄入可能对肝脏、神经系统造成损害，影响肠胃消化酶分泌，降低小肠吸收能力，尤其对儿童、孕妇和老年人危害更显著。</w:t>
            </w:r>
          </w:p>
        </w:tc>
        <w:tc>
          <w:tcPr>
            <w:tcW w:w="1106" w:type="dxa"/>
            <w:tcBorders>
              <w:top w:val="single" w:color="auto" w:sz="4" w:space="0"/>
              <w:left w:val="single" w:color="auto" w:sz="4" w:space="0"/>
              <w:bottom w:val="single" w:color="auto" w:sz="4" w:space="0"/>
              <w:right w:val="single" w:color="auto" w:sz="4" w:space="0"/>
            </w:tcBorders>
            <w:noWrap w:val="0"/>
            <w:vAlign w:val="center"/>
          </w:tcPr>
          <w:p>
            <w:pPr>
              <w:jc w:val="center"/>
              <w:rPr>
                <w:szCs w:val="21"/>
              </w:rPr>
            </w:pPr>
            <w:r>
              <w:rPr>
                <w:szCs w:val="21"/>
              </w:rPr>
              <w:t>/</w:t>
            </w:r>
          </w:p>
        </w:tc>
      </w:tr>
    </w:tbl>
    <w:p>
      <w:pPr>
        <w:ind w:firstLine="480" w:firstLineChars="200"/>
        <w:rPr>
          <w:rFonts w:hint="eastAsia"/>
          <w:sz w:val="24"/>
        </w:rPr>
      </w:pPr>
      <w:bookmarkStart w:id="0" w:name="_GoBack"/>
      <w:bookmarkEnd w:id="0"/>
    </w:p>
    <w:sectPr>
      <w:pgSz w:w="16838" w:h="11906" w:orient="landscape"/>
      <w:pgMar w:top="1247" w:right="1440" w:bottom="124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NWNmM2E3YjRjZDI2YjM2ZmQ2ZDE4ZDhhMzM5MDgifQ=="/>
  </w:docVars>
  <w:rsids>
    <w:rsidRoot w:val="00172A27"/>
    <w:rsid w:val="00004BF0"/>
    <w:rsid w:val="00021E1E"/>
    <w:rsid w:val="0004452C"/>
    <w:rsid w:val="00054D9F"/>
    <w:rsid w:val="00113C00"/>
    <w:rsid w:val="0015253B"/>
    <w:rsid w:val="00172A27"/>
    <w:rsid w:val="001F1D15"/>
    <w:rsid w:val="00213700"/>
    <w:rsid w:val="00277263"/>
    <w:rsid w:val="003419A7"/>
    <w:rsid w:val="003C3CDC"/>
    <w:rsid w:val="003F3B16"/>
    <w:rsid w:val="0048297A"/>
    <w:rsid w:val="006E19FA"/>
    <w:rsid w:val="0076439A"/>
    <w:rsid w:val="0080192F"/>
    <w:rsid w:val="00867AF8"/>
    <w:rsid w:val="008A508F"/>
    <w:rsid w:val="009074DA"/>
    <w:rsid w:val="009A3E14"/>
    <w:rsid w:val="00A0105D"/>
    <w:rsid w:val="00A4460A"/>
    <w:rsid w:val="00A63396"/>
    <w:rsid w:val="00A63B4A"/>
    <w:rsid w:val="00AD3134"/>
    <w:rsid w:val="00B1689F"/>
    <w:rsid w:val="00B50016"/>
    <w:rsid w:val="00CA74C0"/>
    <w:rsid w:val="00D661E2"/>
    <w:rsid w:val="00D956C6"/>
    <w:rsid w:val="00DC3F25"/>
    <w:rsid w:val="00E15386"/>
    <w:rsid w:val="00E60345"/>
    <w:rsid w:val="00E7600A"/>
    <w:rsid w:val="01B634C2"/>
    <w:rsid w:val="01DE5960"/>
    <w:rsid w:val="022445C5"/>
    <w:rsid w:val="029605BF"/>
    <w:rsid w:val="02B45E6F"/>
    <w:rsid w:val="02F83936"/>
    <w:rsid w:val="040C25C7"/>
    <w:rsid w:val="04885D00"/>
    <w:rsid w:val="04C41CAB"/>
    <w:rsid w:val="04FC43EA"/>
    <w:rsid w:val="052E656A"/>
    <w:rsid w:val="05950139"/>
    <w:rsid w:val="05AF30E8"/>
    <w:rsid w:val="06764C22"/>
    <w:rsid w:val="06DD0EB4"/>
    <w:rsid w:val="070D7EC5"/>
    <w:rsid w:val="07BA6423"/>
    <w:rsid w:val="0807527E"/>
    <w:rsid w:val="09B74ED8"/>
    <w:rsid w:val="0AA60A13"/>
    <w:rsid w:val="0B7E72CA"/>
    <w:rsid w:val="0B85226B"/>
    <w:rsid w:val="0D13498C"/>
    <w:rsid w:val="0EA5395E"/>
    <w:rsid w:val="0FA6540C"/>
    <w:rsid w:val="0FBB60A9"/>
    <w:rsid w:val="11693AF3"/>
    <w:rsid w:val="12505D75"/>
    <w:rsid w:val="12EE6C68"/>
    <w:rsid w:val="14FC2BBF"/>
    <w:rsid w:val="15490981"/>
    <w:rsid w:val="17290724"/>
    <w:rsid w:val="199E12F3"/>
    <w:rsid w:val="19EA74AD"/>
    <w:rsid w:val="1ACE5968"/>
    <w:rsid w:val="1B023DCB"/>
    <w:rsid w:val="1B917B2A"/>
    <w:rsid w:val="1D0D1692"/>
    <w:rsid w:val="1D51161C"/>
    <w:rsid w:val="1E0669AA"/>
    <w:rsid w:val="1F992259"/>
    <w:rsid w:val="20273B9D"/>
    <w:rsid w:val="20F12F9F"/>
    <w:rsid w:val="22C56520"/>
    <w:rsid w:val="22E91FFA"/>
    <w:rsid w:val="23137B2B"/>
    <w:rsid w:val="237B52AC"/>
    <w:rsid w:val="238D507B"/>
    <w:rsid w:val="23B97A91"/>
    <w:rsid w:val="23D34A58"/>
    <w:rsid w:val="2421689B"/>
    <w:rsid w:val="244E653A"/>
    <w:rsid w:val="249C4A5A"/>
    <w:rsid w:val="24D23D68"/>
    <w:rsid w:val="24F3691F"/>
    <w:rsid w:val="25060276"/>
    <w:rsid w:val="256E4199"/>
    <w:rsid w:val="26B8181C"/>
    <w:rsid w:val="28B12D33"/>
    <w:rsid w:val="291B0A33"/>
    <w:rsid w:val="29593EAF"/>
    <w:rsid w:val="298F4F7D"/>
    <w:rsid w:val="299F78B6"/>
    <w:rsid w:val="2A3034C7"/>
    <w:rsid w:val="2C15084B"/>
    <w:rsid w:val="2C7B6A6B"/>
    <w:rsid w:val="2E0E0B44"/>
    <w:rsid w:val="2E0F4702"/>
    <w:rsid w:val="2F441953"/>
    <w:rsid w:val="30204B81"/>
    <w:rsid w:val="307F7146"/>
    <w:rsid w:val="30FB21C7"/>
    <w:rsid w:val="32383558"/>
    <w:rsid w:val="332E5837"/>
    <w:rsid w:val="33B46B27"/>
    <w:rsid w:val="39036BAD"/>
    <w:rsid w:val="398A37EC"/>
    <w:rsid w:val="398C12A7"/>
    <w:rsid w:val="39E62997"/>
    <w:rsid w:val="3B532C89"/>
    <w:rsid w:val="3B7C2F28"/>
    <w:rsid w:val="3BAD62FC"/>
    <w:rsid w:val="3BF16905"/>
    <w:rsid w:val="3C180293"/>
    <w:rsid w:val="3C81295B"/>
    <w:rsid w:val="3CF75781"/>
    <w:rsid w:val="3E047E0A"/>
    <w:rsid w:val="3E157CEF"/>
    <w:rsid w:val="3E480050"/>
    <w:rsid w:val="3F6956C4"/>
    <w:rsid w:val="40492E8B"/>
    <w:rsid w:val="406B52E0"/>
    <w:rsid w:val="41AC322C"/>
    <w:rsid w:val="420336C3"/>
    <w:rsid w:val="423749B1"/>
    <w:rsid w:val="425D7EB7"/>
    <w:rsid w:val="42664C0F"/>
    <w:rsid w:val="44FF0DB1"/>
    <w:rsid w:val="45120AE5"/>
    <w:rsid w:val="45594B71"/>
    <w:rsid w:val="46BA36DB"/>
    <w:rsid w:val="46C83575"/>
    <w:rsid w:val="47E524E0"/>
    <w:rsid w:val="48795182"/>
    <w:rsid w:val="49564BCC"/>
    <w:rsid w:val="496008C3"/>
    <w:rsid w:val="4A527FA5"/>
    <w:rsid w:val="4AD56FE2"/>
    <w:rsid w:val="4B9235C3"/>
    <w:rsid w:val="4BB62215"/>
    <w:rsid w:val="4CE16790"/>
    <w:rsid w:val="4EB9395C"/>
    <w:rsid w:val="4ECD371E"/>
    <w:rsid w:val="4F116D63"/>
    <w:rsid w:val="50062548"/>
    <w:rsid w:val="50970790"/>
    <w:rsid w:val="509B3233"/>
    <w:rsid w:val="513E2C61"/>
    <w:rsid w:val="52280AC9"/>
    <w:rsid w:val="528E3AD7"/>
    <w:rsid w:val="52B777E5"/>
    <w:rsid w:val="52CA13CD"/>
    <w:rsid w:val="52DB4680"/>
    <w:rsid w:val="539B303F"/>
    <w:rsid w:val="55B014D8"/>
    <w:rsid w:val="576C7EE5"/>
    <w:rsid w:val="57F234C9"/>
    <w:rsid w:val="57F64A30"/>
    <w:rsid w:val="57FE1F46"/>
    <w:rsid w:val="59D4498F"/>
    <w:rsid w:val="5A101121"/>
    <w:rsid w:val="5A1C3667"/>
    <w:rsid w:val="5BA92AD9"/>
    <w:rsid w:val="5BCD45D0"/>
    <w:rsid w:val="5BF47C6E"/>
    <w:rsid w:val="5C3C2CDA"/>
    <w:rsid w:val="5D255365"/>
    <w:rsid w:val="5EED6EC6"/>
    <w:rsid w:val="5F4C206F"/>
    <w:rsid w:val="5F812FDF"/>
    <w:rsid w:val="5F8C0E12"/>
    <w:rsid w:val="5FA74252"/>
    <w:rsid w:val="5FF17B2D"/>
    <w:rsid w:val="61E57855"/>
    <w:rsid w:val="62CA2486"/>
    <w:rsid w:val="63222DBD"/>
    <w:rsid w:val="63853103"/>
    <w:rsid w:val="6468612F"/>
    <w:rsid w:val="64761B65"/>
    <w:rsid w:val="65784FB3"/>
    <w:rsid w:val="661243AA"/>
    <w:rsid w:val="66AE0A74"/>
    <w:rsid w:val="67CB235A"/>
    <w:rsid w:val="68365A5A"/>
    <w:rsid w:val="68437152"/>
    <w:rsid w:val="68572B2F"/>
    <w:rsid w:val="68DD61AE"/>
    <w:rsid w:val="6900625C"/>
    <w:rsid w:val="69540E4B"/>
    <w:rsid w:val="69AE49D0"/>
    <w:rsid w:val="6C5671C2"/>
    <w:rsid w:val="6C575044"/>
    <w:rsid w:val="6E081074"/>
    <w:rsid w:val="6EF116A7"/>
    <w:rsid w:val="6F216FB3"/>
    <w:rsid w:val="70C7355E"/>
    <w:rsid w:val="712D7413"/>
    <w:rsid w:val="71461992"/>
    <w:rsid w:val="714E2468"/>
    <w:rsid w:val="71685DAD"/>
    <w:rsid w:val="72555796"/>
    <w:rsid w:val="72CE347B"/>
    <w:rsid w:val="736A1485"/>
    <w:rsid w:val="73910128"/>
    <w:rsid w:val="73A3787F"/>
    <w:rsid w:val="74435B42"/>
    <w:rsid w:val="74474A79"/>
    <w:rsid w:val="74A829EE"/>
    <w:rsid w:val="74E71787"/>
    <w:rsid w:val="76D04562"/>
    <w:rsid w:val="77B43AFA"/>
    <w:rsid w:val="78306968"/>
    <w:rsid w:val="79754E2A"/>
    <w:rsid w:val="79A1746A"/>
    <w:rsid w:val="79A75FA3"/>
    <w:rsid w:val="7A8A1038"/>
    <w:rsid w:val="7B307D05"/>
    <w:rsid w:val="7B3A4FF7"/>
    <w:rsid w:val="7B660DD5"/>
    <w:rsid w:val="7C3E4761"/>
    <w:rsid w:val="7CBD7BEF"/>
    <w:rsid w:val="7CF5015E"/>
    <w:rsid w:val="7DBC330C"/>
    <w:rsid w:val="7EBA1E2E"/>
    <w:rsid w:val="7EE30820"/>
    <w:rsid w:val="7F665026"/>
    <w:rsid w:val="7FA8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u w:val="single"/>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897</Words>
  <Characters>1032</Characters>
  <Lines>6</Lines>
  <Paragraphs>1</Paragraphs>
  <TotalTime>1</TotalTime>
  <ScaleCrop>false</ScaleCrop>
  <LinksUpToDate>false</LinksUpToDate>
  <CharactersWithSpaces>1222</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2020-08-17T02:47:00Z</dcterms:created>
  <dc:creator>微软用户</dc:creator>
  <cp:lastModifiedBy>彭谦文</cp:lastModifiedBy>
  <cp:lastPrinted>2017-06-02T00:38:00Z</cp:lastPrinted>
  <dcterms:modified xsi:type="dcterms:W3CDTF">2025-12-29T02:06:48Z</dcterms:modified>
  <dc:title>不合格报告说明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1A834393E9864D19B8E2B948580C058D</vt:lpwstr>
  </property>
  <property fmtid="{D5CDD505-2E9C-101B-9397-08002B2CF9AE}" pid="4" name="commondata">
    <vt:lpwstr>eyJoZGlkIjoiNWFiNWNmM2E3YjRjZDI2YjM2ZmQ2ZDE4ZDhhMzM5MDgifQ==</vt:lpwstr>
  </property>
  <property fmtid="{D5CDD505-2E9C-101B-9397-08002B2CF9AE}" pid="5" name="KSOTemplateDocerSaveRecord">
    <vt:lpwstr>eyJoZGlkIjoiNWFiNWNmM2E3YjRjZDI2YjM2ZmQ2ZDE4ZDhhMzM5MDgifQ==</vt:lpwstr>
  </property>
</Properties>
</file>