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01" w:rsidRDefault="00291101">
      <w:pPr>
        <w:ind w:right="146"/>
        <w:rPr>
          <w:rFonts w:hint="eastAsia"/>
          <w:sz w:val="28"/>
        </w:rPr>
      </w:pPr>
    </w:p>
    <w:p w:rsidR="00291101" w:rsidRDefault="00291101">
      <w:pPr>
        <w:ind w:right="146"/>
        <w:rPr>
          <w:rFonts w:hint="eastAsia"/>
          <w:sz w:val="28"/>
        </w:rPr>
      </w:pPr>
    </w:p>
    <w:p w:rsidR="00291101" w:rsidRDefault="00291101">
      <w:pPr>
        <w:ind w:right="146"/>
        <w:rPr>
          <w:rFonts w:hint="eastAsia"/>
          <w:sz w:val="28"/>
        </w:rPr>
      </w:pPr>
    </w:p>
    <w:p w:rsidR="00291101" w:rsidRDefault="00291101">
      <w:pPr>
        <w:shd w:val="pct10" w:color="auto" w:fill="auto"/>
        <w:jc w:val="center"/>
        <w:rPr>
          <w:rFonts w:hint="eastAsia"/>
          <w:sz w:val="48"/>
        </w:rPr>
      </w:pPr>
    </w:p>
    <w:p w:rsidR="00291101" w:rsidRDefault="00291101">
      <w:pPr>
        <w:shd w:val="pct10" w:color="auto" w:fill="auto"/>
        <w:jc w:val="center"/>
        <w:rPr>
          <w:rFonts w:eastAsia="华文中宋" w:hint="eastAsia"/>
          <w:b/>
          <w:bCs/>
          <w:sz w:val="52"/>
        </w:rPr>
      </w:pPr>
      <w:r>
        <w:rPr>
          <w:rFonts w:eastAsia="华文中宋" w:hint="eastAsia"/>
          <w:b/>
          <w:bCs/>
          <w:sz w:val="52"/>
        </w:rPr>
        <w:t>十二、财政、金融</w:t>
      </w:r>
    </w:p>
    <w:p w:rsidR="00291101" w:rsidRDefault="00291101">
      <w:pPr>
        <w:shd w:val="pct10" w:color="auto" w:fill="auto"/>
        <w:rPr>
          <w:rFonts w:hint="eastAsia"/>
          <w:sz w:val="48"/>
        </w:rPr>
      </w:pPr>
    </w:p>
    <w:p w:rsidR="00291101" w:rsidRDefault="00B16C36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203200</wp:posOffset>
                </wp:positionV>
                <wp:extent cx="5069205" cy="0"/>
                <wp:effectExtent l="0" t="0" r="0" b="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920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pt" to="399.1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Hf+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" strokeweight="2.25pt"/>
            </w:pict>
          </mc:Fallback>
        </mc:AlternateContent>
      </w:r>
    </w:p>
    <w:p w:rsidR="00291101" w:rsidRDefault="00291101"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简要说明：</w:t>
      </w:r>
    </w:p>
    <w:p w:rsidR="00291101" w:rsidRDefault="00291101">
      <w:pPr>
        <w:pStyle w:val="a4"/>
        <w:rPr>
          <w:rFonts w:hint="eastAsia"/>
          <w:sz w:val="28"/>
        </w:rPr>
      </w:pPr>
      <w:r>
        <w:rPr>
          <w:rFonts w:hint="eastAsia"/>
        </w:rPr>
        <w:t>本篇资料反映云浮市财政一般预算收支状况和金融机构的发展情况。本篇资料来源于云浮市财政局、中国人民银行云浮中心支行。</w:t>
      </w: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  <w:bookmarkStart w:id="0" w:name="_GoBack"/>
      <w:bookmarkEnd w:id="0"/>
    </w:p>
    <w:sectPr w:rsidR="00291101">
      <w:pgSz w:w="10773" w:h="15309"/>
      <w:pgMar w:top="1418" w:right="1418" w:bottom="1418" w:left="1418" w:header="851" w:footer="964" w:gutter="0"/>
      <w:cols w:space="720"/>
      <w:docGrid w:type="lines" w:linePitch="6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C36" w:rsidRDefault="00B16C36" w:rsidP="00B16C36">
      <w:r>
        <w:separator/>
      </w:r>
    </w:p>
  </w:endnote>
  <w:endnote w:type="continuationSeparator" w:id="0">
    <w:p w:rsidR="00B16C36" w:rsidRDefault="00B16C36" w:rsidP="00B1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C36" w:rsidRDefault="00B16C36" w:rsidP="00B16C36">
      <w:r>
        <w:separator/>
      </w:r>
    </w:p>
  </w:footnote>
  <w:footnote w:type="continuationSeparator" w:id="0">
    <w:p w:rsidR="00B16C36" w:rsidRDefault="00B16C36" w:rsidP="00B16C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1">
    <w:nsid w:val="00000002"/>
    <w:multiLevelType w:val="singleLevel"/>
    <w:tmpl w:val="00000002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2">
    <w:nsid w:val="00000003"/>
    <w:multiLevelType w:val="singleLevel"/>
    <w:tmpl w:val="00000003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3">
    <w:nsid w:val="00000005"/>
    <w:multiLevelType w:val="singleLevel"/>
    <w:tmpl w:val="00000005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4">
    <w:nsid w:val="00000006"/>
    <w:multiLevelType w:val="singleLevel"/>
    <w:tmpl w:val="00000006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585"/>
      </w:pPr>
      <w:rPr>
        <w:rFonts w:hint="eastAsia"/>
      </w:rPr>
    </w:lvl>
  </w:abstractNum>
  <w:abstractNum w:abstractNumId="5">
    <w:nsid w:val="00000007"/>
    <w:multiLevelType w:val="singleLevel"/>
    <w:tmpl w:val="00000007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6">
    <w:nsid w:val="0000000A"/>
    <w:multiLevelType w:val="singleLevel"/>
    <w:tmpl w:val="0000000A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</w:abstractNum>
  <w:abstractNum w:abstractNumId="7">
    <w:nsid w:val="00000014"/>
    <w:multiLevelType w:val="multilevel"/>
    <w:tmpl w:val="00000014"/>
    <w:lvl w:ilvl="0">
      <w:start w:val="4"/>
      <w:numFmt w:val="japaneseCounting"/>
      <w:lvlText w:val="%1、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8">
    <w:nsid w:val="5EE77D13"/>
    <w:multiLevelType w:val="singleLevel"/>
    <w:tmpl w:val="0000000A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32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62E1C"/>
    <w:rsid w:val="000925E5"/>
    <w:rsid w:val="001C518A"/>
    <w:rsid w:val="00291101"/>
    <w:rsid w:val="00603505"/>
    <w:rsid w:val="009A5A23"/>
    <w:rsid w:val="00B16C36"/>
    <w:rsid w:val="00BF6D70"/>
    <w:rsid w:val="00FA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41"/>
    </w:pPr>
  </w:style>
  <w:style w:type="paragraph" w:styleId="a3">
    <w:name w:val="Body Text"/>
    <w:basedOn w:val="a"/>
    <w:pPr>
      <w:ind w:right="41"/>
    </w:pPr>
    <w:rPr>
      <w:sz w:val="24"/>
    </w:rPr>
  </w:style>
  <w:style w:type="paragraph" w:styleId="a4">
    <w:name w:val="Body Text Indent"/>
    <w:basedOn w:val="a"/>
    <w:pPr>
      <w:ind w:right="41" w:firstLineChars="237" w:firstLine="569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A5A2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9A5A23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B16C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B16C36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B16C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B16C3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41"/>
    </w:pPr>
  </w:style>
  <w:style w:type="paragraph" w:styleId="a3">
    <w:name w:val="Body Text"/>
    <w:basedOn w:val="a"/>
    <w:pPr>
      <w:ind w:right="41"/>
    </w:pPr>
    <w:rPr>
      <w:sz w:val="24"/>
    </w:rPr>
  </w:style>
  <w:style w:type="paragraph" w:styleId="a4">
    <w:name w:val="Body Text Indent"/>
    <w:basedOn w:val="a"/>
    <w:pPr>
      <w:ind w:right="41" w:firstLineChars="237" w:firstLine="569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A5A2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9A5A23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B16C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B16C36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B16C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B16C3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yftjj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census3</dc:creator>
  <cp:lastModifiedBy>彦</cp:lastModifiedBy>
  <cp:revision>2</cp:revision>
  <cp:lastPrinted>2014-12-23T09:46:00Z</cp:lastPrinted>
  <dcterms:created xsi:type="dcterms:W3CDTF">2015-07-05T15:29:00Z</dcterms:created>
  <dcterms:modified xsi:type="dcterms:W3CDTF">2015-07-05T15:29:00Z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2052-8.1.0.3199</vt:lpwstr>
  </property>
</Properties>
</file>