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>
      <v:fill r:id="rId4" o:title="新闻纸" type="tile"/>
    </v:background>
  </w:background>
  <w:body>
    <w:p w:rsidR="001119D0" w:rsidRDefault="001119D0">
      <w:pPr>
        <w:spacing w:line="720" w:lineRule="exact"/>
        <w:jc w:val="center"/>
      </w:pPr>
      <w:r>
        <w:rPr>
          <w:rStyle w:val="a4"/>
          <w:rFonts w:ascii="宋体" w:hAnsi="宋体" w:cs="Arial" w:hint="eastAsia"/>
          <w:color w:val="000000"/>
          <w:sz w:val="44"/>
          <w:szCs w:val="44"/>
        </w:rPr>
        <w:t>2012</w:t>
      </w:r>
      <w:r>
        <w:rPr>
          <w:rStyle w:val="a4"/>
          <w:rFonts w:ascii="宋体" w:hAnsi="宋体" w:hint="eastAsia"/>
          <w:color w:val="000000"/>
          <w:sz w:val="44"/>
          <w:szCs w:val="44"/>
        </w:rPr>
        <w:t>年</w:t>
      </w:r>
      <w:r>
        <w:rPr>
          <w:rFonts w:ascii="宋体" w:hAnsi="宋体" w:hint="eastAsia"/>
          <w:b/>
          <w:bCs/>
          <w:color w:val="000000"/>
          <w:sz w:val="44"/>
          <w:szCs w:val="44"/>
        </w:rPr>
        <w:t>云浮</w:t>
      </w:r>
      <w:r>
        <w:rPr>
          <w:rFonts w:ascii="宋体" w:hAnsi="宋体"/>
          <w:b/>
          <w:bCs/>
          <w:sz w:val="44"/>
          <w:szCs w:val="28"/>
        </w:rPr>
        <w:t>国民经济</w:t>
      </w:r>
      <w:r>
        <w:rPr>
          <w:rStyle w:val="a4"/>
          <w:rFonts w:ascii="宋体" w:hAnsi="宋体" w:hint="eastAsia"/>
          <w:color w:val="000000"/>
          <w:sz w:val="44"/>
          <w:szCs w:val="44"/>
        </w:rPr>
        <w:t>和社会发展统计公报</w:t>
      </w:r>
    </w:p>
    <w:p w:rsidR="001119D0" w:rsidRDefault="001119D0">
      <w:pPr>
        <w:spacing w:line="420" w:lineRule="exact"/>
        <w:jc w:val="center"/>
        <w:rPr>
          <w:rFonts w:ascii="楷体_GB2312" w:eastAsia="楷体_GB2312"/>
          <w:b/>
          <w:kern w:val="0"/>
          <w:sz w:val="28"/>
          <w:szCs w:val="28"/>
        </w:rPr>
      </w:pPr>
    </w:p>
    <w:p w:rsidR="001119D0" w:rsidRDefault="001119D0">
      <w:pPr>
        <w:spacing w:line="420" w:lineRule="exact"/>
        <w:jc w:val="center"/>
        <w:rPr>
          <w:rFonts w:ascii="楷体_GB2312" w:eastAsia="楷体_GB2312"/>
          <w:b/>
          <w:kern w:val="0"/>
          <w:sz w:val="28"/>
          <w:szCs w:val="28"/>
        </w:rPr>
      </w:pPr>
    </w:p>
    <w:p w:rsidR="001119D0" w:rsidRDefault="001119D0">
      <w:pPr>
        <w:spacing w:line="420" w:lineRule="exact"/>
        <w:jc w:val="center"/>
        <w:rPr>
          <w:rFonts w:ascii="楷体_GB2312" w:eastAsia="楷体_GB2312"/>
          <w:b/>
          <w:kern w:val="0"/>
          <w:sz w:val="28"/>
          <w:szCs w:val="28"/>
        </w:rPr>
      </w:pPr>
      <w:r>
        <w:rPr>
          <w:rFonts w:ascii="楷体_GB2312" w:eastAsia="楷体_GB2312" w:hint="eastAsia"/>
          <w:b/>
          <w:kern w:val="0"/>
          <w:sz w:val="28"/>
          <w:szCs w:val="28"/>
        </w:rPr>
        <w:t>云浮市统计局   国家统计局云浮调查队</w:t>
      </w:r>
    </w:p>
    <w:p w:rsidR="001119D0" w:rsidRDefault="001119D0">
      <w:pPr>
        <w:spacing w:line="420" w:lineRule="exact"/>
        <w:jc w:val="center"/>
        <w:rPr>
          <w:rFonts w:ascii="楷体_GB2312" w:eastAsia="楷体_GB2312"/>
          <w:b/>
          <w:bCs/>
          <w:sz w:val="15"/>
          <w:szCs w:val="15"/>
        </w:rPr>
      </w:pPr>
      <w:r>
        <w:rPr>
          <w:rFonts w:ascii="楷体_GB2312" w:eastAsia="楷体_GB2312" w:hint="eastAsia"/>
          <w:b/>
          <w:bCs/>
          <w:sz w:val="30"/>
          <w:szCs w:val="28"/>
        </w:rPr>
        <w:t>（2013年2月25日）</w:t>
      </w:r>
    </w:p>
    <w:p w:rsidR="001119D0" w:rsidRDefault="001119D0">
      <w:pPr>
        <w:spacing w:line="420" w:lineRule="exact"/>
        <w:jc w:val="center"/>
        <w:rPr>
          <w:rFonts w:ascii="楷体_GB2312" w:eastAsia="楷体_GB2312"/>
          <w:b/>
          <w:bCs/>
          <w:sz w:val="15"/>
          <w:szCs w:val="15"/>
        </w:rPr>
      </w:pPr>
    </w:p>
    <w:p w:rsidR="001119D0" w:rsidRDefault="001119D0">
      <w:pPr>
        <w:spacing w:line="420" w:lineRule="exact"/>
        <w:jc w:val="center"/>
        <w:rPr>
          <w:rFonts w:ascii="楷体_GB2312" w:eastAsia="楷体_GB2312"/>
          <w:b/>
          <w:bCs/>
          <w:sz w:val="15"/>
          <w:szCs w:val="15"/>
        </w:rPr>
      </w:pPr>
    </w:p>
    <w:p w:rsidR="001119D0" w:rsidRDefault="001119D0">
      <w:pPr>
        <w:autoSpaceDE w:val="0"/>
        <w:autoSpaceDN w:val="0"/>
        <w:adjustRightInd w:val="0"/>
        <w:ind w:firstLineChars="200" w:firstLine="626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2012年，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面对极其复杂的国内外经济环境，全市上下以科学发展观为</w:t>
      </w:r>
      <w:r>
        <w:rPr>
          <w:rFonts w:eastAsia="仿宋_GB2312"/>
          <w:color w:val="000000"/>
          <w:sz w:val="32"/>
          <w:szCs w:val="32"/>
        </w:rPr>
        <w:t>指导，围绕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“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跨越赶超、科学崛起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”</w:t>
      </w:r>
      <w:r>
        <w:rPr>
          <w:rFonts w:eastAsia="仿宋_GB2312"/>
          <w:color w:val="000000"/>
          <w:sz w:val="32"/>
          <w:szCs w:val="32"/>
        </w:rPr>
        <w:t>和建设和谐幸福云浮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eastAsia="仿宋_GB2312"/>
          <w:color w:val="000000"/>
          <w:sz w:val="32"/>
          <w:szCs w:val="32"/>
        </w:rPr>
        <w:t>目标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，落实一系列发展经济措施，积极应对新挑战，不断化解新问题，实现</w:t>
      </w:r>
      <w:r>
        <w:rPr>
          <w:rFonts w:eastAsia="仿宋_GB2312"/>
          <w:sz w:val="32"/>
          <w:szCs w:val="32"/>
          <w:shd w:val="clear" w:color="auto" w:fill="FFFFFF"/>
        </w:rPr>
        <w:t>国民经济平稳较快发展，各项社会事业取得新的进步</w:t>
      </w:r>
      <w:r>
        <w:rPr>
          <w:rFonts w:eastAsia="仿宋_GB2312"/>
          <w:color w:val="000000"/>
          <w:sz w:val="32"/>
          <w:szCs w:val="32"/>
        </w:rPr>
        <w:t>。</w:t>
      </w:r>
    </w:p>
    <w:p w:rsidR="001119D0" w:rsidRDefault="001119D0" w:rsidP="00785D35">
      <w:pPr>
        <w:spacing w:beforeLines="50" w:before="160" w:afterLines="50" w:after="160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Style w:val="a4"/>
          <w:rFonts w:ascii="黑体" w:eastAsia="黑体" w:hint="eastAsia"/>
          <w:color w:val="000000"/>
          <w:sz w:val="32"/>
          <w:szCs w:val="32"/>
        </w:rPr>
        <w:t>一、综合</w:t>
      </w:r>
    </w:p>
    <w:p w:rsidR="001119D0" w:rsidRDefault="001119D0" w:rsidP="004727A9">
      <w:pPr>
        <w:widowControl/>
        <w:spacing w:after="100" w:afterAutospacing="1" w:line="312" w:lineRule="auto"/>
        <w:ind w:firstLineChars="196" w:firstLine="614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初步核算，2012年全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市实现地区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生产总值（GDP）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540.45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亿元，按可比价计算，比上年增长12.8%。其中，第一产业增加值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129.16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亿元，增长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5.8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%，对GDP增长的贡献率为10.4%；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第二产业增加值238.76亿元，增长20.3%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，对GDP增长的贡献率为70.7%；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第三产业增加值172.53亿元，增长7.5%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，对GDP增长的贡献率为18.9%。三次产业结构为23.9：44.2：31.9。在第三产业中，批发和零售业增长8.0%，住宿和餐饮业增长5.6%，金融业增长11.0%,房地产业增长7.0%。民营经济增加值359.63亿元，增长13.2%。</w:t>
      </w:r>
    </w:p>
    <w:p w:rsidR="001119D0" w:rsidRDefault="007F58DC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/>
          <w:b/>
          <w:bCs/>
          <w:sz w:val="30"/>
          <w:szCs w:val="30"/>
        </w:rPr>
        <w:br w:type="page"/>
      </w:r>
    </w:p>
    <w:p w:rsidR="001119D0" w:rsidRDefault="001119D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1119D0" w:rsidRDefault="00A17D5C">
      <w:pPr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467350" cy="33432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9D0" w:rsidRDefault="001119D0" w:rsidP="00FE0A8D">
      <w:pPr>
        <w:widowControl/>
        <w:spacing w:before="100" w:beforeAutospacing="1" w:line="312" w:lineRule="auto"/>
        <w:jc w:val="center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表1：2012年地区生产总值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7"/>
        <w:gridCol w:w="2722"/>
        <w:gridCol w:w="2363"/>
      </w:tblGrid>
      <w:tr w:rsidR="001119D0" w:rsidTr="007D718A">
        <w:trPr>
          <w:jc w:val="center"/>
        </w:trPr>
        <w:tc>
          <w:tcPr>
            <w:tcW w:w="3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         标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2012年（亿元</w:t>
            </w:r>
            <w:r w:rsidRPr="00785D35">
              <w:rPr>
                <w:rFonts w:asciiTheme="minorEastAsia" w:eastAsiaTheme="minorEastAsia" w:hAnsiTheme="minorEastAsia" w:cs="宋体"/>
                <w:kern w:val="0"/>
                <w:szCs w:val="21"/>
              </w:rPr>
              <w:t>）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比上年增长(%)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b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地区生产总值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540.4</w:t>
            </w:r>
            <w:r w:rsidRPr="007D718A">
              <w:rPr>
                <w:rFonts w:hint="eastAsia"/>
                <w:color w:val="000000"/>
                <w:szCs w:val="21"/>
              </w:rPr>
              <w:t>5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12.8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第一产业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129.</w:t>
            </w:r>
            <w:r w:rsidRPr="007D718A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5.8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第二产业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238.</w:t>
            </w:r>
            <w:r w:rsidRPr="007D718A">
              <w:rPr>
                <w:rFonts w:hint="eastAsia"/>
                <w:color w:val="000000"/>
                <w:szCs w:val="21"/>
              </w:rPr>
              <w:t>76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20.3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工业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213.3</w:t>
            </w:r>
            <w:r w:rsidRPr="007D718A">
              <w:rPr>
                <w:rFonts w:hint="eastAsia"/>
                <w:color w:val="000000"/>
                <w:szCs w:val="21"/>
              </w:rPr>
              <w:t>4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21.7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建筑业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25.4</w:t>
            </w:r>
            <w:r w:rsidRPr="007D718A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7.9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ind w:firstLineChars="100" w:firstLine="203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第三产业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172.5</w:t>
            </w:r>
            <w:r w:rsidRPr="007D718A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7.5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交通运输、仓储和邮政业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12.</w:t>
            </w:r>
            <w:r w:rsidRPr="007D718A">
              <w:rPr>
                <w:rFonts w:hint="eastAsia"/>
                <w:color w:val="000000"/>
                <w:szCs w:val="21"/>
              </w:rPr>
              <w:t>69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10.7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批发和零售业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34.6</w:t>
            </w:r>
            <w:r w:rsidRPr="007D718A">
              <w:rPr>
                <w:rFonts w:hint="eastAsia"/>
                <w:color w:val="000000"/>
                <w:szCs w:val="21"/>
              </w:rPr>
              <w:t>2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8.0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住宿和餐饮业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12.</w:t>
            </w:r>
            <w:r w:rsidRPr="007D718A">
              <w:rPr>
                <w:rFonts w:hint="eastAsia"/>
                <w:color w:val="000000"/>
                <w:szCs w:val="21"/>
              </w:rPr>
              <w:t>29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5.6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金融业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10.6</w:t>
            </w:r>
            <w:r w:rsidRPr="007D718A">
              <w:rPr>
                <w:rFonts w:hint="eastAsia"/>
                <w:color w:val="000000"/>
                <w:szCs w:val="21"/>
              </w:rPr>
              <w:t>4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11.0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房地产业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23.</w:t>
            </w:r>
            <w:r w:rsidRPr="007D718A">
              <w:rPr>
                <w:rFonts w:hint="eastAsia"/>
                <w:color w:val="000000"/>
                <w:szCs w:val="21"/>
              </w:rPr>
              <w:t>47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7.0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营利性服务业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33.</w:t>
            </w:r>
            <w:r w:rsidRPr="007D718A">
              <w:rPr>
                <w:rFonts w:hint="eastAsia"/>
                <w:color w:val="000000"/>
                <w:szCs w:val="21"/>
              </w:rPr>
              <w:t>48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3.0 </w:t>
            </w:r>
          </w:p>
        </w:tc>
      </w:tr>
      <w:tr w:rsidR="001119D0" w:rsidTr="007D718A">
        <w:trPr>
          <w:jc w:val="center"/>
        </w:trPr>
        <w:tc>
          <w:tcPr>
            <w:tcW w:w="3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非营利性服务业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80" w:right="975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>45.3</w:t>
            </w:r>
            <w:r w:rsidRPr="007D718A">
              <w:rPr>
                <w:rFonts w:hint="eastAsia"/>
                <w:color w:val="000000"/>
                <w:szCs w:val="21"/>
              </w:rPr>
              <w:t>3</w:t>
            </w:r>
            <w:r w:rsidRPr="007D718A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19D0" w:rsidRPr="007D718A" w:rsidRDefault="001119D0" w:rsidP="00FE0A8D">
            <w:pPr>
              <w:autoSpaceDN w:val="0"/>
              <w:spacing w:line="420" w:lineRule="exact"/>
              <w:ind w:rightChars="457" w:right="928"/>
              <w:jc w:val="right"/>
              <w:textAlignment w:val="center"/>
              <w:rPr>
                <w:color w:val="000000"/>
                <w:szCs w:val="21"/>
              </w:rPr>
            </w:pPr>
            <w:r w:rsidRPr="007D718A">
              <w:rPr>
                <w:color w:val="000000"/>
                <w:szCs w:val="21"/>
              </w:rPr>
              <w:t xml:space="preserve">9.8 </w:t>
            </w:r>
          </w:p>
        </w:tc>
      </w:tr>
    </w:tbl>
    <w:p w:rsidR="001119D0" w:rsidRDefault="001119D0">
      <w:pPr>
        <w:ind w:firstLineChars="200" w:firstLine="626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1119D0" w:rsidRDefault="001119D0">
      <w:pPr>
        <w:ind w:firstLineChars="200" w:firstLine="626"/>
        <w:jc w:val="left"/>
        <w:rPr>
          <w:rStyle w:val="a4"/>
          <w:rFonts w:ascii="仿宋_GB2312" w:eastAsia="仿宋_GB2312" w:hAnsi="仿宋_GB2312" w:cs="仿宋_GB2312"/>
          <w:color w:val="000000"/>
          <w:sz w:val="24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全年居民消费价格指数为102.9%</w:t>
      </w:r>
      <w:r>
        <w:rPr>
          <w:rFonts w:ascii="仿宋_GB2312" w:eastAsia="仿宋_GB2312" w:hAnsi="仿宋_GB2312" w:cs="仿宋_GB2312" w:hint="eastAsia"/>
          <w:color w:val="000000"/>
          <w:szCs w:val="21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比上年回落2.7个百分点。</w:t>
      </w:r>
    </w:p>
    <w:p w:rsidR="001119D0" w:rsidRPr="00FE0A8D" w:rsidRDefault="001119D0" w:rsidP="00FE0A8D">
      <w:pPr>
        <w:widowControl/>
        <w:spacing w:before="100" w:beforeAutospacing="1" w:line="312" w:lineRule="auto"/>
        <w:jc w:val="center"/>
        <w:rPr>
          <w:rFonts w:ascii="黑体" w:eastAsia="黑体" w:hAnsi="黑体" w:cs="黑体"/>
          <w:b/>
          <w:bCs/>
          <w:kern w:val="0"/>
          <w:sz w:val="28"/>
          <w:szCs w:val="28"/>
        </w:rPr>
      </w:pPr>
      <w:r w:rsidRPr="00FE0A8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lastRenderedPageBreak/>
        <w:t>表2：2011-2012年居民消费价格指数（单位：%）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80"/>
        <w:gridCol w:w="2500"/>
        <w:gridCol w:w="2380"/>
      </w:tblGrid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         标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2012年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Cs w:val="21"/>
              </w:rPr>
              <w:t>居民消费价格指数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105.6</w:t>
            </w:r>
          </w:p>
        </w:tc>
        <w:tc>
          <w:tcPr>
            <w:tcW w:w="2380" w:type="dxa"/>
            <w:tcBorders>
              <w:top w:val="single" w:sz="4" w:space="0" w:color="auto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102.9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#食  品</w:t>
            </w:r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108.6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104.7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烟酒及用品</w:t>
            </w:r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101.6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102.0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衣</w:t>
            </w:r>
            <w:proofErr w:type="gramStart"/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着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94.0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102.2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家庭设备用品及维修服务</w:t>
            </w:r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103.8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107.3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医疗保健和个人用品</w:t>
            </w:r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103.0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101.9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交通和通信</w:t>
            </w:r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101.1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99.5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教育文化用品及服务</w:t>
            </w:r>
          </w:p>
        </w:tc>
        <w:tc>
          <w:tcPr>
            <w:tcW w:w="2500" w:type="dxa"/>
            <w:tcBorders>
              <w:top w:val="nil"/>
              <w:lef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101.8</w:t>
            </w:r>
          </w:p>
        </w:tc>
        <w:tc>
          <w:tcPr>
            <w:tcW w:w="2380" w:type="dxa"/>
            <w:tcBorders>
              <w:top w:val="nil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103.7</w:t>
            </w:r>
          </w:p>
        </w:tc>
      </w:tr>
      <w:tr w:rsidR="001119D0" w:rsidTr="007D718A">
        <w:trPr>
          <w:trHeight w:val="360"/>
          <w:jc w:val="center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9D0" w:rsidRPr="00785D35" w:rsidRDefault="001119D0" w:rsidP="00FE0A8D">
            <w:pPr>
              <w:widowControl/>
              <w:spacing w:line="420" w:lineRule="exac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居  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90" w:right="995"/>
              <w:jc w:val="right"/>
              <w:rPr>
                <w:rFonts w:eastAsia="楷体_GB2312"/>
                <w:kern w:val="0"/>
                <w:szCs w:val="21"/>
              </w:rPr>
            </w:pPr>
            <w:r>
              <w:rPr>
                <w:color w:val="000000"/>
              </w:rPr>
              <w:t>111.3</w:t>
            </w:r>
          </w:p>
        </w:tc>
        <w:tc>
          <w:tcPr>
            <w:tcW w:w="238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119D0" w:rsidRDefault="001119D0" w:rsidP="00FE0A8D">
            <w:pPr>
              <w:spacing w:line="420" w:lineRule="exact"/>
              <w:ind w:rightChars="405" w:right="822"/>
              <w:jc w:val="righ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100.3</w:t>
            </w:r>
          </w:p>
        </w:tc>
      </w:tr>
    </w:tbl>
    <w:p w:rsidR="001119D0" w:rsidRDefault="001119D0"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城镇新增就业3.85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解决就业困难人员就业2600人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；全年城镇登记失业率为2.75%。推进农村劳动力有序化技能化规模化转移就业，全年新增转移农业劳动力6.11万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人,组织农村劳动力技能培训3.83万人,组织免费创业培训2988人,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实现自主创业893人,带动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就业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2865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1119D0" w:rsidRPr="004727A9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/>
          <w:color w:val="000000"/>
          <w:sz w:val="32"/>
          <w:szCs w:val="32"/>
        </w:rPr>
        <w:t>二、农业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2012年，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全市粮食作物播种面积11.94万公顷，比上年增长0.4%。稻谷种植面积9.15万公顷，增长0.5%；油料种植面积1.86万公顷，增长4.6%；蔬菜种植面积2.41万公顷，增长5.7%。</w:t>
      </w:r>
    </w:p>
    <w:p w:rsidR="001119D0" w:rsidRPr="00FE0A8D" w:rsidRDefault="001119D0" w:rsidP="00FE0A8D">
      <w:pPr>
        <w:widowControl/>
        <w:spacing w:before="100" w:beforeAutospacing="1" w:line="312" w:lineRule="auto"/>
        <w:jc w:val="center"/>
        <w:rPr>
          <w:rFonts w:ascii="黑体" w:eastAsia="黑体" w:hAnsi="黑体" w:cs="黑体"/>
          <w:b/>
          <w:bCs/>
          <w:kern w:val="0"/>
          <w:sz w:val="28"/>
          <w:szCs w:val="28"/>
        </w:rPr>
      </w:pPr>
      <w:r w:rsidRPr="00FE0A8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表3：2012年主要农副产品产量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2130"/>
        <w:gridCol w:w="2131"/>
        <w:gridCol w:w="1997"/>
      </w:tblGrid>
      <w:tr w:rsidR="001119D0" w:rsidTr="00FE0A8D">
        <w:trPr>
          <w:trHeight w:val="414"/>
          <w:jc w:val="center"/>
        </w:trPr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   标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单位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比上年增长%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粮食总产量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万吨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70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81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2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9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蔬菜总产量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万吨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kern w:val="0"/>
                <w:szCs w:val="21"/>
              </w:rPr>
              <w:t>44.</w:t>
            </w:r>
            <w:r w:rsidRPr="00FE0A8D">
              <w:rPr>
                <w:rFonts w:hint="eastAsia"/>
                <w:kern w:val="0"/>
                <w:szCs w:val="21"/>
              </w:rPr>
              <w:t>4</w:t>
            </w:r>
            <w:r w:rsidRPr="00FE0A8D">
              <w:rPr>
                <w:kern w:val="0"/>
                <w:szCs w:val="21"/>
              </w:rPr>
              <w:t>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-0</w:t>
            </w:r>
            <w:r w:rsidRPr="00FE0A8D">
              <w:rPr>
                <w:kern w:val="0"/>
                <w:szCs w:val="21"/>
              </w:rPr>
              <w:t>.7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肉类总产量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万吨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30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17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2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8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szCs w:val="21"/>
              </w:rPr>
              <w:t>禽肉产量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万吨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kern w:val="0"/>
                <w:szCs w:val="21"/>
              </w:rPr>
              <w:t>1</w:t>
            </w:r>
            <w:r w:rsidRPr="00FE0A8D">
              <w:rPr>
                <w:rFonts w:hint="eastAsia"/>
                <w:kern w:val="0"/>
                <w:szCs w:val="21"/>
              </w:rPr>
              <w:t>9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44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4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7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szCs w:val="21"/>
              </w:rPr>
              <w:lastRenderedPageBreak/>
              <w:t>水果产量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万吨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71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17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kern w:val="0"/>
                <w:szCs w:val="21"/>
              </w:rPr>
              <w:t>7.</w:t>
            </w:r>
            <w:r w:rsidRPr="00FE0A8D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水产品总产量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万吨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10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2</w:t>
            </w:r>
            <w:r w:rsidRPr="00FE0A8D">
              <w:rPr>
                <w:kern w:val="0"/>
                <w:szCs w:val="21"/>
              </w:rPr>
              <w:t>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kern w:val="0"/>
                <w:szCs w:val="21"/>
              </w:rPr>
              <w:t>4.1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出栏生猪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万头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kern w:val="0"/>
                <w:szCs w:val="21"/>
              </w:rPr>
              <w:t>13</w:t>
            </w:r>
            <w:r w:rsidRPr="00FE0A8D">
              <w:rPr>
                <w:rFonts w:hint="eastAsia"/>
                <w:kern w:val="0"/>
                <w:szCs w:val="21"/>
              </w:rPr>
              <w:t>7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68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5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1119D0" w:rsidTr="00FE0A8D">
        <w:trPr>
          <w:jc w:val="center"/>
        </w:trPr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出栏家禽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9D0" w:rsidRPr="00785D35" w:rsidRDefault="001119D0" w:rsidP="00FE0A8D">
            <w:pPr>
              <w:widowControl/>
              <w:spacing w:line="42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785D35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万只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59" w:right="729"/>
              <w:jc w:val="right"/>
              <w:rPr>
                <w:kern w:val="0"/>
                <w:szCs w:val="21"/>
              </w:rPr>
            </w:pPr>
            <w:r w:rsidRPr="00FE0A8D">
              <w:rPr>
                <w:kern w:val="0"/>
                <w:szCs w:val="21"/>
              </w:rPr>
              <w:t>15</w:t>
            </w:r>
            <w:r w:rsidRPr="00FE0A8D">
              <w:rPr>
                <w:rFonts w:hint="eastAsia"/>
                <w:kern w:val="0"/>
                <w:szCs w:val="21"/>
              </w:rPr>
              <w:t>678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9D0" w:rsidRPr="00FE0A8D" w:rsidRDefault="001119D0" w:rsidP="00FE0A8D">
            <w:pPr>
              <w:widowControl/>
              <w:spacing w:line="420" w:lineRule="exact"/>
              <w:ind w:rightChars="365" w:right="741"/>
              <w:jc w:val="right"/>
              <w:rPr>
                <w:kern w:val="0"/>
                <w:szCs w:val="21"/>
              </w:rPr>
            </w:pPr>
            <w:r w:rsidRPr="00FE0A8D">
              <w:rPr>
                <w:rFonts w:hint="eastAsia"/>
                <w:kern w:val="0"/>
                <w:szCs w:val="21"/>
              </w:rPr>
              <w:t>3</w:t>
            </w:r>
            <w:r w:rsidRPr="00FE0A8D">
              <w:rPr>
                <w:kern w:val="0"/>
                <w:szCs w:val="21"/>
              </w:rPr>
              <w:t>.</w:t>
            </w:r>
            <w:r w:rsidRPr="00FE0A8D">
              <w:rPr>
                <w:rFonts w:hint="eastAsia"/>
                <w:kern w:val="0"/>
                <w:szCs w:val="21"/>
              </w:rPr>
              <w:t>0</w:t>
            </w:r>
          </w:p>
        </w:tc>
      </w:tr>
    </w:tbl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全年粮食产量70.81万吨，增长2.9%。稻谷产量59.58万吨，增长2.3%。油料产量 4.98 万吨，增长 6.8 %。蔬菜产量 44.41 万吨，下降0.7 %。水果产量71.17万吨，增长7.1%。茶叶产量 0.3万吨，下降2.5 %。</w:t>
      </w:r>
    </w:p>
    <w:p w:rsidR="001119D0" w:rsidRDefault="001119D0">
      <w:pPr>
        <w:ind w:firstLineChars="200" w:firstLine="406"/>
        <w:rPr>
          <w:rStyle w:val="a4"/>
          <w:rFonts w:ascii="黑体" w:eastAsia="黑体" w:hAnsi="宋体"/>
          <w:bCs w:val="0"/>
          <w:color w:val="000000"/>
          <w:sz w:val="32"/>
          <w:szCs w:val="32"/>
        </w:rPr>
      </w:pPr>
      <w:r>
        <w:object w:dxaOrig="8182" w:dyaOrig="58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206.25pt;mso-position-horizontal-relative:page;mso-position-vertical-relative:page" o:ole="">
            <v:imagedata r:id="rId10" o:title=""/>
          </v:shape>
          <o:OLEObject Type="Embed" ProgID="ET.Chart.6" ShapeID="_x0000_i1025" DrawAspect="Content" ObjectID="_1497284121" r:id="rId11"/>
        </w:object>
      </w:r>
      <w:r>
        <w:rPr>
          <w:rFonts w:hint="eastAsia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全年肉类总产量30.17万吨，增长2.8%。其中：猪肉产量9.94万吨，增长4.8%；牛肉产量 0.26万吨，下降22.7 %；禽肉产量19.44万吨，增长4.7%。全年水产品产量10.22万吨，增长4.1%。</w:t>
      </w:r>
    </w:p>
    <w:p w:rsidR="001119D0" w:rsidRPr="007B518B" w:rsidRDefault="007B518B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 w:hint="eastAsia"/>
          <w:color w:val="000000"/>
          <w:sz w:val="32"/>
          <w:szCs w:val="32"/>
        </w:rPr>
        <w:t>三、</w:t>
      </w:r>
      <w:r w:rsidR="001119D0" w:rsidRPr="007B518B">
        <w:rPr>
          <w:rStyle w:val="a4"/>
          <w:rFonts w:ascii="黑体" w:eastAsia="黑体" w:hint="eastAsia"/>
          <w:color w:val="000000"/>
          <w:sz w:val="32"/>
          <w:szCs w:val="32"/>
        </w:rPr>
        <w:t>工业和建筑业</w:t>
      </w:r>
    </w:p>
    <w:p w:rsidR="001119D0" w:rsidRDefault="001119D0">
      <w:pPr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2012年，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全市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完成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规模以上工业增加值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138.76亿元，同比增长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26.1%。按轻重工分：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轻工业完成增加值54.88亿元，同比增长31.0%；重工业完成增加值83.88亿元，同比增长25.4%。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按经济类型分：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国有企业增加值14.44亿元，下降1.8%；集体企业增加值0.45亿元，下降43.0%；股份制企业增加值78.16亿元，增长40.4%；外商及港澳台商投资企业增加值40.35亿元，增长22.3%；国有控股企业增加值16.55亿元，增长5.0%；民营企业增加值83.26亿元，增长36.8%。按大中型企业分：大型企业增加值17.47亿元，增长10.8%；中型企业增加值42.58亿元，增长12.9%；小型企业增加值78.25亿元，增长44.2%； 微型企业增加值0.46亿元，下降0.7%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1119D0" w:rsidRDefault="001119D0">
      <w:pPr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 xml:space="preserve">    高技术制造业增加值增长29.1%，其中医药制造业增长23.1%，电子及通信设备制造业增长33.8%。</w:t>
      </w:r>
    </w:p>
    <w:p w:rsidR="001119D0" w:rsidRDefault="001119D0">
      <w:pPr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 xml:space="preserve">    先进制造业中，装备制造业增加值增长38.6%，钢铁冶炼及加工业增长43.1%，石油及化学行业增长34.9%。石油及化学行业中，化学原料及化学制品制造业增长34.9%。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传统优势产业增加值增长28.5%，其中纺织服装业增长19.0%，食品饮料业增长36.8%，家具制造业增长159.4%，建筑材料增长27.8%，金属制品业增长30.7%，家用电力器具制造业下降15.3%。</w:t>
      </w:r>
    </w:p>
    <w:p w:rsidR="001119D0" w:rsidRDefault="001119D0">
      <w:pPr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 xml:space="preserve">    全市完成规模以上工业销售产值555.92亿元，增长28.3%，其中出口交货值为85.7亿元，增长18.2%。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t>全年工业经济效益综合指数194.0%。资产贡献率13.0%，资本保值增值率108.2%，资产负债率56.7%，流动资产周转次数2.7次，成本费用利润率5.5%，全员劳动生产率13.68万元/人年，产品销售率96.8%。实现利润总额27.94亿元，增长60.3%。亏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shd w:val="clear" w:color="auto" w:fill="FFFFFF"/>
        </w:rPr>
        <w:lastRenderedPageBreak/>
        <w:t>损企业亏损总额1.67亿元，下降78.7%。</w:t>
      </w:r>
    </w:p>
    <w:p w:rsidR="001119D0" w:rsidRPr="00FE0A8D" w:rsidRDefault="001119D0" w:rsidP="00FE0A8D">
      <w:pPr>
        <w:widowControl/>
        <w:spacing w:before="100" w:beforeAutospacing="1" w:line="312" w:lineRule="auto"/>
        <w:jc w:val="center"/>
        <w:rPr>
          <w:rFonts w:ascii="黑体" w:eastAsia="黑体" w:hAnsi="黑体" w:cs="黑体"/>
          <w:b/>
          <w:bCs/>
          <w:kern w:val="0"/>
          <w:sz w:val="28"/>
          <w:szCs w:val="28"/>
        </w:rPr>
      </w:pPr>
      <w:r w:rsidRPr="00FE0A8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表4：2012年主要工业产品产量及其增长速度</w:t>
      </w:r>
      <w:bookmarkStart w:id="0" w:name="_GoBack"/>
      <w:bookmarkEnd w:id="0"/>
    </w:p>
    <w:tbl>
      <w:tblPr>
        <w:tblpPr w:leftFromText="180" w:rightFromText="180" w:vertAnchor="text" w:horzAnchor="page" w:tblpXSpec="center" w:tblpY="516"/>
        <w:tblOverlap w:val="never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1672"/>
        <w:gridCol w:w="2268"/>
        <w:gridCol w:w="2301"/>
      </w:tblGrid>
      <w:tr w:rsidR="001119D0" w:rsidRPr="00FE0A8D" w:rsidTr="007B518B">
        <w:trPr>
          <w:trHeight w:val="405"/>
          <w:jc w:val="center"/>
        </w:trPr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产品名称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单 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201</w:t>
            </w:r>
            <w:r w:rsidRPr="00785D35">
              <w:rPr>
                <w:rFonts w:asciiTheme="minorEastAsia" w:eastAsiaTheme="minorEastAsia" w:hAnsiTheme="minorEastAsia" w:hint="eastAsia"/>
              </w:rPr>
              <w:t>2</w:t>
            </w:r>
            <w:r w:rsidRPr="00785D35">
              <w:rPr>
                <w:rFonts w:asciiTheme="minorEastAsia" w:eastAsiaTheme="minorEastAsia" w:hAnsiTheme="minorEastAsia"/>
              </w:rPr>
              <w:t>年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比上年增长%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发电量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亿千瓦时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 xml:space="preserve">75.92 </w:t>
            </w:r>
          </w:p>
        </w:tc>
        <w:tc>
          <w:tcPr>
            <w:tcW w:w="2301" w:type="dxa"/>
            <w:tcBorders>
              <w:top w:val="single" w:sz="4" w:space="0" w:color="000000"/>
            </w:tcBorders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 xml:space="preserve">-13.9 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水泥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万吨</w:t>
            </w:r>
          </w:p>
        </w:tc>
        <w:tc>
          <w:tcPr>
            <w:tcW w:w="2268" w:type="dxa"/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 xml:space="preserve">810.19 </w:t>
            </w:r>
          </w:p>
        </w:tc>
        <w:tc>
          <w:tcPr>
            <w:tcW w:w="2301" w:type="dxa"/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62.8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硫铁矿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万吨</w:t>
            </w:r>
          </w:p>
        </w:tc>
        <w:tc>
          <w:tcPr>
            <w:tcW w:w="2268" w:type="dxa"/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 xml:space="preserve">240.72 </w:t>
            </w:r>
          </w:p>
        </w:tc>
        <w:tc>
          <w:tcPr>
            <w:tcW w:w="2301" w:type="dxa"/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1.1</w:t>
            </w:r>
          </w:p>
        </w:tc>
      </w:tr>
      <w:tr w:rsidR="001119D0" w:rsidTr="007B518B">
        <w:trPr>
          <w:trHeight w:val="450"/>
          <w:jc w:val="center"/>
        </w:trPr>
        <w:tc>
          <w:tcPr>
            <w:tcW w:w="2405" w:type="dxa"/>
            <w:tcBorders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化肥（折纯）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万吨</w:t>
            </w:r>
          </w:p>
        </w:tc>
        <w:tc>
          <w:tcPr>
            <w:tcW w:w="2268" w:type="dxa"/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 xml:space="preserve">0.88 </w:t>
            </w:r>
          </w:p>
        </w:tc>
        <w:tc>
          <w:tcPr>
            <w:tcW w:w="2301" w:type="dxa"/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17.9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硫酸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万吨</w:t>
            </w:r>
          </w:p>
        </w:tc>
        <w:tc>
          <w:tcPr>
            <w:tcW w:w="2268" w:type="dxa"/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>140.8</w:t>
            </w:r>
          </w:p>
        </w:tc>
        <w:tc>
          <w:tcPr>
            <w:tcW w:w="2301" w:type="dxa"/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4.8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不锈钢制品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万吨</w:t>
            </w:r>
          </w:p>
        </w:tc>
        <w:tc>
          <w:tcPr>
            <w:tcW w:w="2268" w:type="dxa"/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 xml:space="preserve">12.06 </w:t>
            </w:r>
          </w:p>
        </w:tc>
        <w:tc>
          <w:tcPr>
            <w:tcW w:w="2301" w:type="dxa"/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0.9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服装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万件</w:t>
            </w:r>
          </w:p>
        </w:tc>
        <w:tc>
          <w:tcPr>
            <w:tcW w:w="2268" w:type="dxa"/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>5618.6</w:t>
            </w:r>
          </w:p>
        </w:tc>
        <w:tc>
          <w:tcPr>
            <w:tcW w:w="2301" w:type="dxa"/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17.3</w:t>
            </w:r>
          </w:p>
        </w:tc>
      </w:tr>
      <w:tr w:rsidR="001119D0" w:rsidTr="007B518B">
        <w:trPr>
          <w:trHeight w:val="405"/>
          <w:jc w:val="center"/>
        </w:trPr>
        <w:tc>
          <w:tcPr>
            <w:tcW w:w="240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电池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19D0" w:rsidRPr="00785D35" w:rsidRDefault="001119D0" w:rsidP="00FE0A8D">
            <w:pPr>
              <w:spacing w:line="420" w:lineRule="exact"/>
              <w:jc w:val="center"/>
              <w:rPr>
                <w:rFonts w:asciiTheme="minorEastAsia" w:eastAsiaTheme="minorEastAsia" w:hAnsiTheme="minorEastAsia"/>
              </w:rPr>
            </w:pPr>
            <w:r w:rsidRPr="00785D35">
              <w:rPr>
                <w:rFonts w:asciiTheme="minorEastAsia" w:eastAsiaTheme="minorEastAsia" w:hAnsiTheme="minorEastAsia"/>
              </w:rPr>
              <w:t>亿只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1119D0" w:rsidRDefault="001119D0" w:rsidP="007B518B">
            <w:pPr>
              <w:tabs>
                <w:tab w:val="left" w:pos="1593"/>
              </w:tabs>
              <w:spacing w:line="420" w:lineRule="exact"/>
              <w:ind w:rightChars="365" w:right="741"/>
              <w:jc w:val="right"/>
            </w:pPr>
            <w:r>
              <w:t xml:space="preserve">25.37 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1119D0" w:rsidRDefault="001119D0" w:rsidP="007B518B">
            <w:pPr>
              <w:tabs>
                <w:tab w:val="left" w:pos="1168"/>
              </w:tabs>
              <w:spacing w:line="420" w:lineRule="exact"/>
              <w:ind w:rightChars="451" w:right="916"/>
              <w:jc w:val="right"/>
            </w:pPr>
            <w:r>
              <w:t>18.7</w:t>
            </w:r>
          </w:p>
        </w:tc>
      </w:tr>
    </w:tbl>
    <w:p w:rsidR="001119D0" w:rsidRDefault="001119D0">
      <w:pPr>
        <w:rPr>
          <w:rFonts w:ascii="仿宋_GB2312" w:eastAsia="仿宋_GB2312" w:hAnsi="仿宋_GB2312" w:cs="仿宋_GB2312"/>
          <w:color w:val="FF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，全市资质等级以上建筑企业44个。完成房屋建筑施工面积185.18万平方米,同比下降11.7%；房屋竣工面积111.06万平方米,同比增长24.1%。全年完成建筑业增加值25.41亿元，比上年增长10.0%；以建筑企业产值计算的劳动生产率14.71万元/人。</w:t>
      </w:r>
    </w:p>
    <w:p w:rsidR="001119D0" w:rsidRPr="007B518B" w:rsidRDefault="007B518B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>
        <w:rPr>
          <w:rStyle w:val="a4"/>
          <w:rFonts w:ascii="黑体" w:eastAsia="黑体" w:hint="eastAsia"/>
          <w:color w:val="000000"/>
          <w:sz w:val="32"/>
          <w:szCs w:val="32"/>
        </w:rPr>
        <w:t>四、</w:t>
      </w:r>
      <w:r w:rsidR="001119D0" w:rsidRPr="007B518B">
        <w:rPr>
          <w:rStyle w:val="a4"/>
          <w:rFonts w:ascii="黑体" w:eastAsia="黑体" w:hint="eastAsia"/>
          <w:color w:val="000000"/>
          <w:sz w:val="32"/>
          <w:szCs w:val="32"/>
        </w:rPr>
        <w:t>固定资产投资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2012年，全市完成固定资产投资463.66亿元，比上年增长31.3%。其中城镇投资393.88亿元，增长63.6%；农村投资69.78亿元，下降37.9%。全年商品房销售额36.44亿元，增长33.6%；商品房销售面积85.26万平方米，增长19.8%。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从投资主体看，全年国有经济投资78.54亿元，下降17.0%，非国有经济投资385.12亿元，增长48.8%。</w:t>
      </w:r>
    </w:p>
    <w:p w:rsidR="001119D0" w:rsidRDefault="001119D0">
      <w:pPr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 xml:space="preserve">    从三次产业看，第一产业投资11.85亿元，增长58.7%；第二产业投资286.14亿元，增长41.9%。其中工业投资277.12亿元，增长39.7%；第三产业投资165.67亿元，增长14.9%。</w:t>
      </w:r>
    </w:p>
    <w:p w:rsidR="001119D0" w:rsidRDefault="001119D0">
      <w:pPr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全年基础设施建设完成投资80.57亿元，下降9.8%。其中交通运输、仓储和邮政业完成投资32.71亿元，下降42.9%；电力、燃气及水的生产和供应业投资25.82亿元，增长56.0%；水利、环境和公共设施管理投资17.62亿元，增长39.0%。</w:t>
      </w:r>
    </w:p>
    <w:p w:rsidR="001119D0" w:rsidRPr="004727A9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/>
          <w:color w:val="000000"/>
          <w:sz w:val="32"/>
          <w:szCs w:val="32"/>
        </w:rPr>
        <w:t>五、交通、邮电和旅游</w:t>
      </w:r>
    </w:p>
    <w:p w:rsidR="001119D0" w:rsidRDefault="001119D0">
      <w:pPr>
        <w:widowControl/>
        <w:spacing w:line="480" w:lineRule="auto"/>
        <w:ind w:firstLine="626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2012年，全市交通运输、仓储和邮电通信业实现增加值12.69亿元，比上年增长10.7%。</w:t>
      </w:r>
    </w:p>
    <w:p w:rsidR="001119D0" w:rsidRDefault="001119D0">
      <w:pPr>
        <w:widowControl/>
        <w:spacing w:line="480" w:lineRule="auto"/>
        <w:ind w:firstLine="626"/>
        <w:jc w:val="left"/>
        <w:rPr>
          <w:rFonts w:ascii="仿宋_GB2312" w:eastAsia="仿宋_GB2312" w:hAnsi="仿宋_GB2312" w:cs="仿宋_GB2312"/>
          <w:color w:val="000000"/>
          <w:kern w:val="0"/>
          <w:sz w:val="18"/>
          <w:szCs w:val="1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2012年，全市各种运输方式完成货物周转量53.44亿吨公里，比上年增长21.9%。其中公路35.7亿吨公里，增长27.8%；水运17.75亿吨公里，增长11.4%。全年公路运输方式完成旅客周转量38.21亿人公里，增长19.7%。</w:t>
      </w:r>
    </w:p>
    <w:p w:rsidR="001119D0" w:rsidRDefault="001119D0">
      <w:pPr>
        <w:widowControl/>
        <w:spacing w:line="480" w:lineRule="auto"/>
        <w:ind w:firstLine="626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2012年，全市完成邮电业务总量20.33亿元，增长18%。其中邮政业务总量1.67亿元，增长18.3%；通信业务总量18.66亿元，增长18%。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，全市旅游总人数1123.8万人次，增长40.2%。其中:住宿设施接待过夜游客845.63万人次，增长40.2%。按国内外分，其中入境游客11.13万人次，增长18.9%；国内游客1112.67万人次，增长40.5%。旅行社组团国内游3.77万人次，下降4.3%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出境游945人次，增长9.3%。全年旅游总收入124.94亿元，增长44.5%。其中旅游外汇收入3033.32万美元，增长18.3%。</w:t>
      </w:r>
    </w:p>
    <w:p w:rsidR="001119D0" w:rsidRPr="004727A9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/>
          <w:color w:val="000000"/>
          <w:sz w:val="32"/>
          <w:szCs w:val="32"/>
        </w:rPr>
        <w:t>六、国内贸易</w:t>
      </w:r>
    </w:p>
    <w:p w:rsidR="001119D0" w:rsidRDefault="001119D0">
      <w:pPr>
        <w:ind w:firstLineChars="197" w:firstLine="617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年社会消费品零售总额180.31亿元，比上年增长11.6%。分地域看，城镇消费品零售额169.13亿元，增长11.4%；乡村消费品零售额11.18亿元，增长14.6%。分行业看，批发和零售业零售额162.32亿元，增长11.4%；住宿和餐饮业零售额17.99亿元，增长13.4%。</w:t>
      </w:r>
    </w:p>
    <w:p w:rsidR="001119D0" w:rsidRDefault="001119D0">
      <w:pPr>
        <w:jc w:val="center"/>
        <w:rPr>
          <w:rFonts w:ascii="仿宋_GB2312"/>
          <w:color w:val="0000FF"/>
          <w:sz w:val="28"/>
          <w:szCs w:val="28"/>
        </w:rPr>
      </w:pPr>
      <w:r>
        <w:object w:dxaOrig="6244" w:dyaOrig="3898">
          <v:shape id="_x0000_i1026" type="#_x0000_t75" style="width:430.5pt;height:229.5pt;mso-position-horizontal-relative:page;mso-position-vertical-relative:page" o:ole="">
            <v:imagedata r:id="rId12" o:title=""/>
          </v:shape>
          <o:OLEObject Type="Embed" ProgID="Excel.Chart.8" ShapeID="_x0000_i1026" DrawAspect="Content" ObjectID="_1497284122" r:id="rId13"/>
        </w:object>
      </w:r>
    </w:p>
    <w:p w:rsidR="001119D0" w:rsidRDefault="001119D0">
      <w:pPr>
        <w:rPr>
          <w:rStyle w:val="a4"/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在限额以上批发和零售业零售额中，粮油、食品、饮料、烟酒类增长22.6%，服装、鞋帽针纺织品类增长18.5%，金银珠宝类增长15.2%，文化办公用品类下降3.0%，日用品类增长32.3%，家具类增长20.1%，家用电器和音像器材类增长19.9%，中西药品类增长19.3%，石油及制品类增长2.1%，建筑及装潢材料类增长28.0%，机电产品及设备类增长12.0%，汽车类增长31.3%。</w:t>
      </w:r>
    </w:p>
    <w:p w:rsidR="001119D0" w:rsidRPr="007B518B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 w:hint="eastAsia"/>
          <w:color w:val="000000"/>
          <w:sz w:val="32"/>
          <w:szCs w:val="32"/>
        </w:rPr>
        <w:lastRenderedPageBreak/>
        <w:t>七、对外经济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2012年全年进出口总额14.57亿美元，同比增长4.8%。其中出口额9.34亿美元，同比增长5.6%,进口额5.23亿美元，同比增长3.4%。实现贸易顺差4.11亿美元，同比增加0.32亿美元。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从贸易方式看，全年一般贸易出口4.51亿美元，增长50.0%；加工贸易出口4.83亿美元，下降17.2%。从经营主体看，国有企业出口656万美元，下降26.5%；外商投资企业出口6.35亿美元，下降11.5%；民营企业出口2.92亿美元，增长85.5%。从出口商品看，全市机电产品出口5.33亿美元(主要以不锈钢制品和电子产品为主)，同比下降10.1%。大宗出口商品主要是：①不锈钢制品类出口3.02亿美元，同比下降0.3%；②电子产品类出口1.7亿美元，同比下降31.5%；③服装类出口0.64亿美元，同比下降10.5%;④石材类出口1.07亿美元，同比增长27.4%;⑤冰鲜肉类出口0.72亿美元，同比下降1.0%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从出口市场看，香港2.24亿美元，同比下降12.8%；美国1.37亿美元，同比增长12.5%；德国0.76亿美元，同比增长18.4%；荷兰0.53亿美元，同比下降156.4%；比利时0.34亿美元，同比下降2.7%。对以上5个国家(地区)合计出口5.24亿美元，占全市出口比重56.1%。</w:t>
      </w:r>
    </w:p>
    <w:p w:rsidR="001119D0" w:rsidRDefault="001119D0">
      <w:pPr>
        <w:ind w:firstLineChars="196" w:firstLine="614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全年新批设立外商直接投资项目28个；合同外资金额2.47亿美元，同比增长19.2%；实际吸收外商直接投资1.06亿美元，同比增长15.4%。</w:t>
      </w:r>
    </w:p>
    <w:p w:rsidR="001119D0" w:rsidRPr="004727A9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/>
          <w:color w:val="000000"/>
          <w:sz w:val="32"/>
          <w:szCs w:val="32"/>
        </w:rPr>
        <w:lastRenderedPageBreak/>
        <w:t>八、财政、金融和保险业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，全市实现地方公共财政预算收入36.76亿元，比上年同期增收6.96亿元，增长23.4%。其中：税收收入完成21.66亿元，比上年同期增收4.44亿元，增长25.8%；非税收入完成15.1亿元，比上年同期增收2.52亿元，增长20.1%,占地方公共财政预算收入41.1%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年末全市金融机构本外币各项存款余额658.93亿元，比年初增加77.27亿元，增长13.3%；其中，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单位存款余额175.24亿元，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比年初增加14.66亿元，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增长9.1%；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储蓄存款余额462.01亿元，比年初增加65.6亿元，增长16.5%。全市金融机构本外币贷款余额395.46亿元，比年初增加62.29亿元，增长18.7%。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其中，短期贷款余额135.02亿元，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比年初增加44.05亿元，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增长48.4%；中长期贷款余额258.8亿元，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比年初增加17.86亿元，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增长7.4%。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全年各类保险业总保费收入12.25亿元，同比增长6.5%。其中，寿险保费收入7.8亿元，占总保费63.7%，同比增长1.4%；财产险保费收入4.45亿元，占总保费36.3%，同比增长16.8%。全市共赔付2.34亿元，共给付0.81亿元。其中，寿险保险赔付1014万元，给付8066万元；财产险赔付2.26亿元，赔付率50.6%，其中车险赔付1.63亿元, 赔付率50.5%。</w:t>
      </w:r>
    </w:p>
    <w:p w:rsidR="001119D0" w:rsidRPr="007B518B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 w:hint="eastAsia"/>
          <w:color w:val="000000"/>
          <w:sz w:val="32"/>
          <w:szCs w:val="32"/>
        </w:rPr>
        <w:t>九、教育和科学技术</w:t>
      </w:r>
    </w:p>
    <w:p w:rsidR="001119D0" w:rsidRDefault="001119D0">
      <w:pPr>
        <w:ind w:firstLineChars="196" w:firstLine="614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2012年中等职业教育招生1.67万人，下降9.64%，在校生  5.03万人，毕业生1.35万人。全市普通高中招生2.00万人，在校生5.9万人，毕业生1.84万人。全市初中招生3.36万人，在校生12.01万人，毕业生5.11万人。全市小学招生3.34万人，在校生18.31万人。普通中学专任教师1.28万人。其中：初中 0.86万人, 高中0.42万人。小学专任教师1.22万人。小学适龄儿童入学率99.19%。幼儿园在园幼儿8.76万人。初中适龄儿童入学率97.92%。地方财政中的教育支出23.62亿元，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增长26.58%。</w:t>
      </w:r>
    </w:p>
    <w:p w:rsidR="001119D0" w:rsidRDefault="001119D0">
      <w:pPr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2012年,全市共向国家科技部和省科技厅申报省级以上的各类科技计划项目221项,其中国家级8项，省级213项;获批立项80项，资金4500多万元;其中，产学研合作项目27项，资金1400多万元。组织主持科技成果鉴定27项，其中，省级1项，市级26项；评出市级科技进步奖30项，其中一等奖3项，二等奖11项，三等奖16项；有7项科研成果获得国家和省的奖励，其中获得国家科技进步奖二等奖1项，获省科学技术奖一等奖2项、二等奖2项、三等奖2项。全市累计认定高新技术企业18家，5家省级创新型试点企业;全市投入星火计划专项经费64万元，实施星火科技项目10项，其中，国家级1项，省级4项；支持、培育农村科技合作组织26个，培训农民1.66万人次，推广先进技术21项。建立农村科技特派员工作站25个。全市专利申请506件，同比增长44.2%，其中发明专利申请55件；专利授权369件，同比增长57%，其中发明专利授权19件。 </w:t>
      </w:r>
    </w:p>
    <w:p w:rsidR="001119D0" w:rsidRPr="007B518B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 w:hint="eastAsia"/>
          <w:color w:val="000000"/>
          <w:sz w:val="32"/>
          <w:szCs w:val="32"/>
        </w:rPr>
        <w:lastRenderedPageBreak/>
        <w:t>十、文化、卫生和体育</w:t>
      </w:r>
    </w:p>
    <w:p w:rsidR="001119D0" w:rsidRDefault="001119D0">
      <w:pPr>
        <w:ind w:firstLineChars="200" w:firstLine="626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2012年,全市共有各类专业艺术表演团体1个，文化馆6个，县级及以上公共图书馆5个，博物馆5个，公共图书馆总藏量74万册。全市有广播电台4座，电视台5座。广播综合人口覆盖率和电视综合人口覆盖率分别达100 %和 99.99%。有线电视用户达38万户。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,全市共有各类卫生机构1325个（含村卫生室），其中医院、卫生院55个，社区卫生服务中心（站）11个，疾病预防控制中心（防疫站）5个，专科疾病防治院（所、站）4个，妇幼保健机构5个。拥有医院、卫生院床位数6425张，各类卫生技术人员9277人。其中执业医师和执业助理医师3829人，注册护士2996人，疾病预防控制中心（防疫站）卫生技术人员194人，卫生监督检验机构卫生技术人员51人。</w:t>
      </w:r>
    </w:p>
    <w:p w:rsidR="001119D0" w:rsidRDefault="001119D0">
      <w:pPr>
        <w:ind w:firstLineChars="200" w:firstLine="626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2012年,全市体育健儿在国内外重大比赛中，获全国冠军1个，获全国亚军3个，获省级冠军2个，获省级亚军5个，获省级季军3个。 </w:t>
      </w:r>
    </w:p>
    <w:p w:rsidR="001119D0" w:rsidRPr="004727A9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/>
          <w:color w:val="000000"/>
          <w:sz w:val="32"/>
          <w:szCs w:val="32"/>
        </w:rPr>
        <w:t>十一、安全、资源与环境</w:t>
      </w:r>
    </w:p>
    <w:p w:rsidR="001119D0" w:rsidRDefault="001119D0">
      <w:pPr>
        <w:spacing w:line="580" w:lineRule="exact"/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2012年度，全市共发生各类生产安全事故429起，比上年同期下降7.1％；死亡120人，与上年持平；受伤461人，比上年下降12.9％；直接经济损失322.45万元，比上年下降1.5％。其中：工矿商贸企业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全年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共发生生产安全事故2宗，死亡2人，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与上年持平；受伤0人，直接经济损失1万元，分别比上年下降100%、98.6%。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道路交通事故全年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共发生事故400宗，比上年下降6.5%;死亡118人，与上年持平;受伤461人，比上年下降12.2%;直接经济损失213.43万元，比上年上升29.0%。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火灾事故全年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共发生27宗，比上年下降15.6%;没有因火灾事故造成人员死亡和人员受伤，比上年下降100%;直接经济损失108.02万元,比上年上升20.6%。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Verdana" w:hint="eastAsia"/>
          <w:color w:val="000000"/>
          <w:sz w:val="32"/>
          <w:szCs w:val="32"/>
        </w:rPr>
        <w:t>2012年完成荒山荒地造林面积4673公顷，下降24%，其中六大林业重点工程荒山荒地造林面积666公顷，下降40%；完成更新造林面积5683公顷，增长1%；完成低产低效林改造面积1727公顷，增长305%。全市森林覆盖率67.8%，自然保护区10个，自然保护区面积38114公顷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2012年，全市拥有各级环境监测站5个；全年空气优良天数366天，全年空气质量优良率达100%，全优天数328天，比例达89.6%。城区降尘量年均值为4.00吨，同比下降6.1%；没有出现酸雨现象；全市集中式饮用水源水质达标率和省控断面水质达标率为100%；主要江河水质状况良好，西江云浮段水质保持在Ⅱ类，是省内水质最好江段之一，南山河、南江河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新兴江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等主要河流水质均达到功能要求；区域环境噪声等效声级年均值均达1类区标准，保持良好水平。</w:t>
      </w:r>
    </w:p>
    <w:p w:rsidR="001119D0" w:rsidRPr="004727A9" w:rsidRDefault="001119D0" w:rsidP="00785D35">
      <w:pPr>
        <w:spacing w:beforeLines="50" w:before="160" w:afterLines="50" w:after="160"/>
        <w:jc w:val="center"/>
        <w:rPr>
          <w:rStyle w:val="a4"/>
          <w:rFonts w:ascii="黑体" w:eastAsia="黑体"/>
          <w:color w:val="000000"/>
          <w:sz w:val="32"/>
          <w:szCs w:val="32"/>
        </w:rPr>
      </w:pPr>
      <w:r w:rsidRPr="007B518B">
        <w:rPr>
          <w:rStyle w:val="a4"/>
          <w:rFonts w:ascii="黑体" w:eastAsia="黑体"/>
          <w:color w:val="000000"/>
          <w:sz w:val="32"/>
          <w:szCs w:val="32"/>
        </w:rPr>
        <w:t>十二、人口、人民生活和社会保障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年末全市户籍总人口为286.97万人，比上年末增加0.85万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人。其中,男性人口为150.25万人,女性人口为136.72万人。按非农和农业分，非农业人口为103.86万人，占全市人口数的36.2%；农业人口为183.11万人，占全市人口数的63.8%。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年末全市参加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城镇</w:t>
      </w:r>
      <w:r>
        <w:rPr>
          <w:rFonts w:ascii="仿宋_GB2312" w:eastAsia="仿宋_GB2312" w:hAnsi="仿宋_GB2312" w:cs="仿宋_GB2312" w:hint="eastAsia"/>
          <w:sz w:val="32"/>
          <w:szCs w:val="32"/>
        </w:rPr>
        <w:t>职工基本养老保险人数(含离退休)32.86万人，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增长8.3%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。其中：企业职工人数24.45万人，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增长7.6%</w:t>
      </w:r>
      <w:r>
        <w:rPr>
          <w:rFonts w:ascii="仿宋_GB2312" w:eastAsia="仿宋_GB2312" w:hAnsi="仿宋_GB2312" w:cs="仿宋_GB2312" w:hint="eastAsia"/>
          <w:sz w:val="32"/>
          <w:szCs w:val="32"/>
        </w:rPr>
        <w:t>；城乡居民参加社会养老保险人数131.9万人，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增长37.25%</w:t>
      </w:r>
      <w:r>
        <w:rPr>
          <w:rFonts w:ascii="仿宋_GB2312" w:eastAsia="仿宋_GB2312" w:hAnsi="仿宋_GB2312" w:cs="仿宋_GB2312" w:hint="eastAsia"/>
          <w:sz w:val="32"/>
          <w:szCs w:val="32"/>
        </w:rPr>
        <w:t>；参加城乡基本医疗保险人数260.54万人，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增长2.5%</w:t>
      </w:r>
      <w:r>
        <w:rPr>
          <w:rFonts w:ascii="仿宋_GB2312" w:eastAsia="仿宋_GB2312" w:hAnsi="仿宋_GB2312" w:cs="仿宋_GB2312" w:hint="eastAsia"/>
          <w:sz w:val="32"/>
          <w:szCs w:val="32"/>
        </w:rPr>
        <w:t>；参加失业保险人数16.7万人，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增长14.6%</w:t>
      </w:r>
      <w:r>
        <w:rPr>
          <w:rFonts w:ascii="仿宋_GB2312" w:eastAsia="仿宋_GB2312" w:hAnsi="仿宋_GB2312" w:cs="仿宋_GB2312" w:hint="eastAsia"/>
          <w:sz w:val="32"/>
          <w:szCs w:val="32"/>
        </w:rPr>
        <w:t>；参加工伤保险人数16.81万人，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增长7.2%</w:t>
      </w:r>
      <w:r>
        <w:rPr>
          <w:rFonts w:ascii="仿宋_GB2312" w:eastAsia="仿宋_GB2312" w:hAnsi="仿宋_GB2312" w:cs="仿宋_GB2312" w:hint="eastAsia"/>
          <w:sz w:val="32"/>
          <w:szCs w:val="32"/>
        </w:rPr>
        <w:t>；参加生育保险人数为11.9万人，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增长6.1%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末全市福利类收养性单位拥有床位590张，收养468人。建立城镇社区服务设施545个。全市城镇居民得到政府最低生活保障6.65万人次。全市销售社会福利彩票21778万元，筹集社会福利资金2174万元，直接接收社会捐赠资金2091.27万元。</w:t>
      </w:r>
    </w:p>
    <w:p w:rsidR="001119D0" w:rsidRDefault="001119D0">
      <w:pPr>
        <w:ind w:firstLineChars="200" w:firstLine="626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据抽样调查，城镇居民人均年可支配收入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18332元，比上年同口径增长13.9%；农村居民人均纯收入达9219元，比上年增长13.2%。人均居民储蓄存款达19268元，比上年增长14.7%。</w:t>
      </w:r>
    </w:p>
    <w:p w:rsidR="001119D0" w:rsidRDefault="001119D0" w:rsidP="004727A9">
      <w:pPr>
        <w:pStyle w:val="a5"/>
        <w:spacing w:line="400" w:lineRule="exact"/>
        <w:ind w:firstLineChars="0"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</w:t>
      </w:r>
      <w:r>
        <w:rPr>
          <w:rFonts w:hint="eastAsia"/>
        </w:rPr>
        <w:t>1、本公报各项统计数据为初步统计数；</w:t>
      </w:r>
    </w:p>
    <w:p w:rsidR="001119D0" w:rsidRDefault="001119D0" w:rsidP="004727A9">
      <w:pPr>
        <w:pStyle w:val="a5"/>
        <w:spacing w:line="400" w:lineRule="exact"/>
        <w:ind w:leftChars="210" w:left="831" w:hangingChars="174" w:hanging="405"/>
        <w:rPr>
          <w:color w:val="FF0000"/>
        </w:rPr>
      </w:pPr>
      <w:r>
        <w:rPr>
          <w:rFonts w:hint="eastAsia"/>
        </w:rPr>
        <w:t>2、公报中地区生产总值、各产业增加值绝对数按现价计算，增长速度按可比价计算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1119D0" w:rsidSect="008B5227">
      <w:footerReference w:type="even" r:id="rId14"/>
      <w:footerReference w:type="default" r:id="rId15"/>
      <w:pgSz w:w="11906" w:h="16838"/>
      <w:pgMar w:top="1247" w:right="1588" w:bottom="1191" w:left="1588" w:header="851" w:footer="992" w:gutter="0"/>
      <w:pgNumType w:fmt="numberInDash" w:start="3" w:chapSep="emDash"/>
      <w:cols w:space="720"/>
      <w:docGrid w:type="linesAndChars" w:linePitch="320" w:charSpace="-14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B99" w:rsidRDefault="006A5B99">
      <w:r>
        <w:separator/>
      </w:r>
    </w:p>
  </w:endnote>
  <w:endnote w:type="continuationSeparator" w:id="0">
    <w:p w:rsidR="006A5B99" w:rsidRDefault="006A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27" w:rsidRDefault="006A5B99">
    <w:pPr>
      <w:pStyle w:val="a9"/>
    </w:pPr>
    <w:r>
      <w:fldChar w:fldCharType="begin"/>
    </w:r>
    <w:r>
      <w:instrText>PAGE   \* MERGEFORMAT</w:instrText>
    </w:r>
    <w:r>
      <w:fldChar w:fldCharType="separate"/>
    </w:r>
    <w:r w:rsidR="00785D35" w:rsidRPr="00785D35">
      <w:rPr>
        <w:noProof/>
        <w:lang w:val="zh-CN"/>
      </w:rPr>
      <w:t>-</w:t>
    </w:r>
    <w:r w:rsidR="00785D35">
      <w:rPr>
        <w:noProof/>
      </w:rPr>
      <w:t xml:space="preserve"> 4 -</w:t>
    </w:r>
    <w:r>
      <w:rPr>
        <w:noProof/>
      </w:rPr>
      <w:fldChar w:fldCharType="end"/>
    </w:r>
  </w:p>
  <w:p w:rsidR="001119D0" w:rsidRDefault="001119D0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27" w:rsidRDefault="006A5B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785D35" w:rsidRPr="00785D35">
      <w:rPr>
        <w:noProof/>
        <w:lang w:val="zh-CN"/>
      </w:rPr>
      <w:t>-</w:t>
    </w:r>
    <w:r w:rsidR="00785D35">
      <w:rPr>
        <w:noProof/>
      </w:rPr>
      <w:t xml:space="preserve"> 3 -</w:t>
    </w:r>
    <w:r>
      <w:rPr>
        <w:noProof/>
      </w:rPr>
      <w:fldChar w:fldCharType="end"/>
    </w:r>
  </w:p>
  <w:p w:rsidR="001119D0" w:rsidRDefault="001119D0">
    <w:pPr>
      <w:pStyle w:val="a9"/>
      <w:ind w:right="360" w:firstLine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B99" w:rsidRDefault="006A5B99">
      <w:r>
        <w:separator/>
      </w:r>
    </w:p>
  </w:footnote>
  <w:footnote w:type="continuationSeparator" w:id="0">
    <w:p w:rsidR="006A5B99" w:rsidRDefault="006A5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4"/>
      <w:numFmt w:val="chineseCounting"/>
      <w:suff w:val="nothing"/>
      <w:lvlText w:val="%1、"/>
      <w:lvlJc w:val="left"/>
    </w:lvl>
  </w:abstractNum>
  <w:abstractNum w:abstractNumId="1">
    <w:nsid w:val="0000000B"/>
    <w:multiLevelType w:val="singleLevel"/>
    <w:tmpl w:val="0000000B"/>
    <w:lvl w:ilvl="0">
      <w:start w:val="3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203"/>
  <w:drawingGridVerticalSpacing w:val="16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119D0"/>
    <w:rsid w:val="00172A27"/>
    <w:rsid w:val="001A350B"/>
    <w:rsid w:val="001A6610"/>
    <w:rsid w:val="00210024"/>
    <w:rsid w:val="004026D3"/>
    <w:rsid w:val="004727A9"/>
    <w:rsid w:val="00506D7E"/>
    <w:rsid w:val="00580837"/>
    <w:rsid w:val="006A5B99"/>
    <w:rsid w:val="00785D35"/>
    <w:rsid w:val="007B518B"/>
    <w:rsid w:val="007D718A"/>
    <w:rsid w:val="007F58DC"/>
    <w:rsid w:val="008B5227"/>
    <w:rsid w:val="00971664"/>
    <w:rsid w:val="00A17D5C"/>
    <w:rsid w:val="00FE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50B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qFormat/>
    <w:rsid w:val="001A350B"/>
    <w:pPr>
      <w:widowControl/>
      <w:spacing w:before="300" w:after="300"/>
      <w:ind w:left="300" w:right="300"/>
      <w:jc w:val="center"/>
      <w:outlineLvl w:val="3"/>
    </w:pPr>
    <w:rPr>
      <w:rFonts w:ascii="宋体" w:hAnsi="宋体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A350B"/>
  </w:style>
  <w:style w:type="character" w:styleId="a4">
    <w:name w:val="Strong"/>
    <w:qFormat/>
    <w:rsid w:val="001A350B"/>
    <w:rPr>
      <w:b/>
      <w:bCs/>
    </w:rPr>
  </w:style>
  <w:style w:type="character" w:customStyle="1" w:styleId="unnamed51">
    <w:name w:val="unnamed51"/>
    <w:rsid w:val="001A350B"/>
    <w:rPr>
      <w:rFonts w:hint="default"/>
      <w:sz w:val="21"/>
      <w:szCs w:val="21"/>
    </w:rPr>
  </w:style>
  <w:style w:type="paragraph" w:styleId="a5">
    <w:name w:val="Body Text Indent"/>
    <w:basedOn w:val="a"/>
    <w:rsid w:val="001A350B"/>
    <w:pPr>
      <w:ind w:firstLineChars="200" w:firstLine="480"/>
    </w:pPr>
    <w:rPr>
      <w:rFonts w:ascii="楷体_GB2312" w:eastAsia="楷体_GB2312"/>
      <w:color w:val="000000"/>
      <w:sz w:val="24"/>
    </w:rPr>
  </w:style>
  <w:style w:type="paragraph" w:styleId="a6">
    <w:name w:val="header"/>
    <w:basedOn w:val="a"/>
    <w:rsid w:val="001A3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rsid w:val="001A350B"/>
    <w:rPr>
      <w:sz w:val="18"/>
      <w:szCs w:val="18"/>
    </w:rPr>
  </w:style>
  <w:style w:type="paragraph" w:customStyle="1" w:styleId="Char">
    <w:name w:val="Char"/>
    <w:basedOn w:val="a"/>
    <w:rsid w:val="001A350B"/>
    <w:rPr>
      <w:rFonts w:ascii="Tahoma" w:hAnsi="Tahoma"/>
      <w:sz w:val="24"/>
      <w:szCs w:val="20"/>
    </w:rPr>
  </w:style>
  <w:style w:type="paragraph" w:styleId="a8">
    <w:name w:val="Date"/>
    <w:basedOn w:val="a"/>
    <w:next w:val="a"/>
    <w:rsid w:val="001A350B"/>
    <w:pPr>
      <w:ind w:leftChars="2500" w:left="100"/>
    </w:pPr>
  </w:style>
  <w:style w:type="paragraph" w:styleId="a9">
    <w:name w:val="footer"/>
    <w:basedOn w:val="a"/>
    <w:link w:val="Char0"/>
    <w:uiPriority w:val="99"/>
    <w:rsid w:val="001A3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Normal (Web)"/>
    <w:basedOn w:val="a"/>
    <w:rsid w:val="001A350B"/>
    <w:pPr>
      <w:widowControl/>
      <w:spacing w:before="100" w:beforeAutospacing="1" w:after="100" w:afterAutospacing="1"/>
      <w:jc w:val="left"/>
    </w:pPr>
    <w:rPr>
      <w:rFonts w:ascii="宋体" w:hAnsi="宋体"/>
      <w:color w:val="161874"/>
      <w:kern w:val="0"/>
      <w:sz w:val="24"/>
    </w:rPr>
  </w:style>
  <w:style w:type="paragraph" w:customStyle="1" w:styleId="Char1CharCharCharCharCharChar">
    <w:name w:val="Char1 Char Char Char Char Char Char"/>
    <w:basedOn w:val="a"/>
    <w:rsid w:val="001A350B"/>
    <w:pPr>
      <w:autoSpaceDE w:val="0"/>
      <w:autoSpaceDN w:val="0"/>
    </w:pPr>
  </w:style>
  <w:style w:type="paragraph" w:customStyle="1" w:styleId="CharCharCharCharCharCharChar">
    <w:name w:val="Char Char Char Char Char Char Char"/>
    <w:basedOn w:val="a"/>
    <w:rsid w:val="001A350B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paragraph" w:customStyle="1" w:styleId="CharCharCharCharCharCharChar1">
    <w:name w:val="Char Char Char Char Char Char Char1"/>
    <w:basedOn w:val="a"/>
    <w:rsid w:val="001A350B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character" w:customStyle="1" w:styleId="Char0">
    <w:name w:val="页脚 Char"/>
    <w:link w:val="a9"/>
    <w:uiPriority w:val="99"/>
    <w:rsid w:val="008B5227"/>
    <w:rPr>
      <w:kern w:val="2"/>
      <w:sz w:val="18"/>
      <w:szCs w:val="18"/>
    </w:rPr>
  </w:style>
  <w:style w:type="paragraph" w:styleId="ab">
    <w:name w:val="caption"/>
    <w:basedOn w:val="a"/>
    <w:next w:val="a"/>
    <w:uiPriority w:val="35"/>
    <w:unhideWhenUsed/>
    <w:qFormat/>
    <w:rsid w:val="007B518B"/>
    <w:rPr>
      <w:rFonts w:asciiTheme="majorHAnsi" w:eastAsia="黑体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Microsoft_Excel_Chart1.xls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image" Target="media/image1.jpeg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1167</Words>
  <Characters>6657</Characters>
  <Application>Microsoft Office Word</Application>
  <DocSecurity>0</DocSecurity>
  <PresentationFormat/>
  <Lines>55</Lines>
  <Paragraphs>15</Paragraphs>
  <Slides>0</Slides>
  <Notes>0</Notes>
  <HiddenSlides>0</HiddenSlides>
  <MMClips>0</MMClips>
  <ScaleCrop>false</ScaleCrop>
  <Company/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2012年云浮国民经济和社会发展统计公报</dc:title>
  <dc:creator>fhjhj</dc:creator>
  <cp:lastModifiedBy>彦</cp:lastModifiedBy>
  <cp:revision>2</cp:revision>
  <cp:lastPrinted>2013-02-22T07:28:00Z</cp:lastPrinted>
  <dcterms:created xsi:type="dcterms:W3CDTF">2015-07-01T01:54:00Z</dcterms:created>
  <dcterms:modified xsi:type="dcterms:W3CDTF">2015-07-01T11:29:00Z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2052-8.1.0.3477</vt:lpwstr>
  </property>
</Properties>
</file>