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56" w:lineRule="exact"/>
        <w:ind w:left="0" w:leftChars="0" w:right="0" w:rightChars="0" w:firstLine="0" w:firstLineChars="0"/>
        <w:jc w:val="center"/>
        <w:textAlignment w:val="auto"/>
        <w:outlineLvl w:val="9"/>
        <w:rPr>
          <w:rFonts w:hint="eastAsia" w:ascii="Times New Roman" w:hAnsi="Times New Roman" w:eastAsia="方正小标宋简体" w:cs="Times New Roman"/>
          <w:color w:val="auto"/>
          <w:spacing w:val="0"/>
          <w:w w:val="100"/>
          <w:kern w:val="0"/>
          <w:sz w:val="44"/>
          <w:szCs w:val="44"/>
          <w:highlight w:val="none"/>
          <w:u w:val="none" w:color="auto"/>
          <w:shd w:val="clear" w:color="auto" w:fill="auto"/>
          <w:lang w:val="en-US" w:eastAsia="zh-CN"/>
        </w:rPr>
      </w:pPr>
    </w:p>
    <w:p>
      <w:pPr>
        <w:adjustRightInd w:val="0"/>
        <w:snapToGrid w:val="0"/>
        <w:spacing w:line="600" w:lineRule="exact"/>
        <w:ind w:firstLine="442" w:firstLineChars="100"/>
        <w:jc w:val="both"/>
        <w:rPr>
          <w:rFonts w:hint="eastAsia" w:ascii="宋体" w:hAnsi="宋体" w:eastAsia="宋体" w:cs="宋体"/>
          <w:b/>
          <w:bCs/>
          <w:snapToGrid w:val="0"/>
          <w:color w:val="auto"/>
          <w:sz w:val="44"/>
          <w:szCs w:val="44"/>
        </w:rPr>
      </w:pPr>
      <w:bookmarkStart w:id="8" w:name="_GoBack"/>
      <w:r>
        <w:rPr>
          <w:rFonts w:hint="eastAsia" w:ascii="宋体" w:hAnsi="宋体" w:eastAsia="宋体" w:cs="宋体"/>
          <w:b/>
          <w:bCs/>
          <w:snapToGrid w:val="0"/>
          <w:color w:val="auto"/>
          <w:sz w:val="44"/>
          <w:szCs w:val="44"/>
        </w:rPr>
        <w:t>云浮市殡葬事业发展“十四五”规划</w:t>
      </w:r>
    </w:p>
    <w:p>
      <w:pPr>
        <w:ind w:firstLine="2891" w:firstLineChars="900"/>
        <w:jc w:val="both"/>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征求意见稿</w:t>
      </w:r>
      <w:r>
        <w:rPr>
          <w:rFonts w:hint="eastAsia" w:ascii="宋体" w:hAnsi="宋体" w:eastAsia="宋体" w:cs="宋体"/>
          <w:b/>
          <w:bCs/>
          <w:sz w:val="32"/>
          <w:szCs w:val="32"/>
          <w:lang w:eastAsia="zh-CN"/>
        </w:rPr>
        <w:t>）</w:t>
      </w:r>
    </w:p>
    <w:bookmarkEnd w:id="8"/>
    <w:p>
      <w:pPr>
        <w:ind w:firstLine="640" w:firstLineChars="200"/>
        <w:rPr>
          <w:rFonts w:hint="eastAsia" w:ascii="仿宋" w:hAnsi="仿宋" w:eastAsia="仿宋" w:cs="仿宋"/>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为持续深化殡葬改革，规范殡葬管理，推进新时代殡葬事业健康发展，根据《殡葬管理条例》</w:t>
      </w:r>
      <w:r>
        <w:rPr>
          <w:rFonts w:hint="eastAsia" w:ascii="仿宋_GB2312" w:hAnsi="仿宋_GB2312" w:eastAsia="仿宋_GB2312" w:cs="仿宋_GB2312"/>
          <w:sz w:val="32"/>
          <w:szCs w:val="32"/>
          <w:lang w:eastAsia="zh-CN"/>
        </w:rPr>
        <w:t>、《广东省殡葬管理办法》、《广东省殡葬事业发展“十四五”规划（</w:t>
      </w:r>
      <w:r>
        <w:rPr>
          <w:rFonts w:hint="eastAsia" w:ascii="仿宋_GB2312" w:hAnsi="仿宋_GB2312" w:eastAsia="仿宋_GB2312" w:cs="仿宋_GB2312"/>
          <w:sz w:val="32"/>
          <w:szCs w:val="32"/>
          <w:lang w:val="en-US" w:eastAsia="zh-CN"/>
        </w:rPr>
        <w:t>2021-2025</w:t>
      </w:r>
      <w:r>
        <w:rPr>
          <w:rFonts w:hint="eastAsia" w:ascii="仿宋_GB2312" w:hAnsi="仿宋_GB2312" w:eastAsia="仿宋_GB2312" w:cs="仿宋_GB2312"/>
          <w:sz w:val="32"/>
          <w:szCs w:val="32"/>
          <w:lang w:eastAsia="zh-CN"/>
        </w:rPr>
        <w:t>）》等文件</w:t>
      </w:r>
      <w:r>
        <w:rPr>
          <w:rFonts w:hint="eastAsia" w:ascii="仿宋_GB2312" w:hAnsi="仿宋_GB2312" w:eastAsia="仿宋_GB2312" w:cs="仿宋_GB2312"/>
          <w:sz w:val="32"/>
          <w:szCs w:val="32"/>
        </w:rPr>
        <w:t>精神，</w:t>
      </w:r>
      <w:r>
        <w:rPr>
          <w:rFonts w:hint="eastAsia" w:ascii="仿宋_GB2312" w:hAnsi="仿宋_GB2312" w:eastAsia="仿宋_GB2312" w:cs="仿宋_GB2312"/>
          <w:sz w:val="32"/>
          <w:szCs w:val="32"/>
          <w:lang w:eastAsia="zh-CN"/>
        </w:rPr>
        <w:t>结合我市实际，</w:t>
      </w:r>
      <w:r>
        <w:rPr>
          <w:rFonts w:hint="eastAsia" w:ascii="仿宋_GB2312" w:hAnsi="仿宋_GB2312" w:eastAsia="仿宋_GB2312" w:cs="仿宋_GB2312"/>
          <w:sz w:val="32"/>
          <w:szCs w:val="32"/>
        </w:rPr>
        <w:t>制定本规划。</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一、规划背景</w:t>
      </w:r>
    </w:p>
    <w:p>
      <w:p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（一）发展现状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“十三五”时期，</w:t>
      </w:r>
      <w:r>
        <w:rPr>
          <w:rFonts w:hint="eastAsia" w:ascii="仿宋_GB2312" w:hAnsi="仿宋_GB2312" w:eastAsia="仿宋_GB2312" w:cs="仿宋_GB2312"/>
          <w:sz w:val="32"/>
          <w:szCs w:val="32"/>
          <w:lang w:eastAsia="zh-CN"/>
        </w:rPr>
        <w:t>我市</w:t>
      </w:r>
      <w:r>
        <w:rPr>
          <w:rFonts w:hint="eastAsia" w:ascii="仿宋_GB2312" w:hAnsi="仿宋_GB2312" w:eastAsia="仿宋_GB2312" w:cs="仿宋_GB2312"/>
          <w:sz w:val="32"/>
          <w:szCs w:val="32"/>
        </w:rPr>
        <w:t>坚持以习近平新时代中国特色社会主义思想为指导，在</w:t>
      </w:r>
      <w:r>
        <w:rPr>
          <w:rFonts w:hint="eastAsia" w:ascii="仿宋_GB2312" w:hAnsi="仿宋_GB2312" w:eastAsia="仿宋_GB2312" w:cs="仿宋_GB2312"/>
          <w:sz w:val="32"/>
          <w:szCs w:val="32"/>
          <w:lang w:eastAsia="zh-CN"/>
        </w:rPr>
        <w:t>市委市政府</w:t>
      </w:r>
      <w:r>
        <w:rPr>
          <w:rFonts w:hint="eastAsia" w:ascii="仿宋_GB2312" w:hAnsi="仿宋_GB2312" w:eastAsia="仿宋_GB2312" w:cs="仿宋_GB2312"/>
          <w:sz w:val="32"/>
          <w:szCs w:val="32"/>
        </w:rPr>
        <w:t>的正确领导下，始终坚持以人民为中心的发展思想，注重突出殡葬基本公共服务公益属性，以创新殡葬管理体制机制为动力，全面深化殡葬改革、规范殡葬管理、增加服务供给、提升服务质量，殡葬事业取得长足发展。</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殡葬服务设施持续完善。</w:t>
      </w:r>
      <w:r>
        <w:rPr>
          <w:rFonts w:hint="eastAsia" w:ascii="仿宋_GB2312" w:hAnsi="仿宋_GB2312" w:eastAsia="仿宋_GB2312" w:cs="仿宋_GB2312"/>
          <w:sz w:val="32"/>
          <w:szCs w:val="32"/>
          <w:lang w:val="en-US" w:eastAsia="zh-CN"/>
        </w:rPr>
        <w:t>“十三五”期间，我市在总体殡葬服务设施供给能有效满足群众需求的基础上，加大资金投入对殡葬服务设施设备进行更新升级。全市现有殡仪馆4个、经营性公墓3座、公益性公墓73座，市、县骨灰树葬区4个，公益性骨灰楼5座，公益性骨灰安葬设施县级行政区域覆盖率达到100%，全面形成了</w:t>
      </w:r>
      <w:r>
        <w:rPr>
          <w:rFonts w:hint="eastAsia" w:ascii="仿宋_GB2312" w:hAnsi="仿宋_GB2312" w:eastAsia="仿宋_GB2312" w:cs="仿宋_GB2312"/>
          <w:sz w:val="32"/>
          <w:szCs w:val="32"/>
        </w:rPr>
        <w:t>覆盖城乡的节地生态安葬公共服务网络</w:t>
      </w:r>
      <w:r>
        <w:rPr>
          <w:rFonts w:hint="eastAsia" w:ascii="仿宋_GB2312" w:hAnsi="仿宋_GB2312" w:eastAsia="仿宋_GB2312" w:cs="仿宋_GB2312"/>
          <w:sz w:val="32"/>
          <w:szCs w:val="32"/>
          <w:lang w:eastAsia="zh-CN"/>
        </w:rPr>
        <w:t>。</w:t>
      </w:r>
    </w:p>
    <w:p>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——葬式葬法改革成效明显。</w:t>
      </w:r>
      <w:r>
        <w:rPr>
          <w:rFonts w:hint="eastAsia" w:ascii="仿宋_GB2312" w:hAnsi="仿宋_GB2312" w:eastAsia="仿宋_GB2312" w:cs="仿宋_GB2312"/>
          <w:sz w:val="32"/>
          <w:szCs w:val="32"/>
        </w:rPr>
        <w:t>全面建立节地生态安葬奖励政策，在巩固遗体火化率、有效治理遗体违规土葬和骨灰乱埋乱葬的基础上，提高骨灰节地生态安葬比例。“十三五”期间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全市</w:t>
      </w:r>
      <w:r>
        <w:rPr>
          <w:rFonts w:hint="eastAsia" w:ascii="仿宋_GB2312" w:hAnsi="仿宋_GB2312" w:eastAsia="仿宋_GB2312" w:cs="仿宋_GB2312"/>
          <w:sz w:val="32"/>
          <w:szCs w:val="32"/>
          <w:lang w:eastAsia="zh-CN"/>
        </w:rPr>
        <w:t>共</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树葬节地生态葬法10场，安葬骨灰</w:t>
      </w:r>
      <w:r>
        <w:rPr>
          <w:rFonts w:hint="eastAsia" w:ascii="仿宋_GB2312" w:hAnsi="仿宋_GB2312" w:eastAsia="仿宋_GB2312" w:cs="仿宋_GB2312"/>
          <w:sz w:val="32"/>
          <w:szCs w:val="32"/>
          <w:lang w:eastAsia="zh-CN"/>
        </w:rPr>
        <w:t>超过</w:t>
      </w:r>
      <w:r>
        <w:rPr>
          <w:rFonts w:hint="eastAsia" w:ascii="仿宋_GB2312" w:hAnsi="仿宋_GB2312" w:eastAsia="仿宋_GB2312" w:cs="仿宋_GB2312"/>
          <w:sz w:val="32"/>
          <w:szCs w:val="32"/>
        </w:rPr>
        <w:t>200份</w:t>
      </w:r>
      <w:r>
        <w:rPr>
          <w:rFonts w:hint="eastAsia" w:ascii="仿宋_GB2312" w:hAnsi="仿宋_GB2312" w:eastAsia="仿宋_GB2312" w:cs="仿宋_GB2312"/>
          <w:sz w:val="32"/>
          <w:szCs w:val="32"/>
          <w:lang w:eastAsia="zh-CN"/>
        </w:rPr>
        <w:t>，共有</w:t>
      </w:r>
      <w:r>
        <w:rPr>
          <w:rFonts w:hint="eastAsia" w:ascii="仿宋_GB2312" w:hAnsi="仿宋_GB2312" w:eastAsia="仿宋_GB2312" w:cs="仿宋_GB2312"/>
          <w:sz w:val="32"/>
          <w:szCs w:val="32"/>
          <w:lang w:val="en-US" w:eastAsia="zh-CN"/>
        </w:rPr>
        <w:t>33572份</w:t>
      </w:r>
      <w:r>
        <w:rPr>
          <w:rFonts w:hint="eastAsia" w:ascii="仿宋_GB2312" w:hAnsi="仿宋_GB2312" w:eastAsia="仿宋_GB2312" w:cs="仿宋_GB2312"/>
          <w:sz w:val="32"/>
          <w:szCs w:val="32"/>
        </w:rPr>
        <w:t>骨灰选择寄存或节地生态型墓位安葬，全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节地生态安葬率达到</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0%以上</w:t>
      </w:r>
      <w:r>
        <w:rPr>
          <w:rFonts w:hint="eastAsia" w:ascii="仿宋_GB2312" w:hAnsi="仿宋_GB2312" w:eastAsia="仿宋_GB2312" w:cs="仿宋_GB2312"/>
          <w:sz w:val="32"/>
          <w:szCs w:val="32"/>
          <w:lang w:eastAsia="zh-CN"/>
        </w:rPr>
        <w:t>。依托“粤省事”</w:t>
      </w:r>
      <w:r>
        <w:rPr>
          <w:rFonts w:hint="eastAsia" w:ascii="仿宋_GB2312" w:hAnsi="仿宋_GB2312" w:eastAsia="仿宋_GB2312" w:cs="仿宋_GB2312"/>
          <w:sz w:val="32"/>
          <w:szCs w:val="32"/>
        </w:rPr>
        <w:t>民政专区</w:t>
      </w:r>
      <w:r>
        <w:rPr>
          <w:rFonts w:hint="eastAsia" w:ascii="仿宋_GB2312" w:hAnsi="仿宋_GB2312" w:eastAsia="仿宋_GB2312" w:cs="仿宋_GB2312"/>
          <w:sz w:val="32"/>
          <w:szCs w:val="32"/>
          <w:lang w:eastAsia="zh-CN"/>
        </w:rPr>
        <w:t>、“云浮民政”微信公众号推出“云浮市‘寄念’网上祭扫平台”“云祭扫”等网络祭拜平台，举办鲜花代祭绿色追思活动，倡导网络纪念、鲜花祭扫、集体共祭、踏青遥祭、错峰祭扫等文明低碳祭扫方式，</w:t>
      </w:r>
      <w:r>
        <w:rPr>
          <w:rFonts w:hint="eastAsia" w:ascii="仿宋_GB2312" w:hAnsi="仿宋_GB2312" w:eastAsia="仿宋_GB2312" w:cs="仿宋_GB2312"/>
          <w:sz w:val="32"/>
          <w:szCs w:val="32"/>
        </w:rPr>
        <w:t>推广现代文明的殡葬礼仪和殡葬用品，现代殡葬文化在改革中培育发展。</w:t>
      </w:r>
    </w:p>
    <w:p>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——惠民殡葬体系逐步建成。</w:t>
      </w:r>
      <w:r>
        <w:rPr>
          <w:rFonts w:hint="eastAsia" w:ascii="仿宋_GB2312" w:hAnsi="仿宋_GB2312" w:eastAsia="仿宋_GB2312" w:cs="仿宋_GB2312"/>
          <w:sz w:val="32"/>
          <w:szCs w:val="32"/>
          <w:lang w:val="en-US" w:eastAsia="zh-CN"/>
        </w:rPr>
        <w:t>2019年，</w:t>
      </w:r>
      <w:r>
        <w:rPr>
          <w:rFonts w:hint="eastAsia" w:ascii="仿宋_GB2312" w:hAnsi="仿宋_GB2312" w:eastAsia="仿宋_GB2312" w:cs="仿宋_GB2312"/>
          <w:sz w:val="32"/>
          <w:szCs w:val="32"/>
          <w:lang w:eastAsia="zh-CN"/>
        </w:rPr>
        <w:t>我市印发了《关于进一步规范城乡居民殡葬基本服务由政府免费提供工作的通知》，允许本市户籍居民在</w:t>
      </w:r>
      <w:r>
        <w:rPr>
          <w:rFonts w:hint="eastAsia" w:ascii="仿宋_GB2312" w:hAnsi="仿宋_GB2312" w:eastAsia="仿宋_GB2312" w:cs="仿宋_GB2312"/>
          <w:sz w:val="32"/>
          <w:szCs w:val="32"/>
        </w:rPr>
        <w:t>省内市外其他殡仪馆</w:t>
      </w:r>
      <w:r>
        <w:rPr>
          <w:rFonts w:hint="eastAsia" w:ascii="仿宋_GB2312" w:hAnsi="仿宋_GB2312" w:eastAsia="仿宋_GB2312" w:cs="仿宋_GB2312"/>
          <w:sz w:val="32"/>
          <w:szCs w:val="32"/>
          <w:lang w:eastAsia="zh-CN"/>
        </w:rPr>
        <w:t>火化申请基本殡葬服务补贴</w:t>
      </w:r>
      <w:r>
        <w:rPr>
          <w:rFonts w:hint="eastAsia" w:ascii="仿宋_GB2312" w:hAnsi="仿宋_GB2312" w:eastAsia="仿宋_GB2312" w:cs="仿宋_GB2312"/>
          <w:sz w:val="32"/>
          <w:szCs w:val="32"/>
          <w:lang w:val="en-US" w:eastAsia="zh-CN"/>
        </w:rPr>
        <w:t>1300元，并进一步简化</w:t>
      </w:r>
      <w:r>
        <w:rPr>
          <w:rFonts w:hint="eastAsia" w:ascii="仿宋_GB2312" w:hAnsi="仿宋_GB2312" w:eastAsia="仿宋_GB2312" w:cs="仿宋_GB2312"/>
          <w:sz w:val="32"/>
          <w:szCs w:val="32"/>
          <w:lang w:eastAsia="zh-CN"/>
        </w:rPr>
        <w:t>殡葬基本服务免费手续，健全</w:t>
      </w:r>
      <w:r>
        <w:rPr>
          <w:rFonts w:hint="eastAsia" w:ascii="仿宋_GB2312" w:hAnsi="仿宋_GB2312" w:eastAsia="仿宋_GB2312" w:cs="仿宋_GB2312"/>
          <w:sz w:val="32"/>
          <w:szCs w:val="32"/>
        </w:rPr>
        <w:t>政府免费提供政策</w:t>
      </w:r>
      <w:r>
        <w:rPr>
          <w:rFonts w:hint="eastAsia" w:ascii="仿宋_GB2312" w:hAnsi="仿宋_GB2312" w:eastAsia="仿宋_GB2312" w:cs="仿宋_GB2312"/>
          <w:sz w:val="32"/>
          <w:szCs w:val="32"/>
          <w:lang w:eastAsia="zh-CN"/>
        </w:rPr>
        <w:t>，实现</w:t>
      </w:r>
      <w:r>
        <w:rPr>
          <w:rFonts w:hint="eastAsia" w:ascii="仿宋_GB2312" w:hAnsi="仿宋_GB2312" w:eastAsia="仿宋_GB2312" w:cs="仿宋_GB2312"/>
          <w:sz w:val="32"/>
          <w:szCs w:val="32"/>
        </w:rPr>
        <w:t>殡葬基本公共服务均等</w:t>
      </w:r>
      <w:r>
        <w:rPr>
          <w:rFonts w:hint="eastAsia" w:ascii="仿宋_GB2312" w:hAnsi="仿宋_GB2312" w:eastAsia="仿宋_GB2312" w:cs="仿宋_GB2312"/>
          <w:sz w:val="32"/>
          <w:szCs w:val="32"/>
          <w:lang w:eastAsia="zh-CN"/>
        </w:rPr>
        <w:t>化。截止至2020年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月底，我市共免除殡葬基本服务</w:t>
      </w:r>
      <w:r>
        <w:rPr>
          <w:rFonts w:hint="eastAsia" w:ascii="仿宋_GB2312" w:hAnsi="仿宋_GB2312" w:eastAsia="仿宋_GB2312" w:cs="仿宋_GB2312"/>
          <w:sz w:val="32"/>
          <w:szCs w:val="32"/>
          <w:lang w:val="en-US" w:eastAsia="zh-CN"/>
        </w:rPr>
        <w:t>71077</w:t>
      </w:r>
      <w:r>
        <w:rPr>
          <w:rFonts w:hint="eastAsia" w:ascii="仿宋_GB2312" w:hAnsi="仿宋_GB2312" w:eastAsia="仿宋_GB2312" w:cs="仿宋_GB2312"/>
          <w:sz w:val="32"/>
          <w:szCs w:val="32"/>
          <w:lang w:eastAsia="zh-CN"/>
        </w:rPr>
        <w:t>宗，免除费用总额</w:t>
      </w:r>
      <w:r>
        <w:rPr>
          <w:rFonts w:hint="eastAsia" w:ascii="仿宋_GB2312" w:hAnsi="仿宋_GB2312" w:eastAsia="仿宋_GB2312" w:cs="仿宋_GB2312"/>
          <w:sz w:val="32"/>
          <w:szCs w:val="32"/>
          <w:lang w:val="en-US" w:eastAsia="zh-CN"/>
        </w:rPr>
        <w:t>9232.2503</w:t>
      </w:r>
      <w:r>
        <w:rPr>
          <w:rFonts w:hint="eastAsia" w:ascii="仿宋_GB2312" w:hAnsi="仿宋_GB2312" w:eastAsia="仿宋_GB2312" w:cs="仿宋_GB2312"/>
          <w:sz w:val="32"/>
          <w:szCs w:val="32"/>
          <w:lang w:eastAsia="zh-CN"/>
        </w:rPr>
        <w:t>万元，公众</w:t>
      </w:r>
      <w:r>
        <w:rPr>
          <w:rFonts w:hint="eastAsia" w:ascii="仿宋_GB2312" w:hAnsi="仿宋_GB2312" w:eastAsia="仿宋_GB2312" w:cs="仿宋_GB2312"/>
          <w:sz w:val="32"/>
          <w:szCs w:val="32"/>
        </w:rPr>
        <w:t>满意度达到90%以上</w:t>
      </w:r>
      <w:r>
        <w:rPr>
          <w:rFonts w:hint="eastAsia" w:ascii="仿宋_GB2312" w:hAnsi="仿宋_GB2312" w:eastAsia="仿宋_GB2312" w:cs="仿宋_GB2312"/>
          <w:sz w:val="32"/>
          <w:szCs w:val="32"/>
          <w:lang w:eastAsia="zh-CN"/>
        </w:rPr>
        <w:t>。</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——殡葬管理水平显著提高。</w:t>
      </w:r>
      <w:r>
        <w:rPr>
          <w:rFonts w:hint="eastAsia" w:ascii="仿宋_GB2312" w:hAnsi="仿宋_GB2312" w:eastAsia="仿宋_GB2312" w:cs="仿宋_GB2312"/>
          <w:sz w:val="32"/>
          <w:szCs w:val="32"/>
          <w:lang w:val="en-US" w:eastAsia="zh-CN"/>
        </w:rPr>
        <w:t>2020年，我市民政、发改等五部门联合印发了《云浮市殡葬领域损害群众利益突出问题专项整治方案》，开展殡葬领域跨部门联合整治行动，发现的6项问题已全部整改。出台了《云浮市殡葬事业发展“十三五”规划》、《云浮市无人认领遗体处理办法》等规范性文件和管理办法，为推动殡葬事业健康发展提供了依据。2017年，</w:t>
      </w:r>
      <w:r>
        <w:rPr>
          <w:rFonts w:hint="eastAsia" w:ascii="仿宋_GB2312" w:hAnsi="仿宋_GB2312" w:eastAsia="仿宋_GB2312" w:cs="仿宋_GB2312"/>
          <w:sz w:val="32"/>
          <w:szCs w:val="32"/>
        </w:rPr>
        <w:t>我市罗定市殡仪馆被授予“广东省二级殡仪馆”称号，云浮市殡仪馆和新兴县殡仪馆保留“广东省二级殡仪馆”称号，全市75%殡仪馆达到省二级殡仪馆标准，居省前列。</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——殡葬人才队伍建设得到加强。</w:t>
      </w:r>
      <w:r>
        <w:rPr>
          <w:rFonts w:hint="eastAsia" w:ascii="仿宋_GB2312" w:hAnsi="仿宋_GB2312" w:eastAsia="仿宋_GB2312" w:cs="仿宋_GB2312"/>
          <w:sz w:val="32"/>
          <w:szCs w:val="32"/>
          <w:lang w:val="en-US" w:eastAsia="zh-CN"/>
        </w:rPr>
        <w:t>我市坚持人才先行的原则，不断健全殡葬服务人才培训培育机制，持续优化人才市场环境，</w:t>
      </w:r>
      <w:r>
        <w:rPr>
          <w:rFonts w:hint="eastAsia" w:ascii="仿宋_GB2312" w:hAnsi="仿宋_GB2312" w:eastAsia="仿宋_GB2312" w:cs="仿宋_GB2312"/>
          <w:sz w:val="32"/>
          <w:szCs w:val="32"/>
        </w:rPr>
        <w:t>对殡葬服务工作者进行分类组织、定期轮训，鼓励</w:t>
      </w:r>
      <w:r>
        <w:rPr>
          <w:rFonts w:hint="eastAsia" w:ascii="仿宋_GB2312" w:hAnsi="仿宋_GB2312" w:eastAsia="仿宋_GB2312" w:cs="仿宋_GB2312"/>
          <w:sz w:val="32"/>
          <w:szCs w:val="32"/>
          <w:lang w:eastAsia="zh-CN"/>
        </w:rPr>
        <w:t>服务人员</w:t>
      </w:r>
      <w:r>
        <w:rPr>
          <w:rFonts w:hint="eastAsia" w:ascii="仿宋_GB2312" w:hAnsi="仿宋_GB2312" w:eastAsia="仿宋_GB2312" w:cs="仿宋_GB2312"/>
          <w:sz w:val="32"/>
          <w:szCs w:val="32"/>
        </w:rPr>
        <w:t>参加专业社工培训和考试，努力提升殡葬服务质量。全市直接从事殡仪服务人员200多人，40人获得殡葬职业技能鉴定资格证书，2人获得墓地管理员资格证书。</w:t>
      </w:r>
    </w:p>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bCs/>
          <w:snapToGrid w:val="0"/>
          <w:spacing w:val="0"/>
          <w:kern w:val="2"/>
          <w:sz w:val="28"/>
          <w:szCs w:val="28"/>
          <w:lang w:eastAsia="zh-CN"/>
        </w:rPr>
      </w:pPr>
      <w:r>
        <w:rPr>
          <w:rFonts w:hint="eastAsia" w:ascii="仿宋_GB2312" w:hAnsi="仿宋_GB2312" w:eastAsia="仿宋_GB2312" w:cs="仿宋_GB2312"/>
          <w:bCs/>
          <w:snapToGrid w:val="0"/>
          <w:spacing w:val="0"/>
          <w:kern w:val="2"/>
          <w:sz w:val="28"/>
          <w:szCs w:val="28"/>
          <w:lang w:eastAsia="zh-CN"/>
        </w:rPr>
        <w:t>表：云浮市殡葬事业发展</w:t>
      </w:r>
      <w:r>
        <w:rPr>
          <w:rFonts w:hint="eastAsia" w:ascii="仿宋_GB2312" w:hAnsi="仿宋_GB2312" w:eastAsia="仿宋_GB2312" w:cs="仿宋_GB2312"/>
          <w:bCs/>
          <w:snapToGrid w:val="0"/>
          <w:spacing w:val="0"/>
          <w:kern w:val="2"/>
          <w:sz w:val="28"/>
          <w:szCs w:val="28"/>
        </w:rPr>
        <w:t>“十三五”规划目标指标</w:t>
      </w:r>
      <w:r>
        <w:rPr>
          <w:rFonts w:hint="eastAsia" w:ascii="仿宋_GB2312" w:hAnsi="仿宋_GB2312" w:eastAsia="仿宋_GB2312" w:cs="仿宋_GB2312"/>
          <w:bCs/>
          <w:snapToGrid w:val="0"/>
          <w:spacing w:val="0"/>
          <w:kern w:val="2"/>
          <w:sz w:val="28"/>
          <w:szCs w:val="28"/>
          <w:lang w:eastAsia="zh-CN"/>
        </w:rPr>
        <w:t>完成情况</w:t>
      </w:r>
    </w:p>
    <w:tbl>
      <w:tblPr>
        <w:tblStyle w:val="9"/>
        <w:tblW w:w="80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586"/>
        <w:gridCol w:w="615"/>
        <w:gridCol w:w="4380"/>
        <w:gridCol w:w="1083"/>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636" w:hRule="atLeast"/>
          <w:tblHeader/>
          <w:jc w:val="center"/>
        </w:trPr>
        <w:tc>
          <w:tcPr>
            <w:tcW w:w="586"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b w:val="0"/>
                <w:bCs/>
                <w:snapToGrid w:val="0"/>
                <w:spacing w:val="0"/>
                <w:kern w:val="2"/>
                <w:sz w:val="21"/>
                <w:szCs w:val="21"/>
              </w:rPr>
            </w:pPr>
            <w:r>
              <w:rPr>
                <w:rFonts w:hint="eastAsia" w:ascii="仿宋_GB2312" w:hAnsi="仿宋_GB2312" w:eastAsia="仿宋_GB2312" w:cs="仿宋_GB2312"/>
                <w:b w:val="0"/>
                <w:bCs/>
                <w:snapToGrid w:val="0"/>
                <w:spacing w:val="0"/>
                <w:kern w:val="2"/>
                <w:sz w:val="21"/>
                <w:szCs w:val="21"/>
              </w:rPr>
              <w:t>序号</w:t>
            </w:r>
          </w:p>
        </w:tc>
        <w:tc>
          <w:tcPr>
            <w:tcW w:w="615"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b w:val="0"/>
                <w:bCs/>
                <w:snapToGrid w:val="0"/>
                <w:spacing w:val="0"/>
                <w:kern w:val="2"/>
                <w:sz w:val="21"/>
                <w:szCs w:val="21"/>
              </w:rPr>
            </w:pPr>
            <w:r>
              <w:rPr>
                <w:rFonts w:hint="eastAsia" w:ascii="仿宋_GB2312" w:hAnsi="仿宋_GB2312" w:eastAsia="仿宋_GB2312" w:cs="仿宋_GB2312"/>
                <w:b w:val="0"/>
                <w:bCs/>
                <w:snapToGrid w:val="0"/>
                <w:spacing w:val="0"/>
                <w:kern w:val="2"/>
                <w:sz w:val="21"/>
                <w:szCs w:val="21"/>
              </w:rPr>
              <w:t>一级</w:t>
            </w:r>
          </w:p>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b w:val="0"/>
                <w:bCs/>
                <w:snapToGrid w:val="0"/>
                <w:spacing w:val="0"/>
                <w:kern w:val="2"/>
                <w:sz w:val="21"/>
                <w:szCs w:val="21"/>
              </w:rPr>
            </w:pPr>
            <w:r>
              <w:rPr>
                <w:rFonts w:hint="eastAsia" w:ascii="仿宋_GB2312" w:hAnsi="仿宋_GB2312" w:eastAsia="仿宋_GB2312" w:cs="仿宋_GB2312"/>
                <w:b w:val="0"/>
                <w:bCs/>
                <w:snapToGrid w:val="0"/>
                <w:spacing w:val="0"/>
                <w:kern w:val="2"/>
                <w:sz w:val="21"/>
                <w:szCs w:val="21"/>
              </w:rPr>
              <w:t>指标</w:t>
            </w:r>
          </w:p>
        </w:tc>
        <w:tc>
          <w:tcPr>
            <w:tcW w:w="4380"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b w:val="0"/>
                <w:bCs/>
                <w:snapToGrid w:val="0"/>
                <w:spacing w:val="0"/>
                <w:kern w:val="2"/>
                <w:sz w:val="21"/>
                <w:szCs w:val="21"/>
              </w:rPr>
            </w:pPr>
            <w:r>
              <w:rPr>
                <w:rFonts w:hint="eastAsia" w:ascii="仿宋_GB2312" w:hAnsi="仿宋_GB2312" w:eastAsia="仿宋_GB2312" w:cs="仿宋_GB2312"/>
                <w:b w:val="0"/>
                <w:bCs/>
                <w:snapToGrid w:val="0"/>
                <w:spacing w:val="0"/>
                <w:kern w:val="2"/>
                <w:sz w:val="21"/>
                <w:szCs w:val="21"/>
              </w:rPr>
              <w:t>二级指标</w:t>
            </w:r>
          </w:p>
        </w:tc>
        <w:tc>
          <w:tcPr>
            <w:tcW w:w="1083"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b w:val="0"/>
                <w:bCs/>
                <w:snapToGrid w:val="0"/>
                <w:spacing w:val="0"/>
                <w:kern w:val="2"/>
                <w:sz w:val="21"/>
                <w:szCs w:val="21"/>
                <w:lang w:eastAsia="zh-CN"/>
              </w:rPr>
            </w:pPr>
            <w:r>
              <w:rPr>
                <w:rFonts w:hint="eastAsia" w:ascii="仿宋_GB2312" w:hAnsi="仿宋_GB2312" w:eastAsia="仿宋_GB2312" w:cs="仿宋_GB2312"/>
                <w:b w:val="0"/>
                <w:bCs/>
                <w:snapToGrid w:val="0"/>
                <w:spacing w:val="0"/>
                <w:kern w:val="2"/>
                <w:sz w:val="21"/>
                <w:szCs w:val="21"/>
              </w:rPr>
              <w:t>2020年</w:t>
            </w:r>
            <w:r>
              <w:rPr>
                <w:rFonts w:hint="eastAsia" w:ascii="仿宋_GB2312" w:hAnsi="仿宋_GB2312" w:eastAsia="仿宋_GB2312" w:cs="仿宋_GB2312"/>
                <w:b w:val="0"/>
                <w:bCs/>
                <w:snapToGrid w:val="0"/>
                <w:spacing w:val="0"/>
                <w:kern w:val="2"/>
                <w:sz w:val="21"/>
                <w:szCs w:val="21"/>
                <w:lang w:eastAsia="zh-CN"/>
              </w:rPr>
              <w:t>（规划值）</w:t>
            </w:r>
          </w:p>
        </w:tc>
        <w:tc>
          <w:tcPr>
            <w:tcW w:w="1365"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b w:val="0"/>
                <w:bCs/>
                <w:snapToGrid w:val="0"/>
                <w:spacing w:val="0"/>
                <w:kern w:val="2"/>
                <w:sz w:val="21"/>
                <w:szCs w:val="21"/>
                <w:lang w:eastAsia="zh-CN"/>
              </w:rPr>
            </w:pPr>
            <w:r>
              <w:rPr>
                <w:rFonts w:hint="eastAsia" w:ascii="仿宋_GB2312" w:hAnsi="仿宋_GB2312" w:eastAsia="仿宋_GB2312" w:cs="仿宋_GB2312"/>
                <w:b w:val="0"/>
                <w:bCs/>
                <w:snapToGrid w:val="0"/>
                <w:spacing w:val="0"/>
                <w:kern w:val="2"/>
                <w:sz w:val="21"/>
                <w:szCs w:val="21"/>
                <w:lang w:eastAsia="zh-CN"/>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550" w:hRule="exact"/>
          <w:jc w:val="center"/>
        </w:trPr>
        <w:tc>
          <w:tcPr>
            <w:tcW w:w="586"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spacing w:val="0"/>
                <w:kern w:val="2"/>
                <w:sz w:val="21"/>
                <w:szCs w:val="21"/>
                <w:lang w:val="en-US" w:eastAsia="zh-CN"/>
              </w:rPr>
            </w:pPr>
            <w:r>
              <w:rPr>
                <w:rFonts w:hint="eastAsia" w:ascii="仿宋_GB2312" w:hAnsi="仿宋_GB2312" w:eastAsia="仿宋_GB2312" w:cs="仿宋_GB2312"/>
                <w:snapToGrid w:val="0"/>
                <w:color w:val="000000"/>
                <w:spacing w:val="0"/>
                <w:kern w:val="2"/>
                <w:sz w:val="21"/>
                <w:szCs w:val="21"/>
                <w:lang w:val="en-US" w:eastAsia="zh-CN"/>
              </w:rPr>
              <w:t>1</w:t>
            </w:r>
          </w:p>
        </w:tc>
        <w:tc>
          <w:tcPr>
            <w:tcW w:w="615"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spacing w:val="0"/>
                <w:kern w:val="2"/>
                <w:sz w:val="21"/>
                <w:szCs w:val="21"/>
                <w:lang w:eastAsia="zh-CN"/>
              </w:rPr>
            </w:pPr>
            <w:r>
              <w:rPr>
                <w:rFonts w:hint="eastAsia" w:ascii="仿宋_GB2312" w:hAnsi="仿宋_GB2312" w:eastAsia="仿宋_GB2312" w:cs="仿宋_GB2312"/>
                <w:snapToGrid w:val="0"/>
                <w:color w:val="000000"/>
                <w:spacing w:val="0"/>
                <w:kern w:val="2"/>
                <w:sz w:val="21"/>
                <w:szCs w:val="21"/>
                <w:lang w:eastAsia="zh-CN"/>
              </w:rPr>
              <w:t>殡葬改革</w:t>
            </w:r>
          </w:p>
        </w:tc>
        <w:tc>
          <w:tcPr>
            <w:tcW w:w="4380"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spacing w:val="0"/>
                <w:kern w:val="2"/>
                <w:sz w:val="21"/>
                <w:szCs w:val="21"/>
                <w:lang w:eastAsia="zh-CN"/>
              </w:rPr>
            </w:pPr>
            <w:r>
              <w:rPr>
                <w:rFonts w:hint="eastAsia" w:ascii="仿宋_GB2312" w:hAnsi="仿宋_GB2312" w:eastAsia="仿宋_GB2312" w:cs="仿宋_GB2312"/>
                <w:snapToGrid w:val="0"/>
                <w:spacing w:val="0"/>
                <w:kern w:val="2"/>
                <w:sz w:val="21"/>
                <w:szCs w:val="21"/>
                <w:lang w:eastAsia="zh-CN"/>
              </w:rPr>
              <w:t>节地生态安葬率</w:t>
            </w:r>
            <w:r>
              <w:rPr>
                <w:rFonts w:hint="eastAsia" w:ascii="仿宋_GB2312" w:hAnsi="仿宋_GB2312" w:eastAsia="仿宋_GB2312" w:cs="仿宋_GB2312"/>
                <w:snapToGrid w:val="0"/>
                <w:spacing w:val="0"/>
                <w:kern w:val="2"/>
                <w:sz w:val="21"/>
                <w:szCs w:val="21"/>
              </w:rPr>
              <w:t>（%）</w:t>
            </w:r>
          </w:p>
        </w:tc>
        <w:tc>
          <w:tcPr>
            <w:tcW w:w="1083"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spacing w:val="0"/>
                <w:kern w:val="2"/>
                <w:sz w:val="21"/>
                <w:szCs w:val="21"/>
                <w:lang w:eastAsia="zh-CN"/>
              </w:rPr>
            </w:pPr>
            <w:r>
              <w:rPr>
                <w:rFonts w:hint="eastAsia" w:ascii="仿宋_GB2312" w:hAnsi="仿宋_GB2312" w:eastAsia="仿宋_GB2312" w:cs="仿宋_GB2312"/>
                <w:snapToGrid w:val="0"/>
                <w:color w:val="000000"/>
                <w:spacing w:val="0"/>
                <w:kern w:val="2"/>
                <w:sz w:val="21"/>
                <w:szCs w:val="21"/>
                <w:lang w:eastAsia="zh-CN"/>
              </w:rPr>
              <w:t>＞</w:t>
            </w:r>
            <w:r>
              <w:rPr>
                <w:rFonts w:hint="eastAsia" w:ascii="仿宋_GB2312" w:hAnsi="仿宋_GB2312" w:eastAsia="仿宋_GB2312" w:cs="仿宋_GB2312"/>
                <w:snapToGrid w:val="0"/>
                <w:spacing w:val="0"/>
                <w:kern w:val="2"/>
                <w:sz w:val="21"/>
                <w:szCs w:val="21"/>
                <w:lang w:val="en-US" w:eastAsia="zh-CN"/>
              </w:rPr>
              <w:t>50</w:t>
            </w:r>
          </w:p>
        </w:tc>
        <w:tc>
          <w:tcPr>
            <w:tcW w:w="1365"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spacing w:val="0"/>
                <w:kern w:val="2"/>
                <w:sz w:val="21"/>
                <w:szCs w:val="21"/>
                <w:lang w:val="en-US" w:eastAsia="zh-CN"/>
              </w:rPr>
            </w:pPr>
            <w:r>
              <w:rPr>
                <w:rFonts w:hint="eastAsia" w:ascii="仿宋_GB2312" w:hAnsi="仿宋_GB2312" w:eastAsia="仿宋_GB2312" w:cs="仿宋_GB2312"/>
                <w:snapToGrid w:val="0"/>
                <w:color w:val="auto"/>
                <w:spacing w:val="0"/>
                <w:kern w:val="2"/>
                <w:sz w:val="21"/>
                <w:szCs w:val="21"/>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60" w:hRule="exact"/>
          <w:jc w:val="center"/>
        </w:trPr>
        <w:tc>
          <w:tcPr>
            <w:tcW w:w="586"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spacing w:val="0"/>
                <w:kern w:val="2"/>
                <w:sz w:val="21"/>
                <w:szCs w:val="21"/>
                <w:lang w:val="en-US" w:eastAsia="zh-CN"/>
              </w:rPr>
            </w:pPr>
            <w:r>
              <w:rPr>
                <w:rFonts w:hint="eastAsia" w:ascii="仿宋_GB2312" w:hAnsi="仿宋_GB2312" w:eastAsia="仿宋_GB2312" w:cs="仿宋_GB2312"/>
                <w:snapToGrid w:val="0"/>
                <w:color w:val="000000"/>
                <w:spacing w:val="0"/>
                <w:kern w:val="2"/>
                <w:sz w:val="21"/>
                <w:szCs w:val="21"/>
                <w:lang w:val="en-US" w:eastAsia="zh-CN"/>
              </w:rPr>
              <w:t>2</w:t>
            </w:r>
          </w:p>
        </w:tc>
        <w:tc>
          <w:tcPr>
            <w:tcW w:w="61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spacing w:val="0"/>
                <w:kern w:val="2"/>
                <w:sz w:val="21"/>
                <w:szCs w:val="21"/>
                <w:lang w:eastAsia="zh-CN"/>
              </w:rPr>
            </w:pPr>
            <w:r>
              <w:rPr>
                <w:rFonts w:hint="eastAsia" w:ascii="仿宋_GB2312" w:hAnsi="仿宋_GB2312" w:eastAsia="仿宋_GB2312" w:cs="仿宋_GB2312"/>
                <w:snapToGrid w:val="0"/>
                <w:color w:val="000000"/>
                <w:spacing w:val="0"/>
                <w:kern w:val="2"/>
                <w:sz w:val="21"/>
                <w:szCs w:val="21"/>
                <w:lang w:eastAsia="zh-CN"/>
              </w:rPr>
              <w:t>设施</w:t>
            </w:r>
          </w:p>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spacing w:val="0"/>
                <w:kern w:val="2"/>
                <w:sz w:val="21"/>
                <w:szCs w:val="21"/>
                <w:lang w:eastAsia="zh-CN"/>
              </w:rPr>
            </w:pPr>
            <w:r>
              <w:rPr>
                <w:rFonts w:hint="eastAsia" w:ascii="仿宋_GB2312" w:hAnsi="仿宋_GB2312" w:eastAsia="仿宋_GB2312" w:cs="仿宋_GB2312"/>
                <w:snapToGrid w:val="0"/>
                <w:color w:val="000000"/>
                <w:spacing w:val="0"/>
                <w:kern w:val="2"/>
                <w:sz w:val="21"/>
                <w:szCs w:val="21"/>
                <w:lang w:eastAsia="zh-CN"/>
              </w:rPr>
              <w:t>建设</w:t>
            </w:r>
          </w:p>
        </w:tc>
        <w:tc>
          <w:tcPr>
            <w:tcW w:w="4380"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spacing w:val="0"/>
                <w:kern w:val="2"/>
                <w:sz w:val="21"/>
                <w:szCs w:val="21"/>
                <w:lang w:eastAsia="zh-CN"/>
              </w:rPr>
            </w:pPr>
            <w:r>
              <w:rPr>
                <w:rFonts w:hint="eastAsia" w:ascii="仿宋_GB2312" w:hAnsi="仿宋_GB2312" w:eastAsia="仿宋_GB2312" w:cs="仿宋_GB2312"/>
                <w:snapToGrid w:val="0"/>
                <w:spacing w:val="0"/>
                <w:kern w:val="2"/>
                <w:sz w:val="21"/>
                <w:szCs w:val="21"/>
                <w:lang w:eastAsia="zh-CN"/>
              </w:rPr>
              <w:t>达到省级以上标准殡仪馆比例（%）</w:t>
            </w:r>
          </w:p>
        </w:tc>
        <w:tc>
          <w:tcPr>
            <w:tcW w:w="1083"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spacing w:val="0"/>
                <w:kern w:val="2"/>
                <w:sz w:val="21"/>
                <w:szCs w:val="21"/>
                <w:lang w:eastAsia="zh-CN"/>
              </w:rPr>
            </w:pPr>
            <w:r>
              <w:rPr>
                <w:rFonts w:hint="eastAsia" w:ascii="仿宋_GB2312" w:hAnsi="仿宋_GB2312" w:eastAsia="仿宋_GB2312" w:cs="仿宋_GB2312"/>
                <w:snapToGrid w:val="0"/>
                <w:spacing w:val="0"/>
                <w:kern w:val="2"/>
                <w:sz w:val="21"/>
                <w:szCs w:val="21"/>
                <w:lang w:val="en-US" w:eastAsia="zh-CN"/>
              </w:rPr>
              <w:t>60</w:t>
            </w:r>
          </w:p>
        </w:tc>
        <w:tc>
          <w:tcPr>
            <w:tcW w:w="1365"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spacing w:val="0"/>
                <w:kern w:val="2"/>
                <w:sz w:val="21"/>
                <w:szCs w:val="21"/>
                <w:lang w:val="en-US" w:eastAsia="zh-CN"/>
              </w:rPr>
            </w:pPr>
            <w:r>
              <w:rPr>
                <w:rFonts w:hint="eastAsia" w:ascii="仿宋_GB2312" w:hAnsi="仿宋_GB2312" w:eastAsia="仿宋_GB2312" w:cs="仿宋_GB2312"/>
                <w:snapToGrid w:val="0"/>
                <w:color w:val="auto"/>
                <w:spacing w:val="0"/>
                <w:kern w:val="2"/>
                <w:sz w:val="21"/>
                <w:szCs w:val="21"/>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54" w:hRule="exact"/>
          <w:jc w:val="center"/>
        </w:trPr>
        <w:tc>
          <w:tcPr>
            <w:tcW w:w="586"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spacing w:val="0"/>
                <w:kern w:val="2"/>
                <w:sz w:val="21"/>
                <w:szCs w:val="21"/>
                <w:lang w:val="en-US" w:eastAsia="zh-CN"/>
              </w:rPr>
            </w:pPr>
            <w:r>
              <w:rPr>
                <w:rFonts w:hint="eastAsia" w:ascii="仿宋_GB2312" w:hAnsi="仿宋_GB2312" w:eastAsia="仿宋_GB2312" w:cs="仿宋_GB2312"/>
                <w:snapToGrid w:val="0"/>
                <w:color w:val="000000"/>
                <w:spacing w:val="0"/>
                <w:kern w:val="2"/>
                <w:sz w:val="21"/>
                <w:szCs w:val="21"/>
                <w:lang w:val="en-US" w:eastAsia="zh-CN"/>
              </w:rPr>
              <w:t>3</w:t>
            </w:r>
          </w:p>
        </w:tc>
        <w:tc>
          <w:tcPr>
            <w:tcW w:w="61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spacing w:val="0"/>
                <w:kern w:val="2"/>
                <w:sz w:val="21"/>
                <w:szCs w:val="21"/>
                <w:lang w:eastAsia="zh-CN"/>
              </w:rPr>
            </w:pPr>
          </w:p>
        </w:tc>
        <w:tc>
          <w:tcPr>
            <w:tcW w:w="4380"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spacing w:val="0"/>
                <w:kern w:val="2"/>
                <w:sz w:val="21"/>
                <w:szCs w:val="21"/>
                <w:lang w:eastAsia="zh-CN"/>
              </w:rPr>
            </w:pPr>
            <w:r>
              <w:rPr>
                <w:rFonts w:hint="eastAsia" w:ascii="仿宋_GB2312" w:hAnsi="仿宋_GB2312" w:eastAsia="仿宋_GB2312" w:cs="仿宋_GB2312"/>
                <w:snapToGrid w:val="0"/>
                <w:spacing w:val="0"/>
                <w:kern w:val="2"/>
                <w:sz w:val="21"/>
                <w:szCs w:val="21"/>
                <w:lang w:eastAsia="zh-CN"/>
              </w:rPr>
              <w:t>火化机加装除尘和烟气净化系统比例（%）</w:t>
            </w:r>
          </w:p>
        </w:tc>
        <w:tc>
          <w:tcPr>
            <w:tcW w:w="1083"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spacing w:val="0"/>
                <w:kern w:val="2"/>
                <w:sz w:val="21"/>
                <w:szCs w:val="21"/>
                <w:lang w:val="en-US" w:eastAsia="zh-CN"/>
              </w:rPr>
            </w:pPr>
            <w:r>
              <w:rPr>
                <w:rFonts w:hint="eastAsia" w:ascii="仿宋_GB2312" w:hAnsi="仿宋_GB2312" w:eastAsia="仿宋_GB2312" w:cs="仿宋_GB2312"/>
                <w:snapToGrid w:val="0"/>
                <w:spacing w:val="0"/>
                <w:kern w:val="2"/>
                <w:sz w:val="21"/>
                <w:szCs w:val="21"/>
                <w:lang w:val="en-US" w:eastAsia="zh-CN"/>
              </w:rPr>
              <w:t>100</w:t>
            </w:r>
          </w:p>
        </w:tc>
        <w:tc>
          <w:tcPr>
            <w:tcW w:w="1365"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spacing w:val="0"/>
                <w:kern w:val="2"/>
                <w:sz w:val="21"/>
                <w:szCs w:val="21"/>
                <w:lang w:val="en-US" w:eastAsia="zh-CN"/>
              </w:rPr>
            </w:pPr>
            <w:r>
              <w:rPr>
                <w:rFonts w:hint="eastAsia" w:ascii="仿宋_GB2312" w:hAnsi="仿宋_GB2312" w:eastAsia="仿宋_GB2312" w:cs="仿宋_GB2312"/>
                <w:snapToGrid w:val="0"/>
                <w:color w:val="auto"/>
                <w:spacing w:val="0"/>
                <w:kern w:val="2"/>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54" w:hRule="exact"/>
          <w:jc w:val="center"/>
        </w:trPr>
        <w:tc>
          <w:tcPr>
            <w:tcW w:w="586"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spacing w:val="0"/>
                <w:kern w:val="2"/>
                <w:sz w:val="21"/>
                <w:szCs w:val="21"/>
                <w:lang w:val="en-US" w:eastAsia="zh-CN"/>
              </w:rPr>
            </w:pPr>
            <w:r>
              <w:rPr>
                <w:rFonts w:hint="eastAsia" w:ascii="仿宋_GB2312" w:hAnsi="仿宋_GB2312" w:eastAsia="仿宋_GB2312" w:cs="仿宋_GB2312"/>
                <w:snapToGrid w:val="0"/>
                <w:color w:val="000000"/>
                <w:spacing w:val="0"/>
                <w:kern w:val="2"/>
                <w:sz w:val="21"/>
                <w:szCs w:val="21"/>
                <w:lang w:val="en-US" w:eastAsia="zh-CN"/>
              </w:rPr>
              <w:t>4</w:t>
            </w:r>
          </w:p>
        </w:tc>
        <w:tc>
          <w:tcPr>
            <w:tcW w:w="61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spacing w:val="0"/>
                <w:kern w:val="2"/>
                <w:sz w:val="21"/>
                <w:szCs w:val="21"/>
                <w:lang w:eastAsia="zh-CN"/>
              </w:rPr>
            </w:pPr>
          </w:p>
        </w:tc>
        <w:tc>
          <w:tcPr>
            <w:tcW w:w="4380"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spacing w:val="0"/>
                <w:kern w:val="2"/>
                <w:sz w:val="21"/>
                <w:szCs w:val="21"/>
                <w:lang w:eastAsia="zh-CN"/>
              </w:rPr>
            </w:pPr>
            <w:r>
              <w:rPr>
                <w:rFonts w:hint="eastAsia" w:ascii="仿宋_GB2312" w:hAnsi="仿宋_GB2312" w:eastAsia="仿宋_GB2312" w:cs="仿宋_GB2312"/>
                <w:snapToGrid w:val="0"/>
                <w:spacing w:val="0"/>
                <w:kern w:val="2"/>
                <w:sz w:val="21"/>
                <w:szCs w:val="21"/>
                <w:lang w:eastAsia="zh-CN"/>
              </w:rPr>
              <w:t>殡仪车达到汽车排放和安全标准比例（%）</w:t>
            </w:r>
          </w:p>
        </w:tc>
        <w:tc>
          <w:tcPr>
            <w:tcW w:w="1083"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spacing w:val="0"/>
                <w:kern w:val="2"/>
                <w:sz w:val="21"/>
                <w:szCs w:val="21"/>
                <w:lang w:val="en-US" w:eastAsia="zh-CN"/>
              </w:rPr>
            </w:pPr>
            <w:r>
              <w:rPr>
                <w:rFonts w:hint="eastAsia" w:ascii="仿宋_GB2312" w:hAnsi="仿宋_GB2312" w:eastAsia="仿宋_GB2312" w:cs="仿宋_GB2312"/>
                <w:snapToGrid w:val="0"/>
                <w:spacing w:val="0"/>
                <w:kern w:val="2"/>
                <w:sz w:val="21"/>
                <w:szCs w:val="21"/>
                <w:lang w:val="en-US" w:eastAsia="zh-CN"/>
              </w:rPr>
              <w:t>100</w:t>
            </w:r>
          </w:p>
        </w:tc>
        <w:tc>
          <w:tcPr>
            <w:tcW w:w="1365"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spacing w:val="0"/>
                <w:kern w:val="2"/>
                <w:sz w:val="21"/>
                <w:szCs w:val="21"/>
                <w:lang w:val="en-US" w:eastAsia="zh-CN"/>
              </w:rPr>
            </w:pPr>
            <w:r>
              <w:rPr>
                <w:rFonts w:hint="eastAsia" w:ascii="仿宋_GB2312" w:hAnsi="仿宋_GB2312" w:eastAsia="仿宋_GB2312" w:cs="仿宋_GB2312"/>
                <w:snapToGrid w:val="0"/>
                <w:color w:val="auto"/>
                <w:spacing w:val="0"/>
                <w:kern w:val="2"/>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54" w:hRule="exact"/>
          <w:jc w:val="center"/>
        </w:trPr>
        <w:tc>
          <w:tcPr>
            <w:tcW w:w="586"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spacing w:val="0"/>
                <w:kern w:val="2"/>
                <w:sz w:val="21"/>
                <w:szCs w:val="21"/>
                <w:lang w:val="en-US" w:eastAsia="zh-CN"/>
              </w:rPr>
            </w:pPr>
            <w:r>
              <w:rPr>
                <w:rFonts w:hint="eastAsia" w:ascii="仿宋_GB2312" w:hAnsi="仿宋_GB2312" w:eastAsia="仿宋_GB2312" w:cs="仿宋_GB2312"/>
                <w:snapToGrid w:val="0"/>
                <w:color w:val="000000"/>
                <w:spacing w:val="0"/>
                <w:kern w:val="2"/>
                <w:sz w:val="21"/>
                <w:szCs w:val="21"/>
                <w:lang w:val="en-US" w:eastAsia="zh-CN"/>
              </w:rPr>
              <w:t>5</w:t>
            </w:r>
          </w:p>
        </w:tc>
        <w:tc>
          <w:tcPr>
            <w:tcW w:w="61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spacing w:val="0"/>
                <w:kern w:val="2"/>
                <w:sz w:val="21"/>
                <w:szCs w:val="21"/>
                <w:lang w:eastAsia="zh-CN"/>
              </w:rPr>
            </w:pPr>
          </w:p>
        </w:tc>
        <w:tc>
          <w:tcPr>
            <w:tcW w:w="4380"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spacing w:val="0"/>
                <w:kern w:val="2"/>
                <w:sz w:val="21"/>
                <w:szCs w:val="21"/>
                <w:lang w:eastAsia="zh-CN"/>
              </w:rPr>
            </w:pPr>
            <w:r>
              <w:rPr>
                <w:rFonts w:hint="eastAsia" w:ascii="仿宋_GB2312" w:hAnsi="仿宋_GB2312" w:eastAsia="仿宋_GB2312" w:cs="仿宋_GB2312"/>
                <w:snapToGrid w:val="0"/>
                <w:spacing w:val="0"/>
                <w:kern w:val="2"/>
                <w:sz w:val="21"/>
                <w:szCs w:val="21"/>
                <w:lang w:eastAsia="zh-CN"/>
              </w:rPr>
              <w:t>新增公益性公墓、骨灰楼（座）</w:t>
            </w:r>
          </w:p>
        </w:tc>
        <w:tc>
          <w:tcPr>
            <w:tcW w:w="1083"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spacing w:val="0"/>
                <w:kern w:val="2"/>
                <w:sz w:val="21"/>
                <w:szCs w:val="21"/>
                <w:lang w:val="en-US" w:eastAsia="zh-CN"/>
              </w:rPr>
            </w:pPr>
            <w:r>
              <w:rPr>
                <w:rFonts w:hint="eastAsia" w:ascii="仿宋_GB2312" w:hAnsi="仿宋_GB2312" w:eastAsia="仿宋_GB2312" w:cs="仿宋_GB2312"/>
                <w:snapToGrid w:val="0"/>
                <w:spacing w:val="0"/>
                <w:kern w:val="2"/>
                <w:sz w:val="21"/>
                <w:szCs w:val="21"/>
                <w:lang w:eastAsia="zh-CN"/>
              </w:rPr>
              <w:t>＞</w:t>
            </w:r>
            <w:r>
              <w:rPr>
                <w:rFonts w:hint="eastAsia" w:ascii="仿宋_GB2312" w:hAnsi="仿宋_GB2312" w:eastAsia="仿宋_GB2312" w:cs="仿宋_GB2312"/>
                <w:snapToGrid w:val="0"/>
                <w:spacing w:val="0"/>
                <w:kern w:val="2"/>
                <w:sz w:val="21"/>
                <w:szCs w:val="21"/>
                <w:lang w:val="en-US" w:eastAsia="zh-CN"/>
              </w:rPr>
              <w:t>2</w:t>
            </w:r>
          </w:p>
        </w:tc>
        <w:tc>
          <w:tcPr>
            <w:tcW w:w="1365"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spacing w:val="0"/>
                <w:kern w:val="2"/>
                <w:sz w:val="21"/>
                <w:szCs w:val="21"/>
                <w:lang w:val="en-US" w:eastAsia="zh-CN"/>
              </w:rPr>
            </w:pPr>
            <w:r>
              <w:rPr>
                <w:rFonts w:hint="eastAsia" w:ascii="仿宋_GB2312" w:hAnsi="仿宋_GB2312" w:eastAsia="仿宋_GB2312" w:cs="仿宋_GB2312"/>
                <w:snapToGrid w:val="0"/>
                <w:color w:val="auto"/>
                <w:spacing w:val="0"/>
                <w:kern w:val="2"/>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54" w:hRule="exact"/>
          <w:jc w:val="center"/>
        </w:trPr>
        <w:tc>
          <w:tcPr>
            <w:tcW w:w="586"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spacing w:val="0"/>
                <w:kern w:val="2"/>
                <w:sz w:val="21"/>
                <w:szCs w:val="21"/>
                <w:lang w:val="en-US" w:eastAsia="zh-CN"/>
              </w:rPr>
            </w:pPr>
            <w:r>
              <w:rPr>
                <w:rFonts w:hint="eastAsia" w:ascii="仿宋_GB2312" w:hAnsi="仿宋_GB2312" w:eastAsia="仿宋_GB2312" w:cs="仿宋_GB2312"/>
                <w:snapToGrid w:val="0"/>
                <w:color w:val="000000"/>
                <w:spacing w:val="0"/>
                <w:kern w:val="2"/>
                <w:sz w:val="21"/>
                <w:szCs w:val="21"/>
                <w:lang w:val="en-US" w:eastAsia="zh-CN"/>
              </w:rPr>
              <w:t>6</w:t>
            </w:r>
          </w:p>
        </w:tc>
        <w:tc>
          <w:tcPr>
            <w:tcW w:w="61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spacing w:val="0"/>
                <w:kern w:val="2"/>
                <w:sz w:val="21"/>
                <w:szCs w:val="21"/>
                <w:lang w:eastAsia="zh-CN"/>
              </w:rPr>
            </w:pPr>
            <w:r>
              <w:rPr>
                <w:rFonts w:hint="eastAsia" w:ascii="仿宋_GB2312" w:hAnsi="仿宋_GB2312" w:eastAsia="仿宋_GB2312" w:cs="仿宋_GB2312"/>
                <w:snapToGrid w:val="0"/>
                <w:color w:val="000000"/>
                <w:spacing w:val="0"/>
                <w:kern w:val="2"/>
                <w:sz w:val="21"/>
                <w:szCs w:val="21"/>
                <w:lang w:eastAsia="zh-CN"/>
              </w:rPr>
              <w:t>设施</w:t>
            </w:r>
          </w:p>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spacing w:val="0"/>
                <w:kern w:val="2"/>
                <w:sz w:val="21"/>
                <w:szCs w:val="21"/>
                <w:lang w:eastAsia="zh-CN"/>
              </w:rPr>
            </w:pPr>
            <w:r>
              <w:rPr>
                <w:rFonts w:hint="eastAsia" w:ascii="仿宋_GB2312" w:hAnsi="仿宋_GB2312" w:eastAsia="仿宋_GB2312" w:cs="仿宋_GB2312"/>
                <w:snapToGrid w:val="0"/>
                <w:color w:val="000000"/>
                <w:spacing w:val="0"/>
                <w:kern w:val="2"/>
                <w:sz w:val="21"/>
                <w:szCs w:val="21"/>
                <w:lang w:eastAsia="zh-CN"/>
              </w:rPr>
              <w:t>建设</w:t>
            </w:r>
          </w:p>
        </w:tc>
        <w:tc>
          <w:tcPr>
            <w:tcW w:w="4380"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spacing w:val="0"/>
                <w:kern w:val="2"/>
                <w:sz w:val="21"/>
                <w:szCs w:val="21"/>
                <w:lang w:eastAsia="zh-CN"/>
              </w:rPr>
            </w:pPr>
            <w:r>
              <w:rPr>
                <w:rFonts w:hint="eastAsia" w:ascii="仿宋_GB2312" w:hAnsi="仿宋_GB2312" w:eastAsia="仿宋_GB2312" w:cs="仿宋_GB2312"/>
                <w:snapToGrid w:val="0"/>
                <w:spacing w:val="0"/>
                <w:kern w:val="2"/>
                <w:sz w:val="21"/>
                <w:szCs w:val="21"/>
                <w:lang w:eastAsia="zh-CN"/>
              </w:rPr>
              <w:t>新增树葬纪念设施（座）</w:t>
            </w:r>
          </w:p>
        </w:tc>
        <w:tc>
          <w:tcPr>
            <w:tcW w:w="1083"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spacing w:val="0"/>
                <w:kern w:val="2"/>
                <w:sz w:val="21"/>
                <w:szCs w:val="21"/>
                <w:lang w:eastAsia="zh-CN"/>
              </w:rPr>
            </w:pPr>
            <w:r>
              <w:rPr>
                <w:rFonts w:hint="eastAsia" w:ascii="仿宋_GB2312" w:hAnsi="仿宋_GB2312" w:eastAsia="仿宋_GB2312" w:cs="仿宋_GB2312"/>
                <w:snapToGrid w:val="0"/>
                <w:spacing w:val="0"/>
                <w:kern w:val="2"/>
                <w:sz w:val="21"/>
                <w:szCs w:val="21"/>
                <w:lang w:eastAsia="zh-CN"/>
              </w:rPr>
              <w:t>＞1</w:t>
            </w:r>
          </w:p>
        </w:tc>
        <w:tc>
          <w:tcPr>
            <w:tcW w:w="1365"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spacing w:val="0"/>
                <w:kern w:val="2"/>
                <w:sz w:val="21"/>
                <w:szCs w:val="21"/>
                <w:lang w:val="en-US" w:eastAsia="zh-CN"/>
              </w:rPr>
            </w:pPr>
            <w:r>
              <w:rPr>
                <w:rFonts w:hint="eastAsia" w:ascii="仿宋_GB2312" w:hAnsi="仿宋_GB2312" w:eastAsia="仿宋_GB2312" w:cs="仿宋_GB2312"/>
                <w:snapToGrid w:val="0"/>
                <w:color w:val="auto"/>
                <w:spacing w:val="0"/>
                <w:kern w:val="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500" w:hRule="exact"/>
          <w:jc w:val="center"/>
        </w:trPr>
        <w:tc>
          <w:tcPr>
            <w:tcW w:w="586"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spacing w:val="0"/>
                <w:kern w:val="2"/>
                <w:sz w:val="21"/>
                <w:szCs w:val="21"/>
                <w:lang w:val="en-US" w:eastAsia="zh-CN"/>
              </w:rPr>
            </w:pPr>
            <w:r>
              <w:rPr>
                <w:rFonts w:hint="eastAsia" w:ascii="仿宋_GB2312" w:hAnsi="仿宋_GB2312" w:eastAsia="仿宋_GB2312" w:cs="仿宋_GB2312"/>
                <w:snapToGrid w:val="0"/>
                <w:color w:val="000000"/>
                <w:spacing w:val="0"/>
                <w:kern w:val="2"/>
                <w:sz w:val="21"/>
                <w:szCs w:val="21"/>
                <w:lang w:val="en-US" w:eastAsia="zh-CN"/>
              </w:rPr>
              <w:t>7</w:t>
            </w:r>
          </w:p>
        </w:tc>
        <w:tc>
          <w:tcPr>
            <w:tcW w:w="61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spacing w:val="0"/>
                <w:kern w:val="2"/>
                <w:sz w:val="21"/>
                <w:szCs w:val="21"/>
                <w:lang w:eastAsia="zh-CN"/>
              </w:rPr>
            </w:pPr>
          </w:p>
        </w:tc>
        <w:tc>
          <w:tcPr>
            <w:tcW w:w="4380"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spacing w:val="0"/>
                <w:kern w:val="2"/>
                <w:sz w:val="21"/>
                <w:szCs w:val="21"/>
                <w:lang w:eastAsia="zh-CN"/>
              </w:rPr>
            </w:pPr>
            <w:r>
              <w:rPr>
                <w:rFonts w:hint="eastAsia" w:ascii="仿宋_GB2312" w:hAnsi="仿宋_GB2312" w:eastAsia="仿宋_GB2312" w:cs="仿宋_GB2312"/>
                <w:snapToGrid w:val="0"/>
                <w:spacing w:val="0"/>
                <w:kern w:val="2"/>
                <w:sz w:val="21"/>
                <w:szCs w:val="21"/>
                <w:lang w:eastAsia="zh-CN"/>
              </w:rPr>
              <w:t>公益性骨灰安葬设施县级行政区域覆盖率（%）</w:t>
            </w:r>
          </w:p>
        </w:tc>
        <w:tc>
          <w:tcPr>
            <w:tcW w:w="1083"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spacing w:val="0"/>
                <w:kern w:val="2"/>
                <w:sz w:val="21"/>
                <w:szCs w:val="21"/>
                <w:lang w:eastAsia="zh-CN"/>
              </w:rPr>
            </w:pPr>
            <w:r>
              <w:rPr>
                <w:rFonts w:hint="eastAsia" w:ascii="仿宋_GB2312" w:hAnsi="仿宋_GB2312" w:eastAsia="仿宋_GB2312" w:cs="仿宋_GB2312"/>
                <w:snapToGrid w:val="0"/>
                <w:spacing w:val="0"/>
                <w:kern w:val="2"/>
                <w:sz w:val="21"/>
                <w:szCs w:val="21"/>
                <w:lang w:eastAsia="zh-CN"/>
              </w:rPr>
              <w:t>＞90</w:t>
            </w:r>
          </w:p>
        </w:tc>
        <w:tc>
          <w:tcPr>
            <w:tcW w:w="1365"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spacing w:val="0"/>
                <w:kern w:val="2"/>
                <w:sz w:val="21"/>
                <w:szCs w:val="21"/>
                <w:lang w:val="en-US" w:eastAsia="zh-CN"/>
              </w:rPr>
            </w:pPr>
            <w:r>
              <w:rPr>
                <w:rFonts w:hint="eastAsia" w:ascii="仿宋_GB2312" w:hAnsi="仿宋_GB2312" w:eastAsia="仿宋_GB2312" w:cs="仿宋_GB2312"/>
                <w:snapToGrid w:val="0"/>
                <w:color w:val="auto"/>
                <w:spacing w:val="0"/>
                <w:kern w:val="2"/>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54" w:hRule="exact"/>
          <w:jc w:val="center"/>
        </w:trPr>
        <w:tc>
          <w:tcPr>
            <w:tcW w:w="586"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spacing w:val="0"/>
                <w:kern w:val="2"/>
                <w:sz w:val="21"/>
                <w:szCs w:val="21"/>
                <w:lang w:val="en-US" w:eastAsia="zh-CN"/>
              </w:rPr>
            </w:pPr>
            <w:r>
              <w:rPr>
                <w:rFonts w:hint="eastAsia" w:ascii="仿宋_GB2312" w:hAnsi="仿宋_GB2312" w:eastAsia="仿宋_GB2312" w:cs="仿宋_GB2312"/>
                <w:snapToGrid w:val="0"/>
                <w:color w:val="000000"/>
                <w:spacing w:val="0"/>
                <w:kern w:val="2"/>
                <w:sz w:val="21"/>
                <w:szCs w:val="21"/>
                <w:lang w:val="en-US" w:eastAsia="zh-CN"/>
              </w:rPr>
              <w:t>8</w:t>
            </w:r>
          </w:p>
        </w:tc>
        <w:tc>
          <w:tcPr>
            <w:tcW w:w="61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spacing w:val="0"/>
                <w:kern w:val="2"/>
                <w:sz w:val="21"/>
                <w:szCs w:val="21"/>
                <w:lang w:eastAsia="zh-CN"/>
              </w:rPr>
            </w:pPr>
            <w:r>
              <w:rPr>
                <w:rFonts w:hint="eastAsia" w:ascii="仿宋_GB2312" w:hAnsi="仿宋_GB2312" w:eastAsia="仿宋_GB2312" w:cs="仿宋_GB2312"/>
                <w:snapToGrid w:val="0"/>
                <w:color w:val="000000"/>
                <w:spacing w:val="0"/>
                <w:kern w:val="2"/>
                <w:sz w:val="21"/>
                <w:szCs w:val="21"/>
                <w:lang w:eastAsia="zh-CN"/>
              </w:rPr>
              <w:t>公共</w:t>
            </w:r>
          </w:p>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spacing w:val="0"/>
                <w:kern w:val="2"/>
                <w:sz w:val="21"/>
                <w:szCs w:val="21"/>
                <w:lang w:eastAsia="zh-CN"/>
              </w:rPr>
            </w:pPr>
            <w:r>
              <w:rPr>
                <w:rFonts w:hint="eastAsia" w:ascii="仿宋_GB2312" w:hAnsi="仿宋_GB2312" w:eastAsia="仿宋_GB2312" w:cs="仿宋_GB2312"/>
                <w:snapToGrid w:val="0"/>
                <w:color w:val="000000"/>
                <w:spacing w:val="0"/>
                <w:kern w:val="2"/>
                <w:sz w:val="21"/>
                <w:szCs w:val="21"/>
                <w:lang w:eastAsia="zh-CN"/>
              </w:rPr>
              <w:t>服务</w:t>
            </w:r>
          </w:p>
        </w:tc>
        <w:tc>
          <w:tcPr>
            <w:tcW w:w="4380"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spacing w:val="0"/>
                <w:kern w:val="2"/>
                <w:sz w:val="21"/>
                <w:szCs w:val="21"/>
                <w:lang w:eastAsia="zh-CN"/>
              </w:rPr>
            </w:pPr>
            <w:r>
              <w:rPr>
                <w:rFonts w:hint="eastAsia" w:ascii="仿宋_GB2312" w:hAnsi="仿宋_GB2312" w:eastAsia="仿宋_GB2312" w:cs="仿宋_GB2312"/>
                <w:snapToGrid w:val="0"/>
                <w:spacing w:val="0"/>
                <w:kern w:val="2"/>
                <w:sz w:val="21"/>
                <w:szCs w:val="21"/>
                <w:lang w:eastAsia="zh-CN"/>
              </w:rPr>
              <w:t>殡葬职业资格证书持证人数（人次）</w:t>
            </w:r>
          </w:p>
        </w:tc>
        <w:tc>
          <w:tcPr>
            <w:tcW w:w="1083"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spacing w:val="0"/>
                <w:kern w:val="2"/>
                <w:sz w:val="21"/>
                <w:szCs w:val="21"/>
                <w:lang w:eastAsia="zh-CN"/>
              </w:rPr>
            </w:pPr>
            <w:r>
              <w:rPr>
                <w:rFonts w:hint="eastAsia" w:ascii="仿宋_GB2312" w:hAnsi="仿宋_GB2312" w:eastAsia="仿宋_GB2312" w:cs="仿宋_GB2312"/>
                <w:snapToGrid w:val="0"/>
                <w:spacing w:val="0"/>
                <w:kern w:val="2"/>
                <w:sz w:val="21"/>
                <w:szCs w:val="21"/>
                <w:lang w:eastAsia="zh-CN"/>
              </w:rPr>
              <w:t>＞40</w:t>
            </w:r>
          </w:p>
        </w:tc>
        <w:tc>
          <w:tcPr>
            <w:tcW w:w="1365"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spacing w:val="0"/>
                <w:kern w:val="2"/>
                <w:sz w:val="21"/>
                <w:szCs w:val="21"/>
                <w:lang w:val="en-US" w:eastAsia="zh-CN"/>
              </w:rPr>
            </w:pPr>
            <w:r>
              <w:rPr>
                <w:rFonts w:hint="eastAsia" w:ascii="仿宋_GB2312" w:hAnsi="仿宋_GB2312" w:eastAsia="仿宋_GB2312" w:cs="仿宋_GB2312"/>
                <w:snapToGrid w:val="0"/>
                <w:color w:val="auto"/>
                <w:spacing w:val="0"/>
                <w:kern w:val="2"/>
                <w:sz w:val="21"/>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54" w:hRule="exact"/>
          <w:jc w:val="center"/>
        </w:trPr>
        <w:tc>
          <w:tcPr>
            <w:tcW w:w="586"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spacing w:val="0"/>
                <w:kern w:val="2"/>
                <w:sz w:val="21"/>
                <w:szCs w:val="21"/>
                <w:lang w:val="en-US" w:eastAsia="zh-CN"/>
              </w:rPr>
            </w:pPr>
            <w:r>
              <w:rPr>
                <w:rFonts w:hint="eastAsia" w:ascii="仿宋_GB2312" w:hAnsi="仿宋_GB2312" w:eastAsia="仿宋_GB2312" w:cs="仿宋_GB2312"/>
                <w:snapToGrid w:val="0"/>
                <w:color w:val="000000"/>
                <w:spacing w:val="0"/>
                <w:kern w:val="2"/>
                <w:sz w:val="21"/>
                <w:szCs w:val="21"/>
                <w:lang w:val="en-US" w:eastAsia="zh-CN"/>
              </w:rPr>
              <w:t>9</w:t>
            </w:r>
          </w:p>
        </w:tc>
        <w:tc>
          <w:tcPr>
            <w:tcW w:w="61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spacing w:val="0"/>
                <w:kern w:val="2"/>
                <w:sz w:val="21"/>
                <w:szCs w:val="21"/>
                <w:lang w:eastAsia="zh-CN"/>
              </w:rPr>
            </w:pPr>
          </w:p>
        </w:tc>
        <w:tc>
          <w:tcPr>
            <w:tcW w:w="4380"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spacing w:val="0"/>
                <w:kern w:val="2"/>
                <w:sz w:val="21"/>
                <w:szCs w:val="21"/>
                <w:lang w:eastAsia="zh-CN"/>
              </w:rPr>
            </w:pPr>
            <w:r>
              <w:rPr>
                <w:rFonts w:hint="eastAsia" w:ascii="仿宋_GB2312" w:hAnsi="仿宋_GB2312" w:eastAsia="仿宋_GB2312" w:cs="仿宋_GB2312"/>
                <w:snapToGrid w:val="0"/>
                <w:spacing w:val="0"/>
                <w:kern w:val="2"/>
                <w:sz w:val="21"/>
                <w:szCs w:val="21"/>
                <w:lang w:eastAsia="zh-CN"/>
              </w:rPr>
              <w:t>殡葬公共服务公众满意度（%）</w:t>
            </w:r>
          </w:p>
        </w:tc>
        <w:tc>
          <w:tcPr>
            <w:tcW w:w="1083"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spacing w:val="0"/>
                <w:kern w:val="2"/>
                <w:sz w:val="21"/>
                <w:szCs w:val="21"/>
                <w:lang w:eastAsia="zh-CN"/>
              </w:rPr>
            </w:pPr>
            <w:r>
              <w:rPr>
                <w:rFonts w:hint="eastAsia" w:ascii="仿宋_GB2312" w:hAnsi="仿宋_GB2312" w:eastAsia="仿宋_GB2312" w:cs="仿宋_GB2312"/>
                <w:snapToGrid w:val="0"/>
                <w:spacing w:val="0"/>
                <w:kern w:val="2"/>
                <w:sz w:val="21"/>
                <w:szCs w:val="21"/>
                <w:lang w:eastAsia="zh-CN"/>
              </w:rPr>
              <w:t>＞85</w:t>
            </w:r>
          </w:p>
        </w:tc>
        <w:tc>
          <w:tcPr>
            <w:tcW w:w="1365"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auto"/>
                <w:spacing w:val="0"/>
                <w:kern w:val="2"/>
                <w:sz w:val="21"/>
                <w:szCs w:val="21"/>
                <w:lang w:val="en-US" w:eastAsia="zh-CN"/>
              </w:rPr>
            </w:pPr>
            <w:r>
              <w:rPr>
                <w:rFonts w:hint="eastAsia" w:ascii="仿宋_GB2312" w:hAnsi="仿宋_GB2312" w:eastAsia="仿宋_GB2312" w:cs="仿宋_GB2312"/>
                <w:snapToGrid w:val="0"/>
                <w:color w:val="auto"/>
                <w:spacing w:val="0"/>
                <w:kern w:val="2"/>
                <w:sz w:val="21"/>
                <w:szCs w:val="21"/>
                <w:lang w:val="en-US" w:eastAsia="zh-CN"/>
              </w:rPr>
              <w:t>90</w:t>
            </w:r>
          </w:p>
        </w:tc>
      </w:tr>
    </w:tbl>
    <w:p>
      <w:pPr>
        <w:ind w:firstLine="640" w:firstLineChars="200"/>
        <w:rPr>
          <w:rFonts w:hint="eastAsia" w:ascii="仿宋_GB2312" w:hAnsi="仿宋_GB2312" w:eastAsia="仿宋_GB2312" w:cs="仿宋_GB2312"/>
          <w:sz w:val="32"/>
          <w:szCs w:val="32"/>
          <w:lang w:val="en-US" w:eastAsia="zh-CN"/>
        </w:rPr>
      </w:pPr>
    </w:p>
    <w:p>
      <w:p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（二）形势要求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“十四五”时期是我国乘势而上开启全面建设社会主义现代化国家新征程、向第二个百年奋斗目标进军的新发展阶段，也是新时代深化殡葬改革，推进我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殡葬事业健康发展的重要时期。</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——多样化多层次需求对殡葬服务供给提出了更高要求。</w:t>
      </w:r>
      <w:r>
        <w:rPr>
          <w:rFonts w:hint="eastAsia" w:ascii="仿宋_GB2312" w:hAnsi="仿宋_GB2312" w:eastAsia="仿宋_GB2312" w:cs="仿宋_GB2312"/>
          <w:sz w:val="32"/>
          <w:szCs w:val="32"/>
        </w:rPr>
        <w:t>改革开放40年来，人民群众生活显著改善，人口老龄化进程加快，构建新发展格局，不断满足人民群众对殡葬服务多样化、多层次的需求，对殡葬服务供给的要求进一步提高。</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——绿色发展理念对殡葬事业发展提出了更高要求。</w:t>
      </w:r>
      <w:r>
        <w:rPr>
          <w:rFonts w:hint="eastAsia" w:ascii="仿宋_GB2312" w:hAnsi="仿宋_GB2312" w:eastAsia="仿宋_GB2312" w:cs="仿宋_GB2312"/>
          <w:sz w:val="32"/>
          <w:szCs w:val="32"/>
        </w:rPr>
        <w:t>坚持新发展理念，践行绿水青山就是金山银山的绿色发展理念，要求安葬（放）设施节地、生态、环保；要求加快推进殡葬设施设备更新改造，实行节能减排，加强殡仪馆大气污染物排放治理，更好地保护土地资源和生态环境。</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——新时代精神文明建设对移风易俗提出了更高要求。</w:t>
      </w:r>
      <w:r>
        <w:rPr>
          <w:rFonts w:hint="eastAsia" w:ascii="仿宋_GB2312" w:hAnsi="仿宋_GB2312" w:eastAsia="仿宋_GB2312" w:cs="仿宋_GB2312"/>
          <w:sz w:val="32"/>
          <w:szCs w:val="32"/>
        </w:rPr>
        <w:t>新时代精神文明建设要求破除殡葬领域陈规陋俗，传承发展优秀殡葬文化，推行“厚养薄葬”理念，推广文明现代、简约节俭的殡葬礼仪和治丧模式，培育形成新时代殡葬新风尚。</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——依法治理和安全发展对殡葬规范管理提出了更高要求。</w:t>
      </w:r>
      <w:r>
        <w:rPr>
          <w:rFonts w:hint="eastAsia" w:ascii="仿宋_GB2312" w:hAnsi="仿宋_GB2312" w:eastAsia="仿宋_GB2312" w:cs="仿宋_GB2312"/>
          <w:sz w:val="32"/>
          <w:szCs w:val="32"/>
        </w:rPr>
        <w:t>新型冠状病毒肺炎疫情等重大突发公共卫生事件或重大自然灾害的发生、殡葬设施建设、防范化解重大风险、统筹发展和安全，对殡葬规范管理提出了新的更高要求。</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——新科技迅速发展对殡葬改革创新提出了更高要求。</w:t>
      </w:r>
      <w:r>
        <w:rPr>
          <w:rFonts w:hint="eastAsia" w:ascii="仿宋_GB2312" w:hAnsi="仿宋_GB2312" w:eastAsia="仿宋_GB2312" w:cs="仿宋_GB2312"/>
          <w:sz w:val="32"/>
          <w:szCs w:val="32"/>
        </w:rPr>
        <w:t>互联网飞速发展，5G网络、人工智能、物联网、大数据等技术相继推广应用，要求加快殡葬信息化建设，全面推进“互联网+殡葬服务”，创新殡葬管理服务技术发展。</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二、总体要求</w:t>
      </w:r>
    </w:p>
    <w:p>
      <w:p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（一）指导思想</w:t>
      </w:r>
    </w:p>
    <w:p>
      <w:pPr>
        <w:ind w:firstLine="640" w:firstLineChars="200"/>
        <w:rPr>
          <w:rFonts w:hint="eastAsia" w:ascii="仿宋_GB2312" w:hAnsi="仿宋_GB2312" w:eastAsia="仿宋_GB2312" w:cs="仿宋_GB2312"/>
          <w:sz w:val="32"/>
          <w:szCs w:val="32"/>
        </w:rPr>
      </w:pPr>
      <w:bookmarkStart w:id="0" w:name="_Toc46418055"/>
      <w:bookmarkStart w:id="1" w:name="_Toc52803667"/>
      <w:bookmarkStart w:id="2" w:name="_Toc45640252"/>
      <w:bookmarkStart w:id="3" w:name="_Toc46418101"/>
      <w:r>
        <w:rPr>
          <w:rFonts w:hint="eastAsia" w:ascii="仿宋_GB2312" w:hAnsi="仿宋_GB2312" w:eastAsia="仿宋_GB2312" w:cs="仿宋_GB2312"/>
          <w:sz w:val="32"/>
          <w:szCs w:val="32"/>
        </w:rPr>
        <w:t>以习近平新时代中国特色社会主义思想为指导，深入贯彻党的十九大和十九届二中、三中、四中、五中</w:t>
      </w:r>
      <w:r>
        <w:rPr>
          <w:rFonts w:hint="eastAsia" w:ascii="仿宋_GB2312" w:hAnsi="仿宋_GB2312" w:cs="仿宋_GB2312"/>
          <w:sz w:val="32"/>
          <w:szCs w:val="32"/>
          <w:lang w:eastAsia="zh-CN"/>
        </w:rPr>
        <w:t>、六中</w:t>
      </w:r>
      <w:r>
        <w:rPr>
          <w:rFonts w:hint="eastAsia" w:ascii="仿宋_GB2312" w:hAnsi="仿宋_GB2312" w:eastAsia="仿宋_GB2312" w:cs="仿宋_GB2312"/>
          <w:sz w:val="32"/>
          <w:szCs w:val="32"/>
        </w:rPr>
        <w:t>全会精神，</w:t>
      </w:r>
      <w:r>
        <w:rPr>
          <w:rFonts w:hint="eastAsia" w:ascii="仿宋_GB2312" w:hAnsi="仿宋_GB2312" w:eastAsia="仿宋_GB2312" w:cs="仿宋_GB2312"/>
          <w:sz w:val="32"/>
          <w:szCs w:val="32"/>
          <w:lang w:val="en-US" w:eastAsia="zh-CN"/>
        </w:rPr>
        <w:t>坚持</w:t>
      </w:r>
      <w:r>
        <w:rPr>
          <w:rFonts w:hint="eastAsia" w:ascii="仿宋_GB2312" w:hAnsi="仿宋_GB2312" w:eastAsia="仿宋_GB2312" w:cs="仿宋_GB2312"/>
          <w:sz w:val="32"/>
          <w:szCs w:val="32"/>
        </w:rPr>
        <w:t>以人民为中心，践行新发展</w:t>
      </w:r>
      <w:r>
        <w:rPr>
          <w:rFonts w:hint="eastAsia" w:ascii="仿宋_GB2312" w:hAnsi="仿宋_GB2312" w:eastAsia="仿宋_GB2312" w:cs="仿宋_GB2312"/>
          <w:sz w:val="32"/>
          <w:szCs w:val="32"/>
          <w:lang w:eastAsia="zh-CN"/>
        </w:rPr>
        <w:t>理念</w:t>
      </w:r>
      <w:r>
        <w:rPr>
          <w:rFonts w:hint="eastAsia" w:ascii="仿宋_GB2312" w:hAnsi="仿宋_GB2312" w:eastAsia="仿宋_GB2312" w:cs="仿宋_GB2312"/>
          <w:sz w:val="32"/>
          <w:szCs w:val="32"/>
        </w:rPr>
        <w:t>和“民政为民、民政爱民”工作理念，</w:t>
      </w:r>
      <w:r>
        <w:rPr>
          <w:rFonts w:hint="eastAsia" w:ascii="仿宋_GB2312" w:hAnsi="仿宋_GB2312" w:eastAsia="仿宋_GB2312" w:cs="仿宋_GB2312"/>
          <w:sz w:val="32"/>
          <w:szCs w:val="32"/>
          <w:lang w:eastAsia="zh-CN"/>
        </w:rPr>
        <w:t>围绕建设惠民、绿色、文明、法治、智慧殡葬，积极响应乡村振兴移风易俗行动，以推动殡葬改革为牵引，以满足人民群众殡葬需求为导向，以提升殡葬服务能力和水平为保障，整合资源、规范管理、优化服务，</w:t>
      </w:r>
      <w:r>
        <w:rPr>
          <w:rFonts w:hint="eastAsia" w:ascii="仿宋_GB2312" w:hAnsi="仿宋_GB2312" w:eastAsia="仿宋_GB2312" w:cs="仿宋_GB2312"/>
          <w:sz w:val="32"/>
          <w:szCs w:val="32"/>
        </w:rPr>
        <w:t>推动</w:t>
      </w:r>
      <w:r>
        <w:rPr>
          <w:rFonts w:hint="eastAsia" w:ascii="仿宋_GB2312" w:hAnsi="仿宋_GB2312" w:eastAsia="仿宋_GB2312" w:cs="仿宋_GB2312"/>
          <w:sz w:val="32"/>
          <w:szCs w:val="32"/>
          <w:lang w:val="en-US" w:eastAsia="zh-CN"/>
        </w:rPr>
        <w:t>新时代云浮</w:t>
      </w:r>
      <w:r>
        <w:rPr>
          <w:rFonts w:hint="eastAsia" w:ascii="仿宋_GB2312" w:hAnsi="仿宋_GB2312" w:eastAsia="仿宋_GB2312" w:cs="仿宋_GB2312"/>
          <w:sz w:val="32"/>
          <w:szCs w:val="32"/>
        </w:rPr>
        <w:t>殡葬事业</w:t>
      </w:r>
      <w:r>
        <w:rPr>
          <w:rFonts w:hint="eastAsia" w:ascii="仿宋_GB2312" w:hAnsi="仿宋_GB2312" w:eastAsia="仿宋_GB2312" w:cs="仿宋_GB2312"/>
          <w:sz w:val="32"/>
          <w:szCs w:val="32"/>
          <w:lang w:val="en-US" w:eastAsia="zh-CN"/>
        </w:rPr>
        <w:t>健康发展。</w:t>
      </w:r>
    </w:p>
    <w:p>
      <w:p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（二）基本原则</w:t>
      </w:r>
      <w:bookmarkEnd w:id="0"/>
      <w:bookmarkEnd w:id="1"/>
      <w:bookmarkEnd w:id="2"/>
      <w:bookmarkEnd w:id="3"/>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——坚持党</w:t>
      </w:r>
      <w:r>
        <w:rPr>
          <w:rFonts w:hint="eastAsia" w:ascii="仿宋_GB2312" w:hAnsi="仿宋_GB2312" w:eastAsia="仿宋_GB2312" w:cs="仿宋_GB2312"/>
          <w:b/>
          <w:bCs/>
          <w:sz w:val="32"/>
          <w:szCs w:val="32"/>
          <w:lang w:val="en-US" w:eastAsia="zh-CN"/>
        </w:rPr>
        <w:t>委领导，政府主导</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加强党对殡葬事业的全面领导，加大协调各方、统筹推进力度，</w:t>
      </w:r>
      <w:r>
        <w:rPr>
          <w:rFonts w:hint="eastAsia" w:ascii="仿宋_GB2312" w:hAnsi="仿宋_GB2312" w:eastAsia="仿宋_GB2312" w:cs="仿宋_GB2312"/>
          <w:sz w:val="32"/>
          <w:szCs w:val="32"/>
          <w:lang w:val="en-US" w:eastAsia="zh-CN"/>
        </w:rPr>
        <w:t>保障殡葬事业健康发展方向。明确各级政府主体责任和属地管理责任，</w:t>
      </w:r>
      <w:r>
        <w:rPr>
          <w:rFonts w:hint="eastAsia" w:ascii="仿宋_GB2312" w:hAnsi="仿宋_GB2312" w:eastAsia="仿宋_GB2312" w:cs="仿宋_GB2312"/>
          <w:sz w:val="32"/>
          <w:szCs w:val="32"/>
          <w:lang w:eastAsia="zh-CN"/>
        </w:rPr>
        <w:t>落实政府在规划编制、土地供给、经费投入、设施建设、基本服务、综合监管等方面的主导作用，正确妥善处理政府与市场的关系，健全</w:t>
      </w:r>
      <w:r>
        <w:rPr>
          <w:rFonts w:hint="eastAsia" w:ascii="仿宋_GB2312" w:hAnsi="仿宋_GB2312" w:eastAsia="仿宋_GB2312" w:cs="仿宋_GB2312"/>
          <w:sz w:val="32"/>
          <w:szCs w:val="32"/>
          <w:lang w:val="en-US" w:eastAsia="zh-CN"/>
        </w:rPr>
        <w:t>权责明晰</w:t>
      </w:r>
      <w:r>
        <w:rPr>
          <w:rFonts w:hint="eastAsia" w:ascii="仿宋_GB2312" w:hAnsi="仿宋_GB2312" w:eastAsia="仿宋_GB2312" w:cs="仿宋_GB2312"/>
          <w:sz w:val="32"/>
          <w:szCs w:val="32"/>
          <w:lang w:eastAsia="zh-CN"/>
        </w:rPr>
        <w:t>、协调顺畅、</w:t>
      </w:r>
      <w:r>
        <w:rPr>
          <w:rFonts w:hint="eastAsia" w:ascii="仿宋_GB2312" w:hAnsi="仿宋_GB2312" w:eastAsia="仿宋_GB2312" w:cs="仿宋_GB2312"/>
          <w:sz w:val="32"/>
          <w:szCs w:val="32"/>
          <w:lang w:val="en-US" w:eastAsia="zh-CN"/>
        </w:rPr>
        <w:t>监督有力</w:t>
      </w:r>
      <w:r>
        <w:rPr>
          <w:rFonts w:hint="eastAsia" w:ascii="仿宋_GB2312" w:hAnsi="仿宋_GB2312" w:eastAsia="仿宋_GB2312" w:cs="仿宋_GB2312"/>
          <w:sz w:val="32"/>
          <w:szCs w:val="32"/>
          <w:lang w:eastAsia="zh-CN"/>
        </w:rPr>
        <w:t>的管理机制。</w:t>
      </w:r>
    </w:p>
    <w:p>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——坚持公益惠民，优化供给。</w:t>
      </w:r>
      <w:r>
        <w:rPr>
          <w:rFonts w:hint="eastAsia" w:ascii="仿宋_GB2312" w:hAnsi="仿宋_GB2312" w:eastAsia="仿宋_GB2312" w:cs="仿宋_GB2312"/>
          <w:sz w:val="32"/>
          <w:szCs w:val="32"/>
          <w:lang w:val="en-US" w:eastAsia="zh-CN"/>
        </w:rPr>
        <w:t>坚持殡葬事业公益属性，完善绿色惠民殡葬政策，履行政府对基本殡葬服务的兜底保障职责。</w:t>
      </w:r>
      <w:r>
        <w:rPr>
          <w:rFonts w:hint="eastAsia" w:ascii="仿宋_GB2312" w:hAnsi="仿宋_GB2312" w:eastAsia="仿宋_GB2312" w:cs="仿宋_GB2312"/>
          <w:sz w:val="32"/>
          <w:szCs w:val="32"/>
          <w:lang w:eastAsia="zh-CN"/>
        </w:rPr>
        <w:t>推进供给侧改革，加强需求侧管理，</w:t>
      </w:r>
      <w:r>
        <w:rPr>
          <w:rFonts w:hint="eastAsia" w:ascii="仿宋_GB2312" w:hAnsi="仿宋_GB2312" w:eastAsia="仿宋_GB2312" w:cs="仿宋_GB2312"/>
          <w:sz w:val="32"/>
          <w:szCs w:val="32"/>
          <w:lang w:val="en-US" w:eastAsia="zh-CN"/>
        </w:rPr>
        <w:t>优化资源配置，</w:t>
      </w:r>
      <w:r>
        <w:rPr>
          <w:rFonts w:hint="eastAsia" w:ascii="仿宋_GB2312" w:hAnsi="仿宋_GB2312" w:eastAsia="仿宋_GB2312" w:cs="仿宋_GB2312"/>
          <w:sz w:val="32"/>
          <w:szCs w:val="32"/>
          <w:lang w:eastAsia="zh-CN"/>
        </w:rPr>
        <w:t>完善</w:t>
      </w:r>
      <w:r>
        <w:rPr>
          <w:rFonts w:hint="eastAsia" w:ascii="仿宋_GB2312" w:hAnsi="仿宋_GB2312" w:eastAsia="仿宋_GB2312" w:cs="仿宋_GB2312"/>
          <w:sz w:val="32"/>
          <w:szCs w:val="32"/>
          <w:lang w:val="en-US" w:eastAsia="zh-CN"/>
        </w:rPr>
        <w:t>殡葬基础设施建设，加大公益性殡葬服务供给，保证中低价位殡葬服务和殡葬用品足量供应，减轻群众治丧负担，逐步推进基本殡葬服务普惠性、均等化。</w:t>
      </w:r>
    </w:p>
    <w:p>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——坚持生态文明，绿色发展。</w:t>
      </w:r>
      <w:r>
        <w:rPr>
          <w:rFonts w:hint="eastAsia" w:ascii="仿宋_GB2312" w:hAnsi="仿宋_GB2312" w:eastAsia="仿宋_GB2312" w:cs="仿宋_GB2312"/>
          <w:sz w:val="32"/>
          <w:szCs w:val="32"/>
          <w:lang w:val="en-US" w:eastAsia="zh-CN"/>
        </w:rPr>
        <w:t>深入践行习近平生态文明思想，全面推进殡葬行业生态文明和环境保护。强化宣传教育和政策引导，大力倡导现代殡葬新理念、新风尚，加大节地生态安葬推行力度，引导人民群众文明节俭治丧，促进人与自然和谐共生。</w:t>
      </w:r>
    </w:p>
    <w:p>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——坚持统筹协调，系统推进。</w:t>
      </w:r>
      <w:r>
        <w:rPr>
          <w:rFonts w:hint="eastAsia" w:ascii="仿宋_GB2312" w:hAnsi="仿宋_GB2312" w:eastAsia="仿宋_GB2312" w:cs="仿宋_GB2312"/>
          <w:sz w:val="32"/>
          <w:szCs w:val="32"/>
          <w:lang w:val="en-US" w:eastAsia="zh-CN"/>
        </w:rPr>
        <w:t>建立完善党委领导、政府负责、民政牵头、部门协作、社会参与、法治保障的工作机制，统筹协调多部门系统推进，加强督促检查和讲评通报，更大力度推进殡葬工作更快发展。充分发挥基层群众自治、行业协会自律、社会监督等方面作用，创新监管手段和治理方式，实现政府、社会、市场优势互补、良性互动，形成殡葬行业规范有序发展新格局。</w:t>
      </w:r>
    </w:p>
    <w:p>
      <w:pPr>
        <w:ind w:firstLine="643" w:firstLineChars="200"/>
        <w:rPr>
          <w:rFonts w:hint="eastAsia" w:ascii="仿宋_GB2312" w:hAnsi="仿宋_GB2312" w:eastAsia="仿宋_GB2312" w:cs="仿宋_GB2312"/>
          <w:b/>
          <w:bCs/>
          <w:sz w:val="32"/>
          <w:szCs w:val="32"/>
          <w:lang w:eastAsia="zh-CN"/>
        </w:rPr>
      </w:pPr>
      <w:bookmarkStart w:id="4" w:name="_Toc45640253"/>
      <w:bookmarkStart w:id="5" w:name="_Toc46418056"/>
      <w:bookmarkStart w:id="6" w:name="_Toc52803668"/>
      <w:bookmarkStart w:id="7" w:name="_Toc46418102"/>
      <w:r>
        <w:rPr>
          <w:rFonts w:hint="eastAsia" w:ascii="仿宋_GB2312" w:hAnsi="仿宋_GB2312" w:eastAsia="仿宋_GB2312" w:cs="仿宋_GB2312"/>
          <w:b/>
          <w:bCs/>
          <w:sz w:val="32"/>
          <w:szCs w:val="32"/>
          <w:lang w:eastAsia="zh-CN"/>
        </w:rPr>
        <w:t>（三）发展目标</w:t>
      </w:r>
      <w:bookmarkEnd w:id="4"/>
      <w:bookmarkEnd w:id="5"/>
      <w:bookmarkEnd w:id="6"/>
      <w:bookmarkEnd w:id="7"/>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到2025年，全市殡葬服务充分发展，基本服务更有保障，选择性服务更加丰富，殡葬服务设施日趋完善，公益性安葬（放）设施覆盖率、节地生态安葬率显著提升。殡葬综合监管有力有效，殡葬行业发展更加规范，殡葬信息化管理和服务全面普及，现代文明殡葬新风尚逐渐形成。</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——加大惠民殡葬力度，殡葬基本服务保障对象范围不断扩大，殡葬基本服务和选择性服务充分发展，服务质量进一步提高，人民群众丧葬负担进一步减轻。</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全面推行五项惠民殡葬政策，逐步扩大惠民范围，增加惠民服务项目，提高保障标准。</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殡仪馆管理，对标省殡仪馆等级创建和评估标准，全部殡仪馆实施等级创建并纳入标准化管理，到2025年底，全市所有殡仪馆均达到省二级及以上标准。加强殡仪馆火化机尾气排放治理，全面实现火化机尾气经净化后达标排放。</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——加快公益性安葬（放）设施建设，每个镇至少建有1个镇级公益性骨灰堂或公益性公墓。</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——提高节地生态安葬水平，至少建设一个市一级节地生态安葬点，全市节地生态安葬率达到70%以上。</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——提高信息化水平，积极应用广东省殡葬管理服务信息系统，实现信息数据部、省、市、县纵向互联互通，政府各部门横向共享共用，推进殡葬服务线上线下融合发展，实现线上服务可上尽上。</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——进一步规范殡葬管理体系。健全农村公益性墓地管理机制，加快殡葬改革和殡葬管理的政策创制，实现殡葬管理法治化、规范化。</w:t>
      </w:r>
    </w:p>
    <w:p>
      <w:pPr>
        <w:ind w:firstLine="640" w:firstLineChars="200"/>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bCs/>
          <w:snapToGrid w:val="0"/>
          <w:spacing w:val="0"/>
          <w:kern w:val="2"/>
          <w:sz w:val="32"/>
          <w:szCs w:val="32"/>
        </w:rPr>
      </w:pPr>
      <w:r>
        <w:rPr>
          <w:rFonts w:hint="eastAsia" w:ascii="仿宋_GB2312" w:hAnsi="仿宋_GB2312" w:eastAsia="仿宋_GB2312" w:cs="仿宋_GB2312"/>
          <w:bCs/>
          <w:snapToGrid w:val="0"/>
          <w:spacing w:val="0"/>
          <w:kern w:val="2"/>
          <w:sz w:val="32"/>
          <w:szCs w:val="32"/>
          <w:lang w:eastAsia="zh-CN"/>
        </w:rPr>
        <w:t>表</w:t>
      </w:r>
      <w:r>
        <w:rPr>
          <w:rFonts w:hint="eastAsia" w:ascii="仿宋_GB2312" w:hAnsi="仿宋_GB2312" w:eastAsia="仿宋_GB2312" w:cs="仿宋_GB2312"/>
          <w:bCs/>
          <w:snapToGrid w:val="0"/>
          <w:spacing w:val="0"/>
          <w:kern w:val="2"/>
          <w:sz w:val="32"/>
          <w:szCs w:val="32"/>
          <w:lang w:val="en-US" w:eastAsia="zh-CN"/>
        </w:rPr>
        <w:t>：</w:t>
      </w:r>
      <w:r>
        <w:rPr>
          <w:rFonts w:hint="eastAsia" w:ascii="仿宋_GB2312" w:hAnsi="仿宋_GB2312" w:eastAsia="仿宋_GB2312" w:cs="仿宋_GB2312"/>
          <w:bCs/>
          <w:snapToGrid w:val="0"/>
          <w:spacing w:val="0"/>
          <w:kern w:val="2"/>
          <w:sz w:val="32"/>
          <w:szCs w:val="32"/>
          <w:lang w:eastAsia="zh-CN"/>
        </w:rPr>
        <w:t>云浮市殡葬事业发展“十四五”</w:t>
      </w:r>
      <w:r>
        <w:rPr>
          <w:rFonts w:hint="eastAsia" w:ascii="仿宋_GB2312" w:hAnsi="仿宋_GB2312" w:eastAsia="仿宋_GB2312" w:cs="仿宋_GB2312"/>
          <w:bCs/>
          <w:snapToGrid w:val="0"/>
          <w:spacing w:val="0"/>
          <w:kern w:val="2"/>
          <w:sz w:val="32"/>
          <w:szCs w:val="32"/>
        </w:rPr>
        <w:t>规划指标</w:t>
      </w:r>
    </w:p>
    <w:tbl>
      <w:tblPr>
        <w:tblStyle w:val="9"/>
        <w:tblW w:w="9022" w:type="dxa"/>
        <w:jc w:val="center"/>
        <w:tblInd w:w="0" w:type="dxa"/>
        <w:tblLayout w:type="fixed"/>
        <w:tblCellMar>
          <w:top w:w="0" w:type="dxa"/>
          <w:left w:w="0" w:type="dxa"/>
          <w:bottom w:w="0" w:type="dxa"/>
          <w:right w:w="0" w:type="dxa"/>
        </w:tblCellMar>
      </w:tblPr>
      <w:tblGrid>
        <w:gridCol w:w="712"/>
        <w:gridCol w:w="5951"/>
        <w:gridCol w:w="1290"/>
        <w:gridCol w:w="1069"/>
      </w:tblGrid>
      <w:tr>
        <w:tblPrEx>
          <w:tblLayout w:type="fixed"/>
          <w:tblCellMar>
            <w:top w:w="0" w:type="dxa"/>
            <w:left w:w="0" w:type="dxa"/>
            <w:bottom w:w="0" w:type="dxa"/>
            <w:right w:w="0" w:type="dxa"/>
          </w:tblCellMar>
        </w:tblPrEx>
        <w:trPr>
          <w:trHeight w:val="300" w:hRule="atLeast"/>
          <w:jc w:val="center"/>
        </w:trPr>
        <w:tc>
          <w:tcPr>
            <w:tcW w:w="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序号</w:t>
            </w:r>
          </w:p>
        </w:tc>
        <w:tc>
          <w:tcPr>
            <w:tcW w:w="59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指标内容</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2025年指标值</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指标</w:t>
            </w:r>
          </w:p>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属性</w:t>
            </w:r>
          </w:p>
        </w:tc>
      </w:tr>
      <w:tr>
        <w:tblPrEx>
          <w:tblLayout w:type="fixed"/>
          <w:tblCellMar>
            <w:top w:w="0" w:type="dxa"/>
            <w:left w:w="0" w:type="dxa"/>
            <w:bottom w:w="0" w:type="dxa"/>
            <w:right w:w="0" w:type="dxa"/>
          </w:tblCellMar>
        </w:tblPrEx>
        <w:trPr>
          <w:trHeight w:val="794" w:hRule="exact"/>
          <w:jc w:val="center"/>
        </w:trPr>
        <w:tc>
          <w:tcPr>
            <w:tcW w:w="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59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殡葬基本服务免费由政府提供政策惠及非户籍人口各县（市、区）覆盖率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100</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预期性</w:t>
            </w:r>
          </w:p>
        </w:tc>
      </w:tr>
      <w:tr>
        <w:tblPrEx>
          <w:tblLayout w:type="fixed"/>
          <w:tblCellMar>
            <w:top w:w="0" w:type="dxa"/>
            <w:left w:w="0" w:type="dxa"/>
            <w:bottom w:w="0" w:type="dxa"/>
            <w:right w:w="0" w:type="dxa"/>
          </w:tblCellMar>
        </w:tblPrEx>
        <w:trPr>
          <w:trHeight w:val="454" w:hRule="exact"/>
          <w:jc w:val="center"/>
        </w:trPr>
        <w:tc>
          <w:tcPr>
            <w:tcW w:w="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59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节地生态安葬率（%）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≥70</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约束性</w:t>
            </w:r>
          </w:p>
        </w:tc>
      </w:tr>
      <w:tr>
        <w:tblPrEx>
          <w:tblLayout w:type="fixed"/>
          <w:tblCellMar>
            <w:top w:w="0" w:type="dxa"/>
            <w:left w:w="0" w:type="dxa"/>
            <w:bottom w:w="0" w:type="dxa"/>
            <w:right w:w="0" w:type="dxa"/>
          </w:tblCellMar>
        </w:tblPrEx>
        <w:trPr>
          <w:trHeight w:val="454" w:hRule="exact"/>
          <w:jc w:val="center"/>
        </w:trPr>
        <w:tc>
          <w:tcPr>
            <w:tcW w:w="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w:t>
            </w:r>
          </w:p>
        </w:tc>
        <w:tc>
          <w:tcPr>
            <w:tcW w:w="59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市级节地生态安葬点（个）</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约束性</w:t>
            </w:r>
          </w:p>
        </w:tc>
      </w:tr>
      <w:tr>
        <w:tblPrEx>
          <w:tblLayout w:type="fixed"/>
          <w:tblCellMar>
            <w:top w:w="0" w:type="dxa"/>
            <w:left w:w="0" w:type="dxa"/>
            <w:bottom w:w="0" w:type="dxa"/>
            <w:right w:w="0" w:type="dxa"/>
          </w:tblCellMar>
        </w:tblPrEx>
        <w:trPr>
          <w:trHeight w:val="454" w:hRule="exact"/>
          <w:jc w:val="center"/>
        </w:trPr>
        <w:tc>
          <w:tcPr>
            <w:tcW w:w="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59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殡仪馆火化机尾气排放达标率（%）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约束性</w:t>
            </w:r>
          </w:p>
        </w:tc>
      </w:tr>
      <w:tr>
        <w:tblPrEx>
          <w:tblLayout w:type="fixed"/>
          <w:tblCellMar>
            <w:top w:w="0" w:type="dxa"/>
            <w:left w:w="0" w:type="dxa"/>
            <w:bottom w:w="0" w:type="dxa"/>
            <w:right w:w="0" w:type="dxa"/>
          </w:tblCellMar>
        </w:tblPrEx>
        <w:trPr>
          <w:trHeight w:val="454" w:hRule="exact"/>
          <w:jc w:val="center"/>
        </w:trPr>
        <w:tc>
          <w:tcPr>
            <w:tcW w:w="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w:t>
            </w:r>
          </w:p>
        </w:tc>
        <w:tc>
          <w:tcPr>
            <w:tcW w:w="59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被认定为省级殡仪馆比例（%）</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100</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预期性</w:t>
            </w:r>
          </w:p>
        </w:tc>
      </w:tr>
      <w:tr>
        <w:tblPrEx>
          <w:tblLayout w:type="fixed"/>
          <w:tblCellMar>
            <w:top w:w="0" w:type="dxa"/>
            <w:left w:w="0" w:type="dxa"/>
            <w:bottom w:w="0" w:type="dxa"/>
            <w:right w:w="0" w:type="dxa"/>
          </w:tblCellMar>
        </w:tblPrEx>
        <w:trPr>
          <w:trHeight w:val="454" w:hRule="exact"/>
          <w:jc w:val="center"/>
        </w:trPr>
        <w:tc>
          <w:tcPr>
            <w:tcW w:w="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59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公益性安葬（放）设施镇级行政区域覆盖率（%）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约束性</w:t>
            </w:r>
          </w:p>
        </w:tc>
      </w:tr>
    </w:tbl>
    <w:p>
      <w:pPr>
        <w:keepNext w:val="0"/>
        <w:keepLines w:val="0"/>
        <w:pageBreakBefore w:val="0"/>
        <w:numPr>
          <w:ilvl w:val="0"/>
          <w:numId w:val="0"/>
        </w:numPr>
        <w:kinsoku/>
        <w:wordWrap/>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wordWrap/>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三、主要任务</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（一）构建惠民殡葬</w:t>
      </w:r>
    </w:p>
    <w:p>
      <w:pPr>
        <w:adjustRightInd w:val="0"/>
        <w:snapToGrid w:val="0"/>
        <w:spacing w:line="576"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val="0"/>
          <w:sz w:val="32"/>
          <w:szCs w:val="32"/>
        </w:rPr>
        <w:t>1</w:t>
      </w: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bCs w:val="0"/>
          <w:sz w:val="32"/>
          <w:szCs w:val="32"/>
        </w:rPr>
        <w:t>完善殡葬基本服务保障制度。</w:t>
      </w:r>
      <w:r>
        <w:rPr>
          <w:rFonts w:hint="eastAsia" w:ascii="仿宋_GB2312" w:hAnsi="仿宋_GB2312" w:eastAsia="仿宋_GB2312" w:cs="仿宋_GB2312"/>
          <w:sz w:val="32"/>
          <w:szCs w:val="32"/>
        </w:rPr>
        <w:t>坚持</w:t>
      </w:r>
      <w:r>
        <w:rPr>
          <w:rFonts w:hint="eastAsia" w:ascii="仿宋_GB2312" w:hAnsi="仿宋_GB2312" w:eastAsia="仿宋_GB2312" w:cs="仿宋_GB2312"/>
          <w:sz w:val="32"/>
          <w:szCs w:val="32"/>
          <w:lang w:eastAsia="zh-CN"/>
        </w:rPr>
        <w:t>量力而行、尽力而为</w:t>
      </w:r>
      <w:r>
        <w:rPr>
          <w:rFonts w:hint="eastAsia" w:ascii="仿宋_GB2312" w:hAnsi="仿宋_GB2312" w:eastAsia="仿宋_GB2312" w:cs="仿宋_GB2312"/>
          <w:sz w:val="32"/>
          <w:szCs w:val="32"/>
        </w:rPr>
        <w:t>，逐步实现殡葬基本服务</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政府免费提供</w:t>
      </w:r>
      <w:r>
        <w:rPr>
          <w:rFonts w:hint="eastAsia" w:ascii="仿宋_GB2312" w:hAnsi="仿宋_GB2312" w:eastAsia="仿宋_GB2312" w:cs="仿宋_GB2312"/>
          <w:sz w:val="32"/>
          <w:szCs w:val="32"/>
          <w:lang w:eastAsia="zh-CN"/>
        </w:rPr>
        <w:t>政策</w:t>
      </w:r>
      <w:r>
        <w:rPr>
          <w:rFonts w:hint="eastAsia" w:ascii="仿宋_GB2312" w:hAnsi="仿宋_GB2312" w:eastAsia="仿宋_GB2312" w:cs="仿宋_GB2312"/>
          <w:sz w:val="32"/>
          <w:szCs w:val="32"/>
        </w:rPr>
        <w:t>惠及</w:t>
      </w:r>
      <w:r>
        <w:rPr>
          <w:rFonts w:hint="eastAsia" w:ascii="仿宋_GB2312" w:hAnsi="仿宋_GB2312" w:eastAsia="仿宋_GB2312" w:cs="仿宋_GB2312"/>
          <w:sz w:val="32"/>
          <w:szCs w:val="32"/>
          <w:lang w:eastAsia="zh-CN"/>
        </w:rPr>
        <w:t>非户籍人口，</w:t>
      </w:r>
      <w:r>
        <w:rPr>
          <w:rFonts w:hint="eastAsia" w:ascii="仿宋_GB2312" w:hAnsi="仿宋_GB2312" w:eastAsia="仿宋_GB2312" w:cs="仿宋_GB2312"/>
          <w:sz w:val="32"/>
          <w:szCs w:val="32"/>
        </w:rPr>
        <w:t>鼓励有条件的</w:t>
      </w:r>
      <w:r>
        <w:rPr>
          <w:rFonts w:hint="eastAsia" w:ascii="仿宋_GB2312" w:hAnsi="仿宋_GB2312" w:eastAsia="仿宋_GB2312" w:cs="仿宋_GB2312"/>
          <w:sz w:val="32"/>
          <w:szCs w:val="32"/>
          <w:lang w:eastAsia="zh-CN"/>
        </w:rPr>
        <w:t>县（市、区）适当</w:t>
      </w:r>
      <w:r>
        <w:rPr>
          <w:rFonts w:hint="eastAsia" w:ascii="仿宋_GB2312" w:hAnsi="仿宋_GB2312" w:eastAsia="仿宋_GB2312" w:cs="仿宋_GB2312"/>
          <w:sz w:val="32"/>
          <w:szCs w:val="32"/>
        </w:rPr>
        <w:t>增</w:t>
      </w:r>
      <w:r>
        <w:rPr>
          <w:rFonts w:hint="eastAsia" w:ascii="仿宋_GB2312" w:hAnsi="仿宋_GB2312" w:eastAsia="仿宋_GB2312" w:cs="仿宋_GB2312"/>
          <w:sz w:val="32"/>
          <w:szCs w:val="32"/>
          <w:lang w:eastAsia="zh-CN"/>
        </w:rPr>
        <w:t>加服务</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目、</w:t>
      </w:r>
      <w:r>
        <w:rPr>
          <w:rFonts w:hint="eastAsia" w:ascii="仿宋_GB2312" w:hAnsi="仿宋_GB2312" w:eastAsia="仿宋_GB2312" w:cs="仿宋_GB2312"/>
          <w:sz w:val="32"/>
          <w:szCs w:val="32"/>
        </w:rPr>
        <w:t>提</w:t>
      </w:r>
      <w:r>
        <w:rPr>
          <w:rFonts w:hint="eastAsia" w:ascii="仿宋_GB2312" w:hAnsi="仿宋_GB2312" w:eastAsia="仿宋_GB2312" w:cs="仿宋_GB2312"/>
          <w:sz w:val="32"/>
          <w:szCs w:val="32"/>
          <w:lang w:eastAsia="zh-CN"/>
        </w:rPr>
        <w:t>高服务标准、免费安葬（放），进一步提升殡葬基本服务均等化水平。研究制定基本殡葬服务项目清单，根据经济发展水平动态调整，逐步拓展到可降解骨灰盒、尸袋、节地生态安葬等丧葬服务用品或项目，有序推进惠民殡葬政策提标、增项、扩面，更大力度地让广大人民群众共享改革发展成果。对公益性殡葬服务机构，要落实政府投入和税费减免配套优惠政策，确保持续稳定地提供基本殡葬服务。</w:t>
      </w:r>
    </w:p>
    <w:p>
      <w:pPr>
        <w:adjustRightInd w:val="0"/>
        <w:snapToGrid w:val="0"/>
        <w:spacing w:line="576"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val="0"/>
          <w:sz w:val="32"/>
          <w:szCs w:val="32"/>
        </w:rPr>
        <w:t>2</w:t>
      </w: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bCs w:val="0"/>
          <w:sz w:val="32"/>
          <w:szCs w:val="32"/>
        </w:rPr>
        <w:t>完善殡葬公共服务设施建设。</w:t>
      </w:r>
      <w:r>
        <w:rPr>
          <w:rFonts w:hint="eastAsia" w:ascii="仿宋_GB2312" w:hAnsi="仿宋_GB2312" w:eastAsia="仿宋_GB2312" w:cs="仿宋_GB2312"/>
          <w:b w:val="0"/>
          <w:bCs/>
          <w:sz w:val="32"/>
          <w:szCs w:val="32"/>
          <w:lang w:eastAsia="zh-CN"/>
        </w:rPr>
        <w:t>坚持</w:t>
      </w:r>
      <w:r>
        <w:rPr>
          <w:rFonts w:hint="eastAsia" w:ascii="仿宋_GB2312" w:hAnsi="仿宋_GB2312" w:eastAsia="仿宋_GB2312" w:cs="仿宋_GB2312"/>
          <w:sz w:val="32"/>
          <w:szCs w:val="32"/>
        </w:rPr>
        <w:t>立足群众殡葬服务需求和经济社会长远发展需求，</w:t>
      </w:r>
      <w:r>
        <w:rPr>
          <w:rFonts w:hint="eastAsia" w:ascii="仿宋_GB2312" w:hAnsi="仿宋_GB2312" w:eastAsia="仿宋_GB2312" w:cs="仿宋_GB2312"/>
          <w:sz w:val="32"/>
          <w:szCs w:val="32"/>
          <w:lang w:eastAsia="zh-CN"/>
        </w:rPr>
        <w:t>不断完善</w:t>
      </w:r>
      <w:r>
        <w:rPr>
          <w:rFonts w:hint="eastAsia" w:ascii="仿宋_GB2312" w:hAnsi="仿宋_GB2312" w:eastAsia="仿宋_GB2312" w:cs="仿宋_GB2312"/>
          <w:kern w:val="0"/>
          <w:sz w:val="32"/>
          <w:szCs w:val="32"/>
        </w:rPr>
        <w:t>殡葬设施</w:t>
      </w:r>
      <w:r>
        <w:rPr>
          <w:rFonts w:hint="eastAsia" w:ascii="仿宋_GB2312" w:hAnsi="仿宋_GB2312" w:eastAsia="仿宋_GB2312" w:cs="仿宋_GB2312"/>
          <w:sz w:val="32"/>
          <w:szCs w:val="32"/>
        </w:rPr>
        <w:t>规划</w:t>
      </w:r>
      <w:r>
        <w:rPr>
          <w:rFonts w:hint="eastAsia" w:ascii="仿宋_GB2312" w:hAnsi="仿宋_GB2312" w:eastAsia="仿宋_GB2312" w:cs="仿宋_GB2312"/>
          <w:kern w:val="0"/>
          <w:sz w:val="32"/>
          <w:szCs w:val="32"/>
        </w:rPr>
        <w:t>建设。</w:t>
      </w:r>
      <w:r>
        <w:rPr>
          <w:rFonts w:hint="eastAsia" w:ascii="仿宋_GB2312" w:hAnsi="仿宋_GB2312" w:eastAsia="仿宋_GB2312" w:cs="仿宋_GB2312"/>
          <w:kern w:val="0"/>
          <w:sz w:val="32"/>
          <w:szCs w:val="32"/>
          <w:lang w:eastAsia="zh-CN"/>
        </w:rPr>
        <w:t>加快云浮市</w:t>
      </w:r>
      <w:r>
        <w:rPr>
          <w:rFonts w:hint="eastAsia" w:ascii="仿宋_GB2312" w:hAnsi="仿宋_GB2312" w:eastAsia="仿宋_GB2312" w:cs="仿宋_GB2312"/>
          <w:kern w:val="0"/>
          <w:sz w:val="32"/>
          <w:szCs w:val="32"/>
        </w:rPr>
        <w:t>殡仪馆</w:t>
      </w:r>
      <w:r>
        <w:rPr>
          <w:rFonts w:hint="eastAsia" w:ascii="仿宋_GB2312" w:hAnsi="仿宋_GB2312" w:eastAsia="仿宋_GB2312" w:cs="仿宋_GB2312"/>
          <w:kern w:val="0"/>
          <w:sz w:val="32"/>
          <w:szCs w:val="32"/>
          <w:lang w:eastAsia="zh-CN"/>
        </w:rPr>
        <w:t>在火化机尾气处理设备、遗体防腐、滑坡改造等方面</w:t>
      </w:r>
      <w:r>
        <w:rPr>
          <w:rFonts w:hint="eastAsia" w:ascii="仿宋_GB2312" w:hAnsi="仿宋_GB2312" w:eastAsia="仿宋_GB2312" w:cs="仿宋_GB2312"/>
          <w:kern w:val="0"/>
          <w:sz w:val="32"/>
          <w:szCs w:val="32"/>
        </w:rPr>
        <w:t>升级改造</w:t>
      </w:r>
      <w:r>
        <w:rPr>
          <w:rFonts w:hint="eastAsia" w:ascii="仿宋_GB2312" w:hAnsi="仿宋_GB2312" w:eastAsia="仿宋_GB2312" w:cs="仿宋_GB2312"/>
          <w:kern w:val="0"/>
          <w:sz w:val="32"/>
          <w:szCs w:val="32"/>
          <w:lang w:eastAsia="zh-CN"/>
        </w:rPr>
        <w:t>项目，持续推进郁南县殡仪馆、罗定市殡仪馆的扩建项目，逐步完善我市殡葬公共服务设施体系建设。</w:t>
      </w:r>
      <w:r>
        <w:rPr>
          <w:rFonts w:hint="eastAsia" w:ascii="仿宋_GB2312" w:hAnsi="仿宋_GB2312" w:eastAsia="仿宋_GB2312" w:cs="仿宋_GB2312"/>
          <w:sz w:val="32"/>
          <w:szCs w:val="32"/>
          <w:lang w:eastAsia="zh-CN"/>
        </w:rPr>
        <w:t>规划建设罗定市经营性公墓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建设镇街一级</w:t>
      </w:r>
      <w:r>
        <w:rPr>
          <w:rFonts w:hint="eastAsia" w:ascii="仿宋_GB2312" w:hAnsi="仿宋_GB2312" w:eastAsia="仿宋_GB2312" w:cs="仿宋_GB2312"/>
          <w:sz w:val="32"/>
          <w:szCs w:val="32"/>
          <w:lang w:val="en-US" w:eastAsia="zh-CN"/>
        </w:rPr>
        <w:t>公益性骨灰堂，</w:t>
      </w:r>
      <w:r>
        <w:rPr>
          <w:rFonts w:hint="eastAsia" w:ascii="仿宋_GB2312" w:hAnsi="仿宋_GB2312" w:eastAsia="仿宋_GB2312"/>
          <w:sz w:val="32"/>
          <w:szCs w:val="32"/>
          <w:lang w:eastAsia="zh-CN"/>
        </w:rPr>
        <w:t>每个乡镇至少建有一个镇级公益性安葬（放）设施，鼓励有条件的行政村建设村级公益性安葬（放）设施</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kern w:val="0"/>
          <w:sz w:val="32"/>
          <w:szCs w:val="32"/>
          <w:lang w:eastAsia="zh-CN"/>
        </w:rPr>
        <w:t>推行在镇村或分片结合实际需要</w:t>
      </w:r>
      <w:r>
        <w:rPr>
          <w:rFonts w:hint="eastAsia" w:ascii="仿宋_GB2312" w:hAnsi="仿宋_GB2312" w:eastAsia="仿宋_GB2312" w:cs="仿宋_GB2312"/>
          <w:kern w:val="0"/>
          <w:sz w:val="32"/>
          <w:szCs w:val="32"/>
          <w:lang w:val="en-US" w:eastAsia="zh-CN"/>
        </w:rPr>
        <w:t>建设</w:t>
      </w:r>
      <w:r>
        <w:rPr>
          <w:rFonts w:hint="eastAsia" w:ascii="仿宋_GB2312" w:hAnsi="仿宋_GB2312" w:eastAsia="仿宋_GB2312" w:cs="仿宋_GB2312"/>
          <w:kern w:val="0"/>
          <w:sz w:val="32"/>
          <w:szCs w:val="32"/>
          <w:lang w:eastAsia="zh-CN"/>
        </w:rPr>
        <w:t>殡仪服务站（点），为人民群众提供安全文明简约的治丧场所。</w:t>
      </w:r>
      <w:r>
        <w:rPr>
          <w:rFonts w:hint="eastAsia" w:ascii="仿宋_GB2312" w:hAnsi="仿宋_GB2312" w:eastAsia="仿宋_GB2312" w:cs="仿宋_GB2312"/>
          <w:sz w:val="32"/>
          <w:szCs w:val="32"/>
          <w:lang w:val="en-US" w:eastAsia="zh-CN"/>
        </w:rPr>
        <w:t>建立完善以殡葬服务机构（殡仪馆、公墓、骨灰堂）为支撑、</w:t>
      </w:r>
      <w:r>
        <w:rPr>
          <w:rFonts w:hint="eastAsia" w:ascii="仿宋_GB2312" w:hAnsi="仿宋_GB2312" w:eastAsia="仿宋_GB2312" w:cs="仿宋_GB2312"/>
          <w:kern w:val="0"/>
          <w:sz w:val="32"/>
          <w:szCs w:val="32"/>
          <w:lang w:eastAsia="zh-CN"/>
        </w:rPr>
        <w:t>镇村</w:t>
      </w:r>
      <w:r>
        <w:rPr>
          <w:rFonts w:hint="eastAsia" w:ascii="仿宋_GB2312" w:hAnsi="仿宋_GB2312" w:eastAsia="仿宋_GB2312" w:cs="仿宋_GB2312"/>
          <w:sz w:val="32"/>
          <w:szCs w:val="32"/>
          <w:lang w:val="en-US" w:eastAsia="zh-CN"/>
        </w:rPr>
        <w:t>殡仪服务站（点）为补充，</w:t>
      </w:r>
      <w:r>
        <w:rPr>
          <w:rFonts w:hint="eastAsia" w:ascii="仿宋_GB2312" w:hAnsi="仿宋_GB2312" w:eastAsia="仿宋_GB2312" w:cs="仿宋_GB2312"/>
          <w:sz w:val="32"/>
          <w:szCs w:val="32"/>
        </w:rPr>
        <w:t>与区域人口数量相适应的</w:t>
      </w:r>
      <w:r>
        <w:rPr>
          <w:rFonts w:hint="eastAsia" w:ascii="仿宋_GB2312" w:hAnsi="仿宋_GB2312" w:eastAsia="仿宋_GB2312" w:cs="仿宋_GB2312"/>
          <w:sz w:val="32"/>
          <w:szCs w:val="32"/>
          <w:lang w:val="en-US" w:eastAsia="zh-CN"/>
        </w:rPr>
        <w:t>殡葬公共服务网络，</w:t>
      </w:r>
      <w:r>
        <w:rPr>
          <w:rFonts w:hint="eastAsia" w:ascii="仿宋_GB2312" w:hAnsi="仿宋_GB2312" w:eastAsia="仿宋_GB2312" w:cs="仿宋_GB2312"/>
          <w:sz w:val="32"/>
          <w:szCs w:val="32"/>
          <w:lang w:eastAsia="zh-CN"/>
        </w:rPr>
        <w:t>满足</w:t>
      </w:r>
      <w:r>
        <w:rPr>
          <w:rFonts w:hint="eastAsia" w:ascii="仿宋_GB2312" w:hAnsi="仿宋_GB2312" w:eastAsia="仿宋_GB2312" w:cs="仿宋_GB2312"/>
          <w:sz w:val="32"/>
          <w:szCs w:val="32"/>
        </w:rPr>
        <w:t>人民群众</w:t>
      </w:r>
      <w:r>
        <w:rPr>
          <w:rFonts w:hint="eastAsia" w:ascii="仿宋_GB2312" w:hAnsi="仿宋_GB2312" w:eastAsia="仿宋_GB2312" w:cs="仿宋_GB2312"/>
          <w:sz w:val="32"/>
          <w:szCs w:val="32"/>
          <w:lang w:eastAsia="zh-CN"/>
        </w:rPr>
        <w:t>殡葬基本服务</w:t>
      </w:r>
      <w:r>
        <w:rPr>
          <w:rFonts w:hint="eastAsia" w:ascii="仿宋_GB2312" w:hAnsi="仿宋_GB2312" w:eastAsia="仿宋_GB2312" w:cs="仿宋_GB2312"/>
          <w:sz w:val="32"/>
          <w:szCs w:val="32"/>
        </w:rPr>
        <w:t>需求。</w:t>
      </w:r>
    </w:p>
    <w:p>
      <w:pPr>
        <w:adjustRightInd w:val="0"/>
        <w:snapToGrid w:val="0"/>
        <w:spacing w:line="576"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3</w:t>
      </w:r>
      <w:r>
        <w:rPr>
          <w:rFonts w:hint="eastAsia" w:ascii="仿宋_GB2312" w:hAnsi="仿宋_GB2312" w:eastAsia="仿宋_GB2312" w:cs="仿宋_GB2312"/>
          <w:b/>
          <w:bCs w:val="0"/>
          <w:sz w:val="32"/>
          <w:szCs w:val="32"/>
          <w:lang w:eastAsia="zh-CN"/>
        </w:rPr>
        <w:t>．完善</w:t>
      </w:r>
      <w:r>
        <w:rPr>
          <w:rFonts w:hint="eastAsia" w:ascii="仿宋_GB2312" w:hAnsi="仿宋_GB2312" w:eastAsia="仿宋_GB2312" w:cs="仿宋_GB2312"/>
          <w:b/>
          <w:bCs w:val="0"/>
          <w:sz w:val="32"/>
          <w:szCs w:val="32"/>
        </w:rPr>
        <w:t>殡仪馆</w:t>
      </w:r>
      <w:r>
        <w:rPr>
          <w:rFonts w:hint="eastAsia" w:ascii="仿宋_GB2312" w:hAnsi="仿宋_GB2312" w:eastAsia="仿宋_GB2312" w:cs="仿宋_GB2312"/>
          <w:b/>
          <w:bCs w:val="0"/>
          <w:sz w:val="32"/>
          <w:szCs w:val="32"/>
          <w:lang w:eastAsia="zh-CN"/>
        </w:rPr>
        <w:t>等级</w:t>
      </w:r>
      <w:r>
        <w:rPr>
          <w:rFonts w:hint="eastAsia" w:ascii="仿宋_GB2312" w:hAnsi="仿宋_GB2312" w:eastAsia="仿宋_GB2312" w:cs="仿宋_GB2312"/>
          <w:b/>
          <w:bCs w:val="0"/>
          <w:sz w:val="32"/>
          <w:szCs w:val="32"/>
        </w:rPr>
        <w:t>管理</w:t>
      </w:r>
      <w:r>
        <w:rPr>
          <w:rFonts w:hint="eastAsia" w:ascii="仿宋_GB2312" w:hAnsi="仿宋_GB2312" w:eastAsia="仿宋_GB2312" w:cs="仿宋_GB2312"/>
          <w:b/>
          <w:bCs w:val="0"/>
          <w:sz w:val="32"/>
          <w:szCs w:val="32"/>
          <w:lang w:eastAsia="zh-CN"/>
        </w:rPr>
        <w:t>制度</w:t>
      </w:r>
      <w:r>
        <w:rPr>
          <w:rFonts w:hint="eastAsia" w:ascii="仿宋_GB2312" w:hAnsi="仿宋_GB2312" w:eastAsia="仿宋_GB2312" w:cs="仿宋_GB2312"/>
          <w:b/>
          <w:bCs w:val="0"/>
          <w:sz w:val="32"/>
          <w:szCs w:val="32"/>
        </w:rPr>
        <w:t>。</w:t>
      </w:r>
      <w:r>
        <w:rPr>
          <w:rFonts w:hint="eastAsia" w:ascii="仿宋_GB2312" w:hAnsi="仿宋_GB2312" w:eastAsia="仿宋_GB2312" w:cs="仿宋_GB2312"/>
          <w:sz w:val="32"/>
          <w:szCs w:val="32"/>
          <w:lang w:eastAsia="zh-CN"/>
        </w:rPr>
        <w:t>持续开展殡仪馆等级创建和标准化管理工作，到</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lang w:eastAsia="zh-CN"/>
        </w:rPr>
        <w:t>全市所有</w:t>
      </w:r>
      <w:r>
        <w:rPr>
          <w:rFonts w:hint="eastAsia" w:ascii="仿宋_GB2312" w:hAnsi="仿宋_GB2312" w:eastAsia="仿宋_GB2312" w:cs="仿宋_GB2312"/>
          <w:sz w:val="32"/>
          <w:szCs w:val="32"/>
          <w:lang w:val="en-US" w:eastAsia="zh-CN"/>
        </w:rPr>
        <w:t>殡仪馆</w:t>
      </w:r>
      <w:r>
        <w:rPr>
          <w:rFonts w:hint="eastAsia" w:ascii="仿宋_GB2312" w:hAnsi="仿宋_GB2312" w:eastAsia="仿宋_GB2312" w:cs="仿宋_GB2312"/>
          <w:sz w:val="32"/>
          <w:szCs w:val="32"/>
          <w:lang w:eastAsia="zh-CN"/>
        </w:rPr>
        <w:t>认定为省级殡仪馆，并全部纳入标准化管理。</w:t>
      </w:r>
      <w:r>
        <w:rPr>
          <w:rFonts w:hint="eastAsia" w:ascii="仿宋_GB2312" w:hAnsi="仿宋_GB2312" w:eastAsia="仿宋_GB2312" w:cs="仿宋_GB2312"/>
          <w:sz w:val="32"/>
          <w:szCs w:val="32"/>
        </w:rPr>
        <w:t>以殡仪馆等级创建为</w:t>
      </w:r>
      <w:r>
        <w:rPr>
          <w:rFonts w:hint="eastAsia" w:ascii="仿宋_GB2312" w:hAnsi="仿宋_GB2312" w:eastAsia="仿宋_GB2312" w:cs="仿宋_GB2312"/>
          <w:sz w:val="32"/>
          <w:szCs w:val="32"/>
          <w:lang w:eastAsia="zh-CN"/>
        </w:rPr>
        <w:t>抓</w:t>
      </w:r>
      <w:r>
        <w:rPr>
          <w:rFonts w:hint="eastAsia" w:ascii="仿宋_GB2312" w:hAnsi="仿宋_GB2312" w:eastAsia="仿宋_GB2312" w:cs="仿宋_GB2312"/>
          <w:sz w:val="32"/>
          <w:szCs w:val="32"/>
        </w:rPr>
        <w:t>手，</w:t>
      </w:r>
      <w:r>
        <w:rPr>
          <w:rFonts w:hint="eastAsia" w:ascii="仿宋_GB2312" w:hAnsi="仿宋_GB2312" w:eastAsia="仿宋_GB2312" w:cs="仿宋_GB2312"/>
          <w:sz w:val="32"/>
          <w:szCs w:val="32"/>
          <w:lang w:eastAsia="zh-CN"/>
        </w:rPr>
        <w:t>全面加强各</w:t>
      </w:r>
      <w:r>
        <w:rPr>
          <w:rFonts w:hint="eastAsia" w:ascii="仿宋_GB2312" w:hAnsi="仿宋_GB2312" w:eastAsia="仿宋_GB2312" w:cs="仿宋_GB2312"/>
          <w:sz w:val="32"/>
          <w:szCs w:val="32"/>
        </w:rPr>
        <w:t>殡仪馆设施</w:t>
      </w:r>
      <w:r>
        <w:rPr>
          <w:rFonts w:hint="eastAsia" w:ascii="仿宋_GB2312" w:hAnsi="仿宋_GB2312" w:eastAsia="仿宋_GB2312" w:cs="仿宋_GB2312"/>
          <w:sz w:val="32"/>
          <w:szCs w:val="32"/>
          <w:lang w:eastAsia="zh-CN"/>
        </w:rPr>
        <w:t>设备建设、服务质量建设、业务管理建设、人才队伍建设、信息化建设、党风行风建设等，</w:t>
      </w:r>
      <w:r>
        <w:rPr>
          <w:rFonts w:hint="eastAsia" w:ascii="仿宋_GB2312" w:hAnsi="仿宋_GB2312" w:eastAsia="仿宋_GB2312" w:cs="仿宋_GB2312"/>
          <w:sz w:val="32"/>
          <w:szCs w:val="32"/>
        </w:rPr>
        <w:t>健全重大突发事件和重大公共卫生事件应急处置制度，全方位提升</w:t>
      </w:r>
      <w:r>
        <w:rPr>
          <w:rFonts w:hint="eastAsia" w:ascii="仿宋_GB2312" w:hAnsi="仿宋_GB2312" w:eastAsia="仿宋_GB2312" w:cs="仿宋_GB2312"/>
          <w:sz w:val="32"/>
          <w:szCs w:val="32"/>
          <w:lang w:eastAsia="zh-CN"/>
        </w:rPr>
        <w:t>水平、上新台阶</w:t>
      </w:r>
      <w:r>
        <w:rPr>
          <w:rFonts w:hint="eastAsia" w:ascii="仿宋_GB2312" w:hAnsi="仿宋_GB2312" w:eastAsia="仿宋_GB2312" w:cs="仿宋_GB2312"/>
          <w:sz w:val="32"/>
          <w:szCs w:val="32"/>
        </w:rPr>
        <w:t>。</w:t>
      </w:r>
    </w:p>
    <w:p>
      <w:pPr>
        <w:adjustRightInd w:val="0"/>
        <w:snapToGrid w:val="0"/>
        <w:spacing w:line="576"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val="en-US" w:eastAsia="zh-CN"/>
        </w:rPr>
        <w:t>构建</w:t>
      </w:r>
      <w:r>
        <w:rPr>
          <w:rFonts w:hint="eastAsia" w:ascii="仿宋_GB2312" w:hAnsi="仿宋_GB2312" w:eastAsia="仿宋_GB2312" w:cs="仿宋_GB2312"/>
          <w:b/>
          <w:bCs/>
          <w:sz w:val="32"/>
          <w:szCs w:val="32"/>
        </w:rPr>
        <w:t>绿色殡葬</w:t>
      </w:r>
    </w:p>
    <w:p>
      <w:pPr>
        <w:adjustRightInd w:val="0"/>
        <w:snapToGrid w:val="0"/>
        <w:spacing w:line="576" w:lineRule="exact"/>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zh-CN"/>
        </w:rPr>
        <w:t>4</w:t>
      </w:r>
      <w:r>
        <w:rPr>
          <w:rFonts w:hint="eastAsia" w:ascii="仿宋_GB2312" w:hAnsi="仿宋_GB2312" w:eastAsia="仿宋_GB2312" w:cs="仿宋_GB2312"/>
          <w:b/>
          <w:bCs w:val="0"/>
          <w:sz w:val="32"/>
          <w:szCs w:val="32"/>
          <w:lang w:eastAsia="zh-CN"/>
        </w:rPr>
        <w:t>．全面加强</w:t>
      </w:r>
      <w:r>
        <w:rPr>
          <w:rFonts w:hint="eastAsia" w:ascii="仿宋_GB2312" w:hAnsi="仿宋_GB2312" w:eastAsia="仿宋_GB2312" w:cs="仿宋_GB2312"/>
          <w:b/>
          <w:bCs w:val="0"/>
          <w:sz w:val="32"/>
          <w:szCs w:val="32"/>
        </w:rPr>
        <w:t>殡仪馆</w:t>
      </w:r>
      <w:r>
        <w:rPr>
          <w:rFonts w:hint="eastAsia" w:ascii="仿宋_GB2312" w:hAnsi="仿宋_GB2312" w:eastAsia="仿宋_GB2312" w:cs="仿宋_GB2312"/>
          <w:b/>
          <w:bCs w:val="0"/>
          <w:sz w:val="32"/>
          <w:szCs w:val="32"/>
          <w:lang w:eastAsia="zh-CN"/>
        </w:rPr>
        <w:t>环境保护</w:t>
      </w:r>
      <w:r>
        <w:rPr>
          <w:rFonts w:hint="eastAsia" w:ascii="仿宋_GB2312" w:hAnsi="仿宋_GB2312" w:eastAsia="仿宋_GB2312" w:cs="仿宋_GB2312"/>
          <w:b/>
          <w:bCs w:val="0"/>
          <w:sz w:val="32"/>
          <w:szCs w:val="32"/>
        </w:rPr>
        <w:t>。</w:t>
      </w:r>
      <w:r>
        <w:rPr>
          <w:rFonts w:hint="eastAsia" w:ascii="仿宋_GB2312" w:hAnsi="仿宋_GB2312" w:eastAsia="仿宋_GB2312" w:cs="仿宋_GB2312"/>
          <w:sz w:val="32"/>
          <w:szCs w:val="32"/>
          <w:lang w:val="en-US" w:eastAsia="zh-CN"/>
        </w:rPr>
        <w:t>坚持生态环保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全面加强殡仪馆火化机尾气排放治理。全市殡仪馆科学配置火化机及尾气净化设备，实施老旧火化机及尾气净化设备更新升级，完善火化机尾气排放监测基础设施建设，建立健全火化机尾气监测长效机制，实现火化机尾气经净化后达标排放。</w:t>
      </w:r>
      <w:r>
        <w:rPr>
          <w:rFonts w:hint="eastAsia" w:ascii="仿宋_GB2312" w:hAnsi="仿宋_GB2312" w:eastAsia="仿宋_GB2312" w:cs="仿宋_GB2312"/>
          <w:sz w:val="32"/>
          <w:szCs w:val="32"/>
        </w:rPr>
        <w:t>大力</w:t>
      </w:r>
      <w:r>
        <w:rPr>
          <w:rFonts w:hint="eastAsia" w:ascii="仿宋_GB2312" w:hAnsi="仿宋_GB2312" w:eastAsia="仿宋_GB2312" w:cs="仿宋_GB2312"/>
          <w:sz w:val="32"/>
          <w:szCs w:val="32"/>
          <w:lang w:eastAsia="zh-CN"/>
        </w:rPr>
        <w:t>推动火化机</w:t>
      </w:r>
      <w:r>
        <w:rPr>
          <w:rFonts w:hint="eastAsia" w:ascii="仿宋_GB2312" w:hAnsi="仿宋_GB2312" w:eastAsia="仿宋_GB2312" w:cs="仿宋_GB2312"/>
          <w:sz w:val="32"/>
          <w:szCs w:val="32"/>
        </w:rPr>
        <w:t>“油改气”，</w:t>
      </w:r>
      <w:r>
        <w:rPr>
          <w:rFonts w:hint="eastAsia" w:ascii="仿宋_GB2312" w:hAnsi="仿宋_GB2312" w:eastAsia="仿宋_GB2312" w:cs="仿宋_GB2312"/>
          <w:sz w:val="32"/>
          <w:szCs w:val="32"/>
          <w:lang w:eastAsia="zh-CN"/>
        </w:rPr>
        <w:t>各殡仪馆按照环境保护法律法规的规定，依法申领排污许可证，落实按证排污主体责任。建立健全殡仪馆火化机、尾气净化设备及各类环保设施管理制度，</w:t>
      </w:r>
      <w:r>
        <w:rPr>
          <w:rFonts w:hint="eastAsia" w:ascii="仿宋_GB2312" w:hAnsi="仿宋_GB2312" w:eastAsia="仿宋_GB2312" w:cs="仿宋_GB2312"/>
          <w:color w:val="000000"/>
          <w:sz w:val="32"/>
          <w:szCs w:val="32"/>
        </w:rPr>
        <w:t>落实卫生防疫和</w:t>
      </w:r>
      <w:r>
        <w:rPr>
          <w:rFonts w:hint="eastAsia" w:ascii="仿宋_GB2312" w:hAnsi="仿宋_GB2312" w:eastAsia="仿宋_GB2312" w:cs="仿宋_GB2312"/>
          <w:color w:val="000000"/>
          <w:sz w:val="32"/>
          <w:szCs w:val="32"/>
          <w:lang w:eastAsia="zh-CN"/>
        </w:rPr>
        <w:t>干部</w:t>
      </w:r>
      <w:r>
        <w:rPr>
          <w:rFonts w:hint="eastAsia" w:ascii="仿宋_GB2312" w:hAnsi="仿宋_GB2312" w:eastAsia="仿宋_GB2312" w:cs="仿宋_GB2312"/>
          <w:color w:val="000000"/>
          <w:sz w:val="32"/>
          <w:szCs w:val="32"/>
        </w:rPr>
        <w:t>职工健康保护措施</w:t>
      </w:r>
      <w:r>
        <w:rPr>
          <w:rFonts w:hint="eastAsia" w:ascii="仿宋_GB2312" w:hAnsi="仿宋_GB2312" w:eastAsia="仿宋_GB2312" w:cs="仿宋_GB2312"/>
          <w:color w:val="000000"/>
          <w:sz w:val="32"/>
          <w:szCs w:val="32"/>
          <w:lang w:eastAsia="zh-CN"/>
        </w:rPr>
        <w:t>，切实加强殡仪馆环境保护</w:t>
      </w:r>
      <w:r>
        <w:rPr>
          <w:rFonts w:hint="eastAsia" w:ascii="仿宋_GB2312" w:hAnsi="仿宋_GB2312" w:eastAsia="仿宋_GB2312" w:cs="仿宋_GB2312"/>
          <w:color w:val="000000"/>
          <w:sz w:val="32"/>
          <w:szCs w:val="32"/>
        </w:rPr>
        <w:t>。</w:t>
      </w:r>
    </w:p>
    <w:p>
      <w:pPr>
        <w:adjustRightInd w:val="0"/>
        <w:snapToGrid w:val="0"/>
        <w:spacing w:line="576" w:lineRule="exact"/>
        <w:ind w:firstLine="643"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val="0"/>
          <w:sz w:val="32"/>
          <w:szCs w:val="32"/>
          <w:lang w:val="en-US" w:eastAsia="zh-CN"/>
        </w:rPr>
        <w:t>5</w:t>
      </w: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bCs w:val="0"/>
          <w:sz w:val="32"/>
          <w:szCs w:val="32"/>
        </w:rPr>
        <w:t>大力推行节地生态安葬</w:t>
      </w:r>
      <w:r>
        <w:rPr>
          <w:rFonts w:hint="eastAsia" w:ascii="仿宋_GB2312" w:hAnsi="仿宋_GB2312" w:eastAsia="仿宋_GB2312" w:cs="仿宋_GB2312"/>
          <w:b/>
          <w:bCs w:val="0"/>
          <w:sz w:val="32"/>
          <w:szCs w:val="32"/>
          <w:lang w:eastAsia="zh-CN"/>
        </w:rPr>
        <w:t>方式</w:t>
      </w:r>
      <w:r>
        <w:rPr>
          <w:rFonts w:hint="eastAsia" w:ascii="仿宋_GB2312" w:hAnsi="仿宋_GB2312" w:eastAsia="仿宋_GB2312" w:cs="仿宋_GB2312"/>
          <w:b/>
          <w:bCs w:val="0"/>
          <w:sz w:val="32"/>
          <w:szCs w:val="32"/>
        </w:rPr>
        <w:t>。</w:t>
      </w:r>
      <w:r>
        <w:rPr>
          <w:rFonts w:hint="eastAsia" w:ascii="仿宋_GB2312" w:hAnsi="仿宋_GB2312" w:eastAsia="仿宋_GB2312" w:cs="仿宋_GB2312"/>
          <w:sz w:val="32"/>
          <w:szCs w:val="32"/>
          <w:shd w:val="clear" w:color="auto" w:fill="FFFFFF"/>
        </w:rPr>
        <w:t>提倡墓碑小型化、生态化、微型化，最大限度降低墓穴硬化面积，鼓励家庭成员采用合葬方式提高单个墓位使用率。大力推行不占或少占土地、少耗资源的节地生态安葬</w:t>
      </w:r>
      <w:r>
        <w:rPr>
          <w:rFonts w:hint="eastAsia" w:ascii="仿宋_GB2312" w:hAnsi="仿宋_GB2312" w:eastAsia="仿宋_GB2312" w:cs="仿宋_GB2312"/>
          <w:sz w:val="32"/>
          <w:szCs w:val="32"/>
          <w:shd w:val="clear" w:color="auto" w:fill="FFFFFF"/>
          <w:lang w:val="en-US" w:eastAsia="zh-CN"/>
        </w:rPr>
        <w:t>（包括海葬、树葬、花葬、草坪葬、壁葬、寄存等）</w:t>
      </w:r>
      <w:r>
        <w:rPr>
          <w:rFonts w:hint="eastAsia" w:ascii="仿宋_GB2312" w:hAnsi="仿宋_GB2312" w:eastAsia="仿宋_GB2312" w:cs="仿宋_GB2312"/>
          <w:sz w:val="32"/>
          <w:szCs w:val="32"/>
          <w:shd w:val="clear" w:color="auto" w:fill="FFFFFF"/>
        </w:rPr>
        <w:t>方式</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鼓励和支持骨灰楼、骨灰廊、骨灰堂、骨灰墙等节地立体的骨灰安葬方式。</w:t>
      </w:r>
      <w:r>
        <w:rPr>
          <w:rFonts w:hint="eastAsia" w:ascii="仿宋_GB2312" w:hAnsi="仿宋_GB2312" w:eastAsia="仿宋_GB2312" w:cs="仿宋_GB2312"/>
          <w:sz w:val="32"/>
          <w:szCs w:val="32"/>
          <w:shd w:val="clear" w:color="auto" w:fill="FFFFFF"/>
          <w:lang w:eastAsia="zh-CN"/>
        </w:rPr>
        <w:t>推广使用可降解安葬（放）用品或者直接将骨灰藏纳土中，不设硬质墓穴和墓碑。</w:t>
      </w:r>
      <w:r>
        <w:rPr>
          <w:rFonts w:hint="eastAsia" w:ascii="仿宋_GB2312" w:hAnsi="仿宋_GB2312" w:eastAsia="仿宋_GB2312" w:cs="仿宋_GB2312"/>
          <w:sz w:val="32"/>
          <w:szCs w:val="32"/>
          <w:shd w:val="clear" w:color="auto" w:fill="FFFFFF"/>
        </w:rPr>
        <w:t>倡导骨灰撒海、撒江、撒散等不保留骨灰的安葬方式。完善节地生态安葬奖补制度</w:t>
      </w:r>
      <w:r>
        <w:rPr>
          <w:rFonts w:hint="eastAsia" w:ascii="仿宋_GB2312" w:hAnsi="仿宋_GB2312" w:eastAsia="仿宋_GB2312" w:cs="仿宋_GB2312"/>
          <w:sz w:val="32"/>
          <w:szCs w:val="32"/>
          <w:shd w:val="clear" w:color="auto" w:fill="FFFFFF"/>
          <w:lang w:eastAsia="zh-CN"/>
        </w:rPr>
        <w:t>，鼓励有条件的地区提高奖补标准</w:t>
      </w:r>
      <w:r>
        <w:rPr>
          <w:rFonts w:hint="eastAsia" w:ascii="仿宋_GB2312" w:hAnsi="仿宋_GB2312" w:eastAsia="仿宋_GB2312" w:cs="仿宋_GB2312"/>
          <w:sz w:val="32"/>
          <w:szCs w:val="32"/>
          <w:shd w:val="clear" w:color="auto" w:fill="FFFFFF"/>
        </w:rPr>
        <w:t>。</w:t>
      </w:r>
    </w:p>
    <w:p>
      <w:pPr>
        <w:adjustRightInd w:val="0"/>
        <w:snapToGrid w:val="0"/>
        <w:spacing w:line="576"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val="0"/>
          <w:sz w:val="32"/>
          <w:szCs w:val="32"/>
          <w:lang w:val="en-US" w:eastAsia="zh-CN"/>
        </w:rPr>
        <w:t>6</w:t>
      </w: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bCs w:val="0"/>
          <w:sz w:val="32"/>
          <w:szCs w:val="32"/>
        </w:rPr>
        <w:t>加快节地生态</w:t>
      </w:r>
      <w:r>
        <w:rPr>
          <w:rFonts w:hint="eastAsia" w:ascii="仿宋_GB2312" w:hAnsi="仿宋_GB2312" w:eastAsia="仿宋_GB2312" w:cs="仿宋_GB2312"/>
          <w:b/>
          <w:bCs w:val="0"/>
          <w:sz w:val="32"/>
          <w:szCs w:val="32"/>
          <w:lang w:eastAsia="zh-CN"/>
        </w:rPr>
        <w:t>安葬</w:t>
      </w:r>
      <w:r>
        <w:rPr>
          <w:rFonts w:hint="eastAsia" w:ascii="仿宋_GB2312" w:hAnsi="仿宋_GB2312" w:eastAsia="仿宋_GB2312" w:cs="仿宋_GB2312"/>
          <w:b/>
          <w:bCs w:val="0"/>
          <w:sz w:val="32"/>
          <w:szCs w:val="32"/>
        </w:rPr>
        <w:t>设施建设。</w:t>
      </w:r>
      <w:r>
        <w:rPr>
          <w:rFonts w:hint="eastAsia" w:ascii="仿宋_GB2312" w:hAnsi="仿宋_GB2312" w:eastAsia="仿宋_GB2312" w:cs="仿宋_GB2312"/>
          <w:sz w:val="32"/>
          <w:szCs w:val="32"/>
          <w:lang w:val="en-US" w:eastAsia="zh-CN"/>
        </w:rPr>
        <w:t>科学规划建设生态节地安葬设施，强化安葬设施的生态功能，丰富和完善生态节地安葬服务供给，满足群众多层次安葬服务需求。</w:t>
      </w:r>
      <w:r>
        <w:rPr>
          <w:rFonts w:hint="eastAsia" w:ascii="仿宋_GB2312" w:hAnsi="仿宋_GB2312" w:eastAsia="仿宋_GB2312" w:cs="仿宋_GB2312"/>
          <w:sz w:val="32"/>
          <w:szCs w:val="32"/>
        </w:rPr>
        <w:t>实行墓位节地化、墓碑小型化、墓区园林化</w:t>
      </w:r>
      <w:r>
        <w:rPr>
          <w:rFonts w:hint="eastAsia" w:ascii="仿宋_GB2312" w:hAnsi="仿宋_GB2312" w:eastAsia="仿宋_GB2312" w:cs="仿宋_GB2312"/>
          <w:sz w:val="32"/>
          <w:szCs w:val="32"/>
          <w:lang w:val="en-US" w:eastAsia="zh-CN"/>
        </w:rPr>
        <w:t>，新建公益性公墓和现有公益性公墓新建墓位（穴）全面推广使用卧碑，</w:t>
      </w:r>
      <w:r>
        <w:rPr>
          <w:rFonts w:hint="eastAsia" w:ascii="仿宋_GB2312" w:hAnsi="仿宋_GB2312" w:eastAsia="仿宋_GB2312" w:cs="仿宋_GB2312"/>
          <w:sz w:val="32"/>
          <w:szCs w:val="32"/>
          <w:lang w:eastAsia="zh-CN"/>
        </w:rPr>
        <w:t>加快</w:t>
      </w:r>
      <w:r>
        <w:rPr>
          <w:rFonts w:hint="eastAsia" w:ascii="仿宋_GB2312" w:hAnsi="仿宋_GB2312" w:eastAsia="仿宋_GB2312" w:cs="仿宋_GB2312"/>
          <w:sz w:val="32"/>
          <w:szCs w:val="32"/>
        </w:rPr>
        <w:t>建设与</w:t>
      </w:r>
      <w:r>
        <w:rPr>
          <w:rFonts w:hint="eastAsia" w:ascii="仿宋_GB2312" w:hAnsi="仿宋_GB2312" w:eastAsia="仿宋_GB2312" w:cs="仿宋_GB2312"/>
          <w:sz w:val="32"/>
          <w:szCs w:val="32"/>
          <w:lang w:eastAsia="zh-CN"/>
        </w:rPr>
        <w:t>自然</w:t>
      </w:r>
      <w:r>
        <w:rPr>
          <w:rFonts w:hint="eastAsia" w:ascii="仿宋_GB2312" w:hAnsi="仿宋_GB2312" w:eastAsia="仿宋_GB2312" w:cs="仿宋_GB2312"/>
          <w:sz w:val="32"/>
          <w:szCs w:val="32"/>
        </w:rPr>
        <w:t>环境融合、土地复合利用的新型生态</w:t>
      </w:r>
      <w:r>
        <w:rPr>
          <w:rFonts w:hint="eastAsia" w:ascii="仿宋_GB2312" w:hAnsi="仿宋_GB2312" w:eastAsia="仿宋_GB2312" w:cs="仿宋_GB2312"/>
          <w:sz w:val="32"/>
          <w:szCs w:val="32"/>
          <w:lang w:eastAsia="zh-CN"/>
        </w:rPr>
        <w:t>安葬</w:t>
      </w:r>
      <w:r>
        <w:rPr>
          <w:rFonts w:hint="eastAsia" w:ascii="仿宋_GB2312" w:hAnsi="仿宋_GB2312" w:eastAsia="仿宋_GB2312" w:cs="仿宋_GB2312"/>
          <w:sz w:val="32"/>
          <w:szCs w:val="32"/>
        </w:rPr>
        <w:t>设施。</w:t>
      </w:r>
      <w:r>
        <w:rPr>
          <w:rFonts w:hint="eastAsia" w:ascii="仿宋_GB2312" w:hAnsi="仿宋_GB2312" w:eastAsia="仿宋_GB2312" w:cs="仿宋_GB2312"/>
          <w:sz w:val="32"/>
          <w:szCs w:val="32"/>
          <w:lang w:eastAsia="zh-CN"/>
        </w:rPr>
        <w:t>采取林地草地复合利用、竖碑改卧碑、全面</w:t>
      </w:r>
      <w:r>
        <w:rPr>
          <w:rFonts w:hint="eastAsia" w:ascii="仿宋_GB2312" w:hAnsi="仿宋_GB2312" w:eastAsia="仿宋_GB2312" w:cs="仿宋_GB2312"/>
          <w:sz w:val="32"/>
          <w:szCs w:val="32"/>
        </w:rPr>
        <w:t>融入自然</w:t>
      </w:r>
      <w:r>
        <w:rPr>
          <w:rFonts w:hint="eastAsia" w:ascii="仿宋_GB2312" w:hAnsi="仿宋_GB2312" w:eastAsia="仿宋_GB2312" w:cs="仿宋_GB2312"/>
          <w:sz w:val="32"/>
          <w:szCs w:val="32"/>
          <w:lang w:eastAsia="zh-CN"/>
        </w:rPr>
        <w:t>的方式，建设</w:t>
      </w:r>
      <w:r>
        <w:rPr>
          <w:rFonts w:hint="eastAsia" w:ascii="仿宋_GB2312" w:hAnsi="仿宋_GB2312" w:eastAsia="仿宋_GB2312" w:cs="仿宋_GB2312"/>
          <w:sz w:val="32"/>
          <w:szCs w:val="32"/>
        </w:rPr>
        <w:t>公益性</w:t>
      </w:r>
      <w:r>
        <w:rPr>
          <w:rFonts w:hint="eastAsia" w:ascii="仿宋_GB2312" w:hAnsi="仿宋_GB2312" w:eastAsia="仿宋_GB2312" w:cs="仿宋_GB2312"/>
          <w:sz w:val="32"/>
          <w:szCs w:val="32"/>
          <w:lang w:eastAsia="zh-CN"/>
        </w:rPr>
        <w:t>公墓和改造历史形成的乱坟岗，实现“见林见绿不见墓”、墓园变公园。在基础较好、有条件的地方</w:t>
      </w:r>
      <w:r>
        <w:rPr>
          <w:rFonts w:hint="eastAsia" w:ascii="仿宋_GB2312" w:hAnsi="仿宋_GB2312" w:eastAsia="仿宋_GB2312" w:cs="仿宋_GB2312"/>
          <w:sz w:val="32"/>
          <w:szCs w:val="32"/>
          <w:shd w:val="clear" w:color="auto" w:fill="FFFFFF"/>
        </w:rPr>
        <w:t>建设</w:t>
      </w:r>
      <w:r>
        <w:rPr>
          <w:rFonts w:hint="eastAsia" w:ascii="仿宋_GB2312" w:hAnsi="仿宋_GB2312" w:eastAsia="仿宋_GB2312" w:cs="仿宋_GB2312"/>
          <w:sz w:val="32"/>
          <w:szCs w:val="32"/>
        </w:rPr>
        <w:t>骨灰撒海、遗体捐赠等纪念设施和人文主题公园等，探索打造与逝者精神传承相结合的生命文化宣传基地。</w:t>
      </w:r>
      <w:r>
        <w:rPr>
          <w:rFonts w:hint="eastAsia" w:ascii="仿宋_GB2312" w:hAnsi="仿宋_GB2312" w:eastAsia="仿宋_GB2312" w:cs="仿宋_GB2312"/>
          <w:sz w:val="32"/>
          <w:szCs w:val="32"/>
          <w:lang w:val="en-US" w:eastAsia="zh-CN"/>
        </w:rPr>
        <w:t>到2025年，至少建设1个市一级节地生态安葬点，全市节地生态安葬率达到70%以上，</w:t>
      </w:r>
      <w:r>
        <w:rPr>
          <w:rFonts w:hint="eastAsia" w:ascii="仿宋_GB2312" w:hAnsi="仿宋_GB2312" w:eastAsia="仿宋_GB2312" w:cs="仿宋_GB2312"/>
          <w:sz w:val="32"/>
          <w:szCs w:val="32"/>
          <w:lang w:eastAsia="zh-CN"/>
        </w:rPr>
        <w:t>新建公墓和</w:t>
      </w:r>
      <w:r>
        <w:rPr>
          <w:rFonts w:hint="eastAsia" w:ascii="仿宋_GB2312" w:hAnsi="仿宋_GB2312" w:eastAsia="仿宋_GB2312" w:cs="仿宋_GB2312"/>
          <w:sz w:val="32"/>
          <w:szCs w:val="32"/>
          <w:lang w:val="en-US" w:eastAsia="zh-CN"/>
        </w:rPr>
        <w:t>现有公墓中新开发墓区节地生态安葬率</w:t>
      </w:r>
      <w:r>
        <w:rPr>
          <w:rFonts w:hint="eastAsia" w:ascii="仿宋_GB2312" w:hAnsi="仿宋_GB2312" w:eastAsia="仿宋_GB2312" w:cs="仿宋_GB2312"/>
          <w:sz w:val="32"/>
          <w:szCs w:val="32"/>
          <w:lang w:eastAsia="zh-CN"/>
        </w:rPr>
        <w:t>达到</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w:t>
      </w:r>
    </w:p>
    <w:p>
      <w:pPr>
        <w:adjustRightInd w:val="0"/>
        <w:snapToGrid w:val="0"/>
        <w:spacing w:line="576"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b/>
          <w:bCs/>
          <w:sz w:val="32"/>
          <w:szCs w:val="32"/>
          <w:lang w:val="en-US" w:eastAsia="zh-CN"/>
        </w:rPr>
        <w:t>构建</w:t>
      </w:r>
      <w:r>
        <w:rPr>
          <w:rFonts w:hint="eastAsia" w:ascii="仿宋_GB2312" w:hAnsi="仿宋_GB2312" w:eastAsia="仿宋_GB2312" w:cs="仿宋_GB2312"/>
          <w:b/>
          <w:bCs/>
          <w:sz w:val="32"/>
          <w:szCs w:val="32"/>
        </w:rPr>
        <w:t>文明殡葬</w:t>
      </w:r>
    </w:p>
    <w:p>
      <w:pPr>
        <w:adjustRightInd w:val="0"/>
        <w:snapToGrid w:val="0"/>
        <w:spacing w:line="576" w:lineRule="exact"/>
        <w:ind w:firstLine="643"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bCs/>
          <w:sz w:val="32"/>
          <w:szCs w:val="32"/>
          <w:lang w:eastAsia="zh-CN"/>
        </w:rPr>
        <w:t>强化</w:t>
      </w:r>
      <w:r>
        <w:rPr>
          <w:rFonts w:hint="eastAsia" w:ascii="仿宋_GB2312" w:hAnsi="仿宋_GB2312" w:eastAsia="仿宋_GB2312" w:cs="仿宋_GB2312"/>
          <w:b/>
          <w:bCs/>
          <w:sz w:val="32"/>
          <w:szCs w:val="32"/>
        </w:rPr>
        <w:t>殡葬宣传</w:t>
      </w:r>
      <w:r>
        <w:rPr>
          <w:rFonts w:hint="eastAsia" w:ascii="仿宋_GB2312" w:hAnsi="仿宋_GB2312" w:eastAsia="仿宋_GB2312" w:cs="仿宋_GB2312"/>
          <w:b/>
          <w:bCs/>
          <w:sz w:val="32"/>
          <w:szCs w:val="32"/>
          <w:lang w:eastAsia="zh-CN"/>
        </w:rPr>
        <w:t>引导</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rPr>
        <w:t>充分发挥党员、干部带头推动殡葬改革作用，加强殡葬改革宣传。充分利用各类媒体和传播方式，深入宣传殡葬政策法规、殡葬改革成果及先进典型案例，弘扬尊重生命、孝老爱亲、厚养薄葬、慎终追远的思想观念，大力倡导和推广网络祭扫、鲜花祭扫、踏青遥祭、植树缅怀等文明低碳祭扫方式，引导群众转变观念、理性消费、革除陋俗，厚植节地生态、绿色环保殡葬理念，积极支持和参与殡葬改革，不断推动殡葬改革向纵深发展。发挥民政部门官网和殡葬服务机构网站的宣传阵地作用，开展殡葬管理法规政策、优秀殡葬文化宣传，公布殡葬服务机构名录、服务项目、收费标准、服务内容、服务承诺、监督方式、服务规范，方便群众在线获得信息。</w:t>
      </w:r>
    </w:p>
    <w:p>
      <w:pPr>
        <w:spacing w:line="576" w:lineRule="exact"/>
        <w:ind w:firstLine="643" w:firstLineChars="200"/>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b/>
          <w:bCs w:val="0"/>
          <w:kern w:val="2"/>
          <w:sz w:val="32"/>
          <w:szCs w:val="32"/>
          <w:lang w:val="en-US" w:eastAsia="zh-CN"/>
        </w:rPr>
        <w:t>8</w:t>
      </w: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bCs w:val="0"/>
          <w:kern w:val="2"/>
          <w:sz w:val="32"/>
          <w:szCs w:val="32"/>
        </w:rPr>
        <w:t>深化丧葬习俗改革。</w:t>
      </w:r>
      <w:r>
        <w:rPr>
          <w:rFonts w:hint="eastAsia" w:ascii="仿宋_GB2312" w:hAnsi="仿宋_GB2312" w:eastAsia="仿宋_GB2312" w:cs="仿宋_GB2312"/>
          <w:kern w:val="2"/>
          <w:sz w:val="32"/>
          <w:szCs w:val="32"/>
        </w:rPr>
        <w:t>把移风易俗纳入文明城市、文明村镇创建和美丽乡村建设之中，广泛宣传文明节俭治丧、节地生态安葬、文明低碳祭扫，破除丧葬陋俗，树立殡葬新风。统筹规划和建设</w:t>
      </w:r>
      <w:r>
        <w:rPr>
          <w:rFonts w:hint="eastAsia" w:ascii="仿宋_GB2312" w:hAnsi="仿宋_GB2312" w:eastAsia="仿宋_GB2312" w:cs="仿宋_GB2312"/>
          <w:kern w:val="2"/>
          <w:sz w:val="32"/>
          <w:szCs w:val="32"/>
          <w:lang w:eastAsia="zh-CN"/>
        </w:rPr>
        <w:t>农村</w:t>
      </w:r>
      <w:r>
        <w:rPr>
          <w:rFonts w:hint="eastAsia" w:ascii="仿宋_GB2312" w:hAnsi="仿宋_GB2312" w:eastAsia="仿宋_GB2312" w:cs="仿宋_GB2312"/>
          <w:kern w:val="2"/>
          <w:sz w:val="32"/>
          <w:szCs w:val="32"/>
        </w:rPr>
        <w:t>殡仪服务站等集中治丧场所，合理设置祭扫专门区域，引导群众文明治丧、低碳祭扫。充分发挥村（居）委会和红白理事会、老年人协会等基层组织作用，把治丧规范纳入村规民约、村民自治章程。</w:t>
      </w:r>
      <w:r>
        <w:rPr>
          <w:rFonts w:hint="eastAsia" w:ascii="仿宋_GB2312" w:hAnsi="仿宋_GB2312" w:eastAsia="仿宋_GB2312" w:cs="仿宋_GB2312"/>
          <w:kern w:val="2"/>
          <w:sz w:val="32"/>
          <w:szCs w:val="32"/>
          <w:lang w:eastAsia="zh-CN"/>
        </w:rPr>
        <w:t>骨灰堂推行灵牌位拜祭，</w:t>
      </w:r>
      <w:r>
        <w:rPr>
          <w:rFonts w:hint="eastAsia" w:ascii="仿宋_GB2312" w:hAnsi="仿宋_GB2312" w:eastAsia="仿宋_GB2312" w:cs="仿宋_GB2312"/>
          <w:kern w:val="2"/>
          <w:sz w:val="32"/>
          <w:szCs w:val="32"/>
        </w:rPr>
        <w:t>依托殡葬服务纪念设施，培育现代殡葬新理念新风尚，推动丧葬习俗改革。深入挖掘阐释清明节等传统节日蕴含的教育资源，充分依托殡葬服务纪念设施，建设生命文化教育基地，打造优秀殡葬文化传承平台，弘扬尊重生命、孝老敬亲、厚养薄葬、慎终追远、天人合一等思想文化，崇尚社会公德、家庭美德，培育现代殡葬新理念新风尚。</w:t>
      </w:r>
    </w:p>
    <w:p>
      <w:pPr>
        <w:adjustRightInd w:val="0"/>
        <w:snapToGrid w:val="0"/>
        <w:spacing w:line="576"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lang w:val="en-US" w:eastAsia="zh-CN"/>
        </w:rPr>
        <w:t>9</w:t>
      </w: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bCs w:val="0"/>
          <w:sz w:val="32"/>
          <w:szCs w:val="32"/>
        </w:rPr>
        <w:t>促进殡葬服务多元化。</w:t>
      </w:r>
      <w:r>
        <w:rPr>
          <w:rFonts w:hint="eastAsia" w:ascii="仿宋_GB2312" w:hAnsi="仿宋_GB2312" w:eastAsia="仿宋_GB2312" w:cs="仿宋_GB2312"/>
          <w:sz w:val="32"/>
          <w:szCs w:val="32"/>
        </w:rPr>
        <w:t>坚持以公益性为主体</w:t>
      </w:r>
      <w:r>
        <w:rPr>
          <w:rFonts w:hint="eastAsia" w:ascii="仿宋_GB2312" w:hAnsi="仿宋_GB2312" w:eastAsia="仿宋_GB2312" w:cs="仿宋_GB2312"/>
          <w:sz w:val="32"/>
          <w:szCs w:val="32"/>
          <w:lang w:eastAsia="zh-CN"/>
        </w:rPr>
        <w:t>、经营</w:t>
      </w:r>
      <w:r>
        <w:rPr>
          <w:rFonts w:hint="eastAsia" w:ascii="仿宋_GB2312" w:hAnsi="仿宋_GB2312" w:eastAsia="仿宋_GB2312" w:cs="仿宋_GB2312"/>
          <w:sz w:val="32"/>
          <w:szCs w:val="32"/>
        </w:rPr>
        <w:t>性为补充的多种殡葬服务供给模式，在保障基本殡葬服务的同时，推动殡葬服务供给主体和方式多元化</w:t>
      </w:r>
      <w:r>
        <w:rPr>
          <w:rFonts w:hint="eastAsia" w:ascii="仿宋_GB2312" w:hAnsi="仿宋_GB2312" w:eastAsia="仿宋_GB2312" w:cs="仿宋_GB2312"/>
          <w:sz w:val="32"/>
          <w:szCs w:val="32"/>
          <w:lang w:eastAsia="zh-CN"/>
        </w:rPr>
        <w:t>。深入</w:t>
      </w:r>
      <w:r>
        <w:rPr>
          <w:rFonts w:hint="eastAsia" w:ascii="仿宋_GB2312" w:hAnsi="仿宋_GB2312" w:eastAsia="仿宋_GB2312" w:cs="仿宋_GB2312"/>
          <w:sz w:val="32"/>
          <w:szCs w:val="32"/>
        </w:rPr>
        <w:t>推进殡葬领域社会工作服务，鼓励殡仪馆设置社会工作岗位，配备具有专业资格的社会工作专业人才，提供临终关怀、悲伤慰藉、心理疏导、精神关爱等服务。鼓励以政府购买服务的方式引导社会力量</w:t>
      </w:r>
      <w:r>
        <w:rPr>
          <w:rFonts w:hint="eastAsia" w:ascii="仿宋_GB2312" w:hAnsi="仿宋_GB2312" w:eastAsia="仿宋_GB2312" w:cs="仿宋_GB2312"/>
          <w:color w:val="auto"/>
          <w:sz w:val="32"/>
          <w:szCs w:val="32"/>
          <w:lang w:eastAsia="zh-CN"/>
        </w:rPr>
        <w:t>和社会工作专业人才</w:t>
      </w:r>
      <w:r>
        <w:rPr>
          <w:rFonts w:hint="eastAsia" w:ascii="仿宋_GB2312" w:hAnsi="仿宋_GB2312" w:eastAsia="仿宋_GB2312" w:cs="仿宋_GB2312"/>
          <w:sz w:val="32"/>
          <w:szCs w:val="32"/>
        </w:rPr>
        <w:t>有序参与殡葬服务，鼓励和发展特需殡葬服务，大力开发亲情化、多元化、个性化殡葬礼仪服务项目，利用社会工作介入提供“悲伤抚慰”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不断创新服务方式，丰富人文内涵，增加多元供给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以殡仪馆、公墓等殡葬服务机构为平台，举办开放日、体验日，开展生命文化教育，引导从注重大碑大墓等物质载体转移到以精神传承纪念为主。</w:t>
      </w:r>
    </w:p>
    <w:p>
      <w:pPr>
        <w:adjustRightInd w:val="0"/>
        <w:snapToGrid w:val="0"/>
        <w:spacing w:line="576"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w:t>
      </w:r>
      <w:r>
        <w:rPr>
          <w:rFonts w:hint="eastAsia" w:ascii="仿宋_GB2312" w:hAnsi="仿宋_GB2312" w:eastAsia="仿宋_GB2312" w:cs="仿宋_GB2312"/>
          <w:b/>
          <w:bCs/>
          <w:sz w:val="32"/>
          <w:szCs w:val="32"/>
          <w:lang w:val="en-US" w:eastAsia="zh-CN"/>
        </w:rPr>
        <w:t>构建</w:t>
      </w:r>
      <w:r>
        <w:rPr>
          <w:rFonts w:hint="eastAsia" w:ascii="仿宋_GB2312" w:hAnsi="仿宋_GB2312" w:eastAsia="仿宋_GB2312" w:cs="仿宋_GB2312"/>
          <w:b/>
          <w:bCs/>
          <w:sz w:val="32"/>
          <w:szCs w:val="32"/>
        </w:rPr>
        <w:t>法治殡葬</w:t>
      </w:r>
    </w:p>
    <w:p>
      <w:pPr>
        <w:adjustRightInd w:val="0"/>
        <w:snapToGrid w:val="0"/>
        <w:spacing w:line="576"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1</w:t>
      </w:r>
      <w:r>
        <w:rPr>
          <w:rFonts w:hint="eastAsia" w:ascii="仿宋_GB2312" w:hAnsi="仿宋_GB2312" w:eastAsia="仿宋_GB2312" w:cs="仿宋_GB2312"/>
          <w:b/>
          <w:bCs w:val="0"/>
          <w:sz w:val="32"/>
          <w:szCs w:val="32"/>
          <w:lang w:val="en-US" w:eastAsia="zh-CN"/>
        </w:rPr>
        <w:t>0</w:t>
      </w: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bCs w:val="0"/>
          <w:sz w:val="32"/>
          <w:szCs w:val="32"/>
        </w:rPr>
        <w:t>加强殡葬</w:t>
      </w:r>
      <w:r>
        <w:rPr>
          <w:rFonts w:hint="eastAsia" w:ascii="仿宋_GB2312" w:hAnsi="仿宋_GB2312" w:eastAsia="仿宋_GB2312" w:cs="仿宋_GB2312"/>
          <w:b/>
          <w:bCs w:val="0"/>
          <w:sz w:val="32"/>
          <w:szCs w:val="32"/>
          <w:lang w:eastAsia="zh-CN"/>
        </w:rPr>
        <w:t>管理</w:t>
      </w:r>
      <w:r>
        <w:rPr>
          <w:rFonts w:hint="eastAsia" w:ascii="仿宋_GB2312" w:hAnsi="仿宋_GB2312" w:eastAsia="仿宋_GB2312" w:cs="仿宋_GB2312"/>
          <w:b/>
          <w:bCs w:val="0"/>
          <w:sz w:val="32"/>
          <w:szCs w:val="32"/>
        </w:rPr>
        <w:t>制度</w:t>
      </w:r>
      <w:r>
        <w:rPr>
          <w:rFonts w:hint="eastAsia" w:ascii="仿宋_GB2312" w:hAnsi="仿宋_GB2312" w:eastAsia="仿宋_GB2312" w:cs="仿宋_GB2312"/>
          <w:b/>
          <w:bCs w:val="0"/>
          <w:sz w:val="32"/>
          <w:szCs w:val="32"/>
          <w:lang w:eastAsia="zh-CN"/>
        </w:rPr>
        <w:t>建设</w:t>
      </w:r>
      <w:r>
        <w:rPr>
          <w:rFonts w:hint="eastAsia" w:ascii="仿宋_GB2312" w:hAnsi="仿宋_GB2312" w:eastAsia="仿宋_GB2312" w:cs="仿宋_GB2312"/>
          <w:b/>
          <w:bCs w:val="0"/>
          <w:sz w:val="32"/>
          <w:szCs w:val="32"/>
        </w:rPr>
        <w:t>。</w:t>
      </w:r>
      <w:r>
        <w:rPr>
          <w:rFonts w:hint="eastAsia" w:ascii="仿宋_GB2312" w:hAnsi="仿宋_GB2312" w:eastAsia="仿宋_GB2312" w:cs="仿宋_GB2312"/>
          <w:b w:val="0"/>
          <w:bCs/>
          <w:sz w:val="32"/>
          <w:szCs w:val="32"/>
          <w:lang w:val="en-US" w:eastAsia="zh-CN"/>
        </w:rPr>
        <w:t>推动</w:t>
      </w:r>
      <w:r>
        <w:rPr>
          <w:rFonts w:hint="eastAsia" w:ascii="仿宋_GB2312" w:hAnsi="仿宋_GB2312" w:eastAsia="仿宋_GB2312" w:cs="仿宋_GB2312"/>
          <w:sz w:val="32"/>
          <w:szCs w:val="32"/>
        </w:rPr>
        <w:t>制订殡葬服务机构管理</w:t>
      </w:r>
      <w:r>
        <w:rPr>
          <w:rFonts w:hint="eastAsia" w:ascii="仿宋_GB2312" w:hAnsi="仿宋_GB2312" w:eastAsia="仿宋_GB2312" w:cs="仿宋_GB2312"/>
          <w:sz w:val="32"/>
          <w:szCs w:val="32"/>
          <w:lang w:eastAsia="zh-CN"/>
        </w:rPr>
        <w:t>、殡葬服务中介机构管理、丧葬用品市场管理等规范性文件，为从制度上解决殡葬领域突出问题提供法制保障。建立健全</w:t>
      </w:r>
      <w:r>
        <w:rPr>
          <w:rFonts w:hint="eastAsia" w:ascii="仿宋_GB2312" w:hAnsi="仿宋_GB2312" w:eastAsia="仿宋_GB2312" w:cs="仿宋_GB2312"/>
          <w:sz w:val="32"/>
          <w:szCs w:val="32"/>
        </w:rPr>
        <w:t>殡葬服务</w:t>
      </w:r>
      <w:r>
        <w:rPr>
          <w:rFonts w:hint="eastAsia" w:ascii="仿宋_GB2312" w:hAnsi="仿宋_GB2312" w:eastAsia="仿宋_GB2312" w:cs="仿宋_GB2312"/>
          <w:sz w:val="32"/>
          <w:szCs w:val="32"/>
          <w:lang w:eastAsia="zh-CN"/>
        </w:rPr>
        <w:t>和产品标准体系，加大殡葬领域标准宣贯力度，切实提高殡葬管理标准化水平。制订</w:t>
      </w:r>
      <w:r>
        <w:rPr>
          <w:rFonts w:hint="eastAsia" w:ascii="仿宋_GB2312" w:hAnsi="仿宋_GB2312" w:eastAsia="仿宋_GB2312" w:cs="仿宋_GB2312"/>
          <w:sz w:val="32"/>
          <w:szCs w:val="32"/>
        </w:rPr>
        <w:t>殡葬行业诚信守法公约，发挥行业协会监督</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作用</w:t>
      </w:r>
      <w:r>
        <w:rPr>
          <w:rFonts w:hint="eastAsia" w:ascii="仿宋_GB2312" w:hAnsi="仿宋_GB2312" w:eastAsia="仿宋_GB2312" w:cs="仿宋_GB2312"/>
          <w:sz w:val="32"/>
          <w:szCs w:val="32"/>
          <w:lang w:eastAsia="zh-CN"/>
        </w:rPr>
        <w:t>。</w:t>
      </w:r>
    </w:p>
    <w:p>
      <w:pPr>
        <w:topLinePunct/>
        <w:adjustRightInd w:val="0"/>
        <w:snapToGrid w:val="0"/>
        <w:spacing w:line="576"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val="0"/>
          <w:sz w:val="32"/>
          <w:szCs w:val="32"/>
          <w:lang w:val="en-US" w:eastAsia="zh-CN"/>
        </w:rPr>
        <w:t>11</w:t>
      </w:r>
      <w:r>
        <w:rPr>
          <w:rFonts w:hint="eastAsia" w:ascii="仿宋_GB2312" w:hAnsi="仿宋_GB2312" w:eastAsia="仿宋_GB2312" w:cs="仿宋_GB2312"/>
          <w:b/>
          <w:bCs w:val="0"/>
          <w:sz w:val="32"/>
          <w:szCs w:val="32"/>
          <w:lang w:eastAsia="zh-CN"/>
        </w:rPr>
        <w:t>．健全</w:t>
      </w:r>
      <w:r>
        <w:rPr>
          <w:rFonts w:hint="eastAsia" w:ascii="仿宋_GB2312" w:hAnsi="仿宋_GB2312" w:eastAsia="仿宋_GB2312" w:cs="仿宋_GB2312"/>
          <w:b/>
          <w:bCs w:val="0"/>
          <w:sz w:val="32"/>
          <w:szCs w:val="32"/>
        </w:rPr>
        <w:t>殡葬</w:t>
      </w:r>
      <w:r>
        <w:rPr>
          <w:rFonts w:hint="eastAsia" w:ascii="仿宋_GB2312" w:hAnsi="仿宋_GB2312" w:eastAsia="仿宋_GB2312" w:cs="仿宋_GB2312"/>
          <w:b/>
          <w:bCs w:val="0"/>
          <w:sz w:val="32"/>
          <w:szCs w:val="32"/>
          <w:lang w:eastAsia="zh-CN"/>
        </w:rPr>
        <w:t>监管执</w:t>
      </w:r>
      <w:r>
        <w:rPr>
          <w:rFonts w:hint="eastAsia" w:ascii="仿宋_GB2312" w:hAnsi="仿宋_GB2312" w:eastAsia="仿宋_GB2312" w:cs="仿宋_GB2312"/>
          <w:b/>
          <w:bCs w:val="0"/>
          <w:sz w:val="32"/>
          <w:szCs w:val="32"/>
        </w:rPr>
        <w:t>法</w:t>
      </w:r>
      <w:r>
        <w:rPr>
          <w:rFonts w:hint="eastAsia" w:ascii="仿宋_GB2312" w:hAnsi="仿宋_GB2312" w:eastAsia="仿宋_GB2312" w:cs="仿宋_GB2312"/>
          <w:b/>
          <w:bCs w:val="0"/>
          <w:sz w:val="32"/>
          <w:szCs w:val="32"/>
          <w:lang w:eastAsia="zh-CN"/>
        </w:rPr>
        <w:t>体</w:t>
      </w:r>
      <w:r>
        <w:rPr>
          <w:rFonts w:hint="eastAsia" w:ascii="仿宋_GB2312" w:hAnsi="仿宋_GB2312" w:eastAsia="仿宋_GB2312" w:cs="仿宋_GB2312"/>
          <w:b/>
          <w:bCs w:val="0"/>
          <w:sz w:val="32"/>
          <w:szCs w:val="32"/>
        </w:rPr>
        <w:t>制。</w:t>
      </w:r>
      <w:r>
        <w:rPr>
          <w:rFonts w:hint="eastAsia" w:ascii="仿宋_GB2312" w:hAnsi="仿宋_GB2312" w:eastAsia="仿宋_GB2312" w:cs="仿宋_GB2312"/>
          <w:b w:val="0"/>
          <w:bCs/>
          <w:sz w:val="32"/>
          <w:szCs w:val="32"/>
          <w:lang w:eastAsia="zh-CN"/>
        </w:rPr>
        <w:t>坚持依法行政，明确部门职责分工，</w:t>
      </w:r>
      <w:r>
        <w:rPr>
          <w:rFonts w:hint="eastAsia" w:ascii="仿宋_GB2312" w:hAnsi="仿宋_GB2312" w:eastAsia="仿宋_GB2312" w:cs="仿宋_GB2312"/>
          <w:color w:val="auto"/>
          <w:sz w:val="32"/>
          <w:szCs w:val="32"/>
          <w:shd w:val="clear" w:color="auto" w:fill="FFFFFF"/>
          <w:lang w:eastAsia="zh-CN"/>
        </w:rPr>
        <w:t>落实政府各职能部门在殡葬领域规划用地、建设运营、价格执行、市场监管、丧事活动等方面的监管责任，充分发挥综合执法部门作用，建立综合协同执法机制，严格责任追究制度。</w:t>
      </w:r>
      <w:r>
        <w:rPr>
          <w:rFonts w:hint="eastAsia" w:ascii="仿宋_GB2312" w:hAnsi="仿宋_GB2312" w:eastAsia="仿宋_GB2312" w:cs="仿宋_GB2312"/>
          <w:color w:val="auto"/>
          <w:sz w:val="32"/>
          <w:szCs w:val="32"/>
          <w:shd w:val="clear" w:color="auto" w:fill="FFFFFF"/>
        </w:rPr>
        <w:t>加强殡葬执法队伍建设，充实基层执法力量，不断提升殡葬法治建设能力和水平。</w:t>
      </w:r>
    </w:p>
    <w:p>
      <w:pPr>
        <w:topLinePunct/>
        <w:adjustRightInd w:val="0"/>
        <w:snapToGrid w:val="0"/>
        <w:spacing w:line="576"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val="0"/>
          <w:sz w:val="32"/>
          <w:szCs w:val="32"/>
          <w:lang w:val="en-US" w:eastAsia="zh-CN"/>
        </w:rPr>
        <w:t>12</w:t>
      </w:r>
      <w:r>
        <w:rPr>
          <w:rFonts w:hint="eastAsia" w:ascii="仿宋_GB2312" w:hAnsi="仿宋_GB2312" w:eastAsia="仿宋_GB2312" w:cs="仿宋_GB2312"/>
          <w:b/>
          <w:bCs w:val="0"/>
          <w:sz w:val="32"/>
          <w:szCs w:val="32"/>
          <w:lang w:eastAsia="zh-CN"/>
        </w:rPr>
        <w:t>．加强</w:t>
      </w:r>
      <w:r>
        <w:rPr>
          <w:rFonts w:hint="eastAsia" w:ascii="仿宋_GB2312" w:hAnsi="仿宋_GB2312" w:eastAsia="仿宋_GB2312" w:cs="仿宋_GB2312"/>
          <w:b/>
          <w:bCs w:val="0"/>
          <w:sz w:val="32"/>
          <w:szCs w:val="32"/>
        </w:rPr>
        <w:t>殡葬</w:t>
      </w:r>
      <w:r>
        <w:rPr>
          <w:rFonts w:hint="eastAsia" w:ascii="仿宋_GB2312" w:hAnsi="仿宋_GB2312" w:eastAsia="仿宋_GB2312" w:cs="仿宋_GB2312"/>
          <w:b/>
          <w:bCs w:val="0"/>
          <w:sz w:val="32"/>
          <w:szCs w:val="32"/>
          <w:lang w:eastAsia="zh-CN"/>
        </w:rPr>
        <w:t>问题</w:t>
      </w:r>
      <w:r>
        <w:rPr>
          <w:rFonts w:hint="eastAsia" w:ascii="仿宋_GB2312" w:hAnsi="仿宋_GB2312" w:eastAsia="仿宋_GB2312" w:cs="仿宋_GB2312"/>
          <w:b/>
          <w:bCs w:val="0"/>
          <w:sz w:val="32"/>
          <w:szCs w:val="32"/>
        </w:rPr>
        <w:t>综合治理。</w:t>
      </w:r>
      <w:r>
        <w:rPr>
          <w:rFonts w:hint="eastAsia" w:ascii="仿宋_GB2312" w:hAnsi="仿宋_GB2312" w:eastAsia="仿宋_GB2312" w:cs="仿宋_GB2312"/>
          <w:color w:val="auto"/>
          <w:sz w:val="32"/>
          <w:szCs w:val="32"/>
          <w:shd w:val="clear" w:color="auto" w:fill="FFFFFF"/>
          <w:lang w:eastAsia="zh-CN"/>
        </w:rPr>
        <w:t>探索建立“医院（逝者住所）—殡仪馆—</w:t>
      </w:r>
      <w:r>
        <w:rPr>
          <w:rFonts w:hint="eastAsia" w:ascii="仿宋_GB2312" w:hAnsi="仿宋_GB2312" w:eastAsia="仿宋_GB2312" w:cs="仿宋_GB2312"/>
          <w:color w:val="auto"/>
          <w:sz w:val="32"/>
          <w:szCs w:val="32"/>
          <w:shd w:val="clear" w:color="auto" w:fill="FFFFFF"/>
          <w:lang w:val="en-US" w:eastAsia="zh-CN"/>
        </w:rPr>
        <w:t>安葬（放）设施”的殡葬服务无缝对接机制，重点加强对遗体接运车辆、殡葬中介服务机构等监管。</w:t>
      </w:r>
      <w:r>
        <w:rPr>
          <w:rFonts w:hint="eastAsia" w:ascii="仿宋_GB2312" w:hAnsi="仿宋_GB2312" w:eastAsia="仿宋_GB2312" w:cs="仿宋_GB2312"/>
          <w:color w:val="auto"/>
          <w:sz w:val="32"/>
          <w:szCs w:val="32"/>
          <w:shd w:val="clear" w:color="auto" w:fill="FFFFFF"/>
        </w:rPr>
        <w:t>依法严厉整治殡葬领域侵害群众利益、违反市场规则和廉洁从业要求等行为</w:t>
      </w:r>
      <w:r>
        <w:rPr>
          <w:rFonts w:hint="eastAsia" w:ascii="仿宋_GB2312" w:hAnsi="仿宋_GB2312" w:eastAsia="仿宋_GB2312" w:cs="仿宋_GB2312"/>
          <w:color w:val="auto"/>
          <w:sz w:val="32"/>
          <w:szCs w:val="32"/>
          <w:shd w:val="clear" w:color="auto" w:fill="FFFFFF"/>
          <w:lang w:eastAsia="zh-CN"/>
        </w:rPr>
        <w:t>，重点加强“三道两区”</w:t>
      </w:r>
      <w:r>
        <w:rPr>
          <w:rStyle w:val="8"/>
          <w:rFonts w:hint="eastAsia" w:ascii="仿宋_GB2312" w:hAnsi="仿宋_GB2312" w:eastAsia="仿宋_GB2312" w:cs="仿宋_GB2312"/>
          <w:color w:val="auto"/>
          <w:sz w:val="32"/>
          <w:szCs w:val="32"/>
          <w:shd w:val="clear" w:color="auto" w:fill="FFFFFF"/>
          <w:lang w:eastAsia="zh-CN"/>
        </w:rPr>
        <w:footnoteReference w:id="0"/>
      </w:r>
      <w:r>
        <w:rPr>
          <w:rFonts w:hint="eastAsia" w:ascii="仿宋_GB2312" w:hAnsi="仿宋_GB2312" w:eastAsia="仿宋_GB2312" w:cs="仿宋_GB2312"/>
          <w:color w:val="auto"/>
          <w:sz w:val="32"/>
          <w:szCs w:val="32"/>
          <w:shd w:val="clear" w:color="auto" w:fill="FFFFFF"/>
          <w:lang w:eastAsia="zh-CN"/>
        </w:rPr>
        <w:t>违建坟墓、散埋乱葬治理，持续</w:t>
      </w:r>
      <w:r>
        <w:rPr>
          <w:rFonts w:hint="eastAsia" w:ascii="仿宋_GB2312" w:hAnsi="仿宋_GB2312" w:eastAsia="仿宋_GB2312" w:cs="仿宋_GB2312"/>
          <w:color w:val="auto"/>
          <w:sz w:val="32"/>
          <w:szCs w:val="32"/>
          <w:shd w:val="clear" w:color="auto" w:fill="FFFFFF"/>
        </w:rPr>
        <w:t>整治违建“住宅式”墓地、硬化大墓、活人墓等</w:t>
      </w:r>
      <w:r>
        <w:rPr>
          <w:rFonts w:hint="eastAsia" w:ascii="仿宋_GB2312" w:hAnsi="仿宋_GB2312" w:eastAsia="仿宋_GB2312" w:cs="仿宋_GB2312"/>
          <w:color w:val="auto"/>
          <w:sz w:val="32"/>
          <w:szCs w:val="32"/>
          <w:shd w:val="clear" w:color="auto" w:fill="FFFFFF"/>
          <w:lang w:eastAsia="zh-CN"/>
        </w:rPr>
        <w:t>问题。建立经营异常、违法失信个人、企业或单位黑名单制度，将殡葬领域行政执法、服务主体不良记录等信用信息纳入全国信息共享平台，实行</w:t>
      </w:r>
      <w:r>
        <w:rPr>
          <w:rFonts w:hint="eastAsia" w:ascii="仿宋_GB2312" w:hAnsi="仿宋_GB2312" w:cs="仿宋_GB2312"/>
          <w:color w:val="auto"/>
          <w:sz w:val="32"/>
          <w:szCs w:val="32"/>
          <w:shd w:val="clear" w:color="auto" w:fill="FFFFFF"/>
          <w:lang w:eastAsia="zh-CN"/>
        </w:rPr>
        <w:t>关联</w:t>
      </w:r>
      <w:r>
        <w:rPr>
          <w:rFonts w:hint="eastAsia" w:ascii="仿宋_GB2312" w:hAnsi="仿宋_GB2312" w:eastAsia="仿宋_GB2312" w:cs="仿宋_GB2312"/>
          <w:color w:val="auto"/>
          <w:sz w:val="32"/>
          <w:szCs w:val="32"/>
          <w:shd w:val="clear" w:color="auto" w:fill="FFFFFF"/>
          <w:lang w:eastAsia="zh-CN"/>
        </w:rPr>
        <w:t>惩戒。发挥殡葬行业协会作用，加强行业自律。建立</w:t>
      </w:r>
      <w:r>
        <w:rPr>
          <w:rFonts w:hint="eastAsia" w:ascii="仿宋_GB2312" w:hAnsi="仿宋_GB2312" w:eastAsia="仿宋_GB2312" w:cs="仿宋_GB2312"/>
          <w:color w:val="auto"/>
          <w:sz w:val="32"/>
          <w:szCs w:val="32"/>
          <w:shd w:val="clear" w:color="auto" w:fill="FFFFFF"/>
        </w:rPr>
        <w:t>殡葬</w:t>
      </w:r>
      <w:r>
        <w:rPr>
          <w:rFonts w:hint="eastAsia" w:ascii="仿宋_GB2312" w:hAnsi="仿宋_GB2312" w:eastAsia="仿宋_GB2312" w:cs="仿宋_GB2312"/>
          <w:color w:val="auto"/>
          <w:sz w:val="32"/>
          <w:szCs w:val="32"/>
          <w:shd w:val="clear" w:color="auto" w:fill="FFFFFF"/>
          <w:lang w:eastAsia="zh-CN"/>
        </w:rPr>
        <w:t>领域服务</w:t>
      </w:r>
      <w:r>
        <w:rPr>
          <w:rFonts w:hint="eastAsia" w:ascii="仿宋_GB2312" w:hAnsi="仿宋_GB2312" w:eastAsia="仿宋_GB2312" w:cs="仿宋_GB2312"/>
          <w:color w:val="auto"/>
          <w:sz w:val="32"/>
          <w:szCs w:val="32"/>
          <w:shd w:val="clear" w:color="auto" w:fill="FFFFFF"/>
        </w:rPr>
        <w:t>评估</w:t>
      </w:r>
      <w:r>
        <w:rPr>
          <w:rFonts w:hint="eastAsia" w:ascii="仿宋_GB2312" w:hAnsi="仿宋_GB2312" w:eastAsia="仿宋_GB2312" w:cs="仿宋_GB2312"/>
          <w:color w:val="auto"/>
          <w:sz w:val="32"/>
          <w:szCs w:val="32"/>
          <w:shd w:val="clear" w:color="auto" w:fill="FFFFFF"/>
          <w:lang w:eastAsia="zh-CN"/>
        </w:rPr>
        <w:t>机制，开展殡葬服务质量评价。在医院、</w:t>
      </w:r>
      <w:r>
        <w:rPr>
          <w:rFonts w:hint="eastAsia" w:ascii="仿宋_GB2312" w:hAnsi="仿宋_GB2312" w:eastAsia="仿宋_GB2312" w:cs="仿宋_GB2312"/>
          <w:color w:val="auto"/>
          <w:sz w:val="32"/>
          <w:szCs w:val="32"/>
          <w:shd w:val="clear" w:color="auto" w:fill="FFFFFF"/>
          <w:lang w:val="en-US" w:eastAsia="zh-CN"/>
        </w:rPr>
        <w:t>村（社区）、单位等设立信息员，</w:t>
      </w:r>
      <w:r>
        <w:rPr>
          <w:rFonts w:hint="eastAsia" w:ascii="仿宋_GB2312" w:hAnsi="仿宋_GB2312" w:eastAsia="仿宋_GB2312" w:cs="仿宋_GB2312"/>
          <w:color w:val="auto"/>
          <w:sz w:val="32"/>
          <w:szCs w:val="32"/>
          <w:shd w:val="clear" w:color="auto" w:fill="FFFFFF"/>
          <w:lang w:eastAsia="zh-CN"/>
        </w:rPr>
        <w:t>建立殡葬服务信息采集、报告和预警机制，加强殡葬服务投诉举报平台建设，畅通公众监督维权渠道。</w:t>
      </w:r>
    </w:p>
    <w:p>
      <w:pPr>
        <w:adjustRightInd w:val="0"/>
        <w:snapToGrid w:val="0"/>
        <w:spacing w:line="576"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w:t>
      </w:r>
      <w:r>
        <w:rPr>
          <w:rFonts w:hint="eastAsia" w:ascii="仿宋_GB2312" w:hAnsi="仿宋_GB2312" w:eastAsia="仿宋_GB2312" w:cs="仿宋_GB2312"/>
          <w:b/>
          <w:bCs/>
          <w:sz w:val="32"/>
          <w:szCs w:val="32"/>
          <w:lang w:val="en-US" w:eastAsia="zh-CN"/>
        </w:rPr>
        <w:t>构建</w:t>
      </w:r>
      <w:r>
        <w:rPr>
          <w:rFonts w:hint="eastAsia" w:ascii="仿宋_GB2312" w:hAnsi="仿宋_GB2312" w:eastAsia="仿宋_GB2312" w:cs="仿宋_GB2312"/>
          <w:b/>
          <w:bCs/>
          <w:sz w:val="32"/>
          <w:szCs w:val="32"/>
        </w:rPr>
        <w:t>智慧殡葬</w:t>
      </w:r>
    </w:p>
    <w:p>
      <w:pPr>
        <w:adjustRightInd w:val="0"/>
        <w:snapToGrid w:val="0"/>
        <w:spacing w:line="576"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1</w:t>
      </w:r>
      <w:r>
        <w:rPr>
          <w:rFonts w:hint="eastAsia" w:ascii="仿宋_GB2312" w:hAnsi="仿宋_GB2312" w:eastAsia="仿宋_GB2312" w:cs="仿宋_GB2312"/>
          <w:b/>
          <w:bCs w:val="0"/>
          <w:sz w:val="32"/>
          <w:szCs w:val="32"/>
          <w:lang w:val="en-US" w:eastAsia="zh-CN"/>
        </w:rPr>
        <w:t>3</w:t>
      </w:r>
      <w:r>
        <w:rPr>
          <w:rFonts w:hint="eastAsia" w:ascii="仿宋_GB2312" w:hAnsi="仿宋_GB2312" w:eastAsia="仿宋_GB2312" w:cs="仿宋_GB2312"/>
          <w:b/>
          <w:bCs w:val="0"/>
          <w:sz w:val="32"/>
          <w:szCs w:val="32"/>
          <w:lang w:eastAsia="zh-CN"/>
        </w:rPr>
        <w:t>．加快</w:t>
      </w:r>
      <w:r>
        <w:rPr>
          <w:rFonts w:hint="eastAsia" w:ascii="仿宋_GB2312" w:hAnsi="仿宋_GB2312" w:eastAsia="仿宋_GB2312" w:cs="仿宋_GB2312"/>
          <w:b/>
          <w:bCs w:val="0"/>
          <w:sz w:val="32"/>
          <w:szCs w:val="32"/>
        </w:rPr>
        <w:t>“互联网+殡葬服务”进程。</w:t>
      </w:r>
      <w:r>
        <w:rPr>
          <w:rFonts w:hint="eastAsia" w:ascii="仿宋_GB2312" w:hAnsi="仿宋_GB2312" w:eastAsia="仿宋_GB2312" w:cs="仿宋_GB2312"/>
          <w:sz w:val="32"/>
          <w:szCs w:val="32"/>
          <w:lang w:eastAsia="zh-CN"/>
        </w:rPr>
        <w:t>全面应用</w:t>
      </w:r>
      <w:r>
        <w:rPr>
          <w:rFonts w:hint="eastAsia" w:ascii="仿宋_GB2312" w:hAnsi="仿宋_GB2312" w:eastAsia="仿宋_GB2312" w:cs="仿宋_GB2312"/>
          <w:sz w:val="32"/>
          <w:szCs w:val="32"/>
          <w:lang w:val="en-US" w:eastAsia="zh-CN"/>
        </w:rPr>
        <w:t>殡葬管理服务信息系统</w:t>
      </w:r>
      <w:r>
        <w:rPr>
          <w:rFonts w:hint="eastAsia" w:ascii="仿宋_GB2312" w:hAnsi="仿宋_GB2312" w:eastAsia="仿宋_GB2312" w:cs="仿宋_GB2312"/>
          <w:sz w:val="32"/>
          <w:szCs w:val="32"/>
        </w:rPr>
        <w:t>，实现信息数据互联互通</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共享共用，建成</w:t>
      </w:r>
      <w:r>
        <w:rPr>
          <w:rFonts w:hint="eastAsia" w:ascii="仿宋_GB2312" w:hAnsi="仿宋_GB2312" w:eastAsia="仿宋_GB2312" w:cs="仿宋_GB2312"/>
          <w:sz w:val="32"/>
          <w:szCs w:val="32"/>
          <w:lang w:eastAsia="zh-CN"/>
        </w:rPr>
        <w:t>全市</w:t>
      </w:r>
      <w:r>
        <w:rPr>
          <w:rFonts w:hint="eastAsia" w:ascii="仿宋_GB2312" w:hAnsi="仿宋_GB2312" w:eastAsia="仿宋_GB2312" w:cs="仿宋_GB2312"/>
          <w:sz w:val="32"/>
          <w:szCs w:val="32"/>
        </w:rPr>
        <w:t>殡葬数据库，逐步完成与其他政务服务</w:t>
      </w:r>
      <w:r>
        <w:rPr>
          <w:rFonts w:hint="eastAsia" w:ascii="仿宋_GB2312" w:hAnsi="仿宋_GB2312" w:eastAsia="仿宋_GB2312" w:cs="仿宋_GB2312"/>
          <w:sz w:val="32"/>
          <w:szCs w:val="32"/>
          <w:lang w:eastAsia="zh-CN"/>
        </w:rPr>
        <w:t>信息系统</w:t>
      </w:r>
      <w:r>
        <w:rPr>
          <w:rFonts w:hint="eastAsia" w:ascii="仿宋_GB2312" w:hAnsi="仿宋_GB2312" w:eastAsia="仿宋_GB2312" w:cs="仿宋_GB2312"/>
          <w:sz w:val="32"/>
          <w:szCs w:val="32"/>
        </w:rPr>
        <w:t>协同应用。推动互联网、大数据、人工智能、区块链、5G等现代信息技术与殡葬服务管理深度融合。加强数据安全管理和个人信息保护</w:t>
      </w:r>
      <w:r>
        <w:rPr>
          <w:rFonts w:hint="eastAsia" w:ascii="仿宋_GB2312" w:hAnsi="仿宋_GB2312" w:eastAsia="仿宋_GB2312" w:cs="仿宋_GB2312"/>
          <w:sz w:val="32"/>
          <w:szCs w:val="32"/>
          <w:lang w:eastAsia="zh-CN"/>
        </w:rPr>
        <w:t>，全面</w:t>
      </w:r>
      <w:r>
        <w:rPr>
          <w:rFonts w:hint="eastAsia" w:ascii="仿宋_GB2312" w:hAnsi="仿宋_GB2312" w:eastAsia="仿宋_GB2312" w:cs="仿宋_GB2312"/>
          <w:sz w:val="32"/>
          <w:szCs w:val="32"/>
        </w:rPr>
        <w:t>提升</w:t>
      </w:r>
      <w:r>
        <w:rPr>
          <w:rFonts w:hint="eastAsia" w:ascii="仿宋_GB2312" w:hAnsi="仿宋_GB2312" w:eastAsia="仿宋_GB2312" w:cs="仿宋_GB2312"/>
          <w:sz w:val="32"/>
          <w:szCs w:val="32"/>
          <w:lang w:eastAsia="zh-CN"/>
        </w:rPr>
        <w:t>殡葬</w:t>
      </w:r>
      <w:r>
        <w:rPr>
          <w:rFonts w:hint="eastAsia" w:ascii="仿宋_GB2312" w:hAnsi="仿宋_GB2312" w:eastAsia="仿宋_GB2312" w:cs="仿宋_GB2312"/>
          <w:sz w:val="32"/>
          <w:szCs w:val="32"/>
        </w:rPr>
        <w:t>政务服务能力。</w:t>
      </w:r>
    </w:p>
    <w:p>
      <w:pPr>
        <w:adjustRightInd w:val="0"/>
        <w:snapToGrid w:val="0"/>
        <w:spacing w:line="576"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lang w:val="en-US" w:eastAsia="zh-CN"/>
        </w:rPr>
        <w:t>14</w:t>
      </w:r>
      <w:r>
        <w:rPr>
          <w:rFonts w:hint="eastAsia" w:ascii="仿宋_GB2312" w:hAnsi="仿宋_GB2312" w:eastAsia="仿宋_GB2312" w:cs="仿宋_GB2312"/>
          <w:b/>
          <w:bCs w:val="0"/>
          <w:sz w:val="32"/>
          <w:szCs w:val="32"/>
          <w:lang w:eastAsia="zh-CN"/>
        </w:rPr>
        <w:t>．加快</w:t>
      </w:r>
      <w:r>
        <w:rPr>
          <w:rFonts w:hint="eastAsia" w:ascii="仿宋_GB2312" w:hAnsi="仿宋_GB2312" w:eastAsia="仿宋_GB2312" w:cs="仿宋_GB2312"/>
          <w:b/>
          <w:bCs w:val="0"/>
          <w:sz w:val="32"/>
          <w:szCs w:val="32"/>
        </w:rPr>
        <w:t>“物联网+殡葬服务”进程。</w:t>
      </w:r>
      <w:r>
        <w:rPr>
          <w:rFonts w:hint="eastAsia" w:ascii="仿宋_GB2312" w:hAnsi="仿宋_GB2312" w:eastAsia="仿宋_GB2312" w:cs="仿宋_GB2312"/>
          <w:sz w:val="32"/>
          <w:szCs w:val="32"/>
        </w:rPr>
        <w:t>加强互联网、物联网、大数据技术与殡葬管理服务全方位、深层次的融合应用。搭建网上智慧服务平台，优化物联网技术在殡葬服务机构消防安全、遗体管理、大数据管理方面的应用</w:t>
      </w:r>
      <w:r>
        <w:rPr>
          <w:rFonts w:hint="eastAsia" w:ascii="仿宋_GB2312" w:hAnsi="仿宋_GB2312" w:eastAsia="仿宋_GB2312" w:cs="仿宋_GB2312"/>
          <w:sz w:val="32"/>
          <w:szCs w:val="32"/>
          <w:lang w:eastAsia="zh-CN"/>
        </w:rPr>
        <w:t>，全市</w:t>
      </w:r>
      <w:r>
        <w:rPr>
          <w:rFonts w:hint="eastAsia" w:ascii="仿宋_GB2312" w:hAnsi="仿宋_GB2312" w:eastAsia="仿宋_GB2312" w:cs="仿宋_GB2312"/>
          <w:sz w:val="32"/>
          <w:szCs w:val="32"/>
        </w:rPr>
        <w:t>殡葬服务机构逐步实现线上业务咨询、预约预订、业务办理、网上祭奠、远程告别等服务功能，推动线上线下融合，使殡葬服务更加便捷高效。</w:t>
      </w:r>
    </w:p>
    <w:p>
      <w:pPr>
        <w:adjustRightInd w:val="0"/>
        <w:snapToGrid w:val="0"/>
        <w:spacing w:line="576"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val="0"/>
          <w:sz w:val="32"/>
          <w:szCs w:val="32"/>
          <w:lang w:val="en-US" w:eastAsia="zh-CN"/>
        </w:rPr>
        <w:t>15</w:t>
      </w:r>
      <w:r>
        <w:rPr>
          <w:rFonts w:hint="eastAsia" w:ascii="仿宋_GB2312" w:hAnsi="仿宋_GB2312" w:eastAsia="仿宋_GB2312" w:cs="仿宋_GB2312"/>
          <w:b/>
          <w:bCs w:val="0"/>
          <w:sz w:val="32"/>
          <w:szCs w:val="32"/>
          <w:lang w:eastAsia="zh-CN"/>
        </w:rPr>
        <w:t>．加快“</w:t>
      </w:r>
      <w:r>
        <w:rPr>
          <w:rFonts w:hint="eastAsia" w:ascii="仿宋_GB2312" w:hAnsi="仿宋_GB2312" w:eastAsia="仿宋_GB2312" w:cs="仿宋_GB2312"/>
          <w:b/>
          <w:bCs w:val="0"/>
          <w:sz w:val="32"/>
          <w:szCs w:val="32"/>
        </w:rPr>
        <w:t>新科技</w:t>
      </w:r>
      <w:r>
        <w:rPr>
          <w:rFonts w:hint="eastAsia" w:ascii="仿宋_GB2312" w:hAnsi="仿宋_GB2312" w:eastAsia="仿宋_GB2312" w:cs="仿宋_GB2312"/>
          <w:b/>
          <w:bCs w:val="0"/>
          <w:sz w:val="32"/>
          <w:szCs w:val="32"/>
          <w:lang w:val="en-US" w:eastAsia="zh-CN"/>
        </w:rPr>
        <w:t>+殡葬服务</w:t>
      </w:r>
      <w:r>
        <w:rPr>
          <w:rFonts w:hint="eastAsia" w:ascii="仿宋_GB2312" w:hAnsi="仿宋_GB2312" w:eastAsia="仿宋_GB2312" w:cs="仿宋_GB2312"/>
          <w:b/>
          <w:bCs w:val="0"/>
          <w:sz w:val="32"/>
          <w:szCs w:val="32"/>
          <w:lang w:eastAsia="zh-CN"/>
        </w:rPr>
        <w:t>”进程</w:t>
      </w:r>
      <w:r>
        <w:rPr>
          <w:rFonts w:hint="eastAsia" w:ascii="仿宋_GB2312" w:hAnsi="仿宋_GB2312" w:eastAsia="仿宋_GB2312" w:cs="仿宋_GB2312"/>
          <w:b/>
          <w:bCs w:val="0"/>
          <w:sz w:val="32"/>
          <w:szCs w:val="32"/>
        </w:rPr>
        <w:t>。</w:t>
      </w:r>
      <w:r>
        <w:rPr>
          <w:rFonts w:hint="eastAsia" w:ascii="仿宋_GB2312" w:hAnsi="仿宋_GB2312" w:eastAsia="仿宋_GB2312" w:cs="仿宋_GB2312"/>
          <w:b w:val="0"/>
          <w:bCs/>
          <w:sz w:val="32"/>
          <w:szCs w:val="32"/>
          <w:lang w:eastAsia="zh-CN"/>
        </w:rPr>
        <w:t>鼓励</w:t>
      </w:r>
      <w:r>
        <w:rPr>
          <w:rFonts w:hint="eastAsia" w:ascii="仿宋_GB2312" w:hAnsi="仿宋_GB2312" w:eastAsia="仿宋_GB2312" w:cs="仿宋_GB2312"/>
          <w:sz w:val="32"/>
          <w:szCs w:val="32"/>
        </w:rPr>
        <w:t>支持殡葬</w:t>
      </w:r>
      <w:r>
        <w:rPr>
          <w:rFonts w:hint="eastAsia" w:ascii="仿宋_GB2312" w:hAnsi="仿宋_GB2312" w:eastAsia="仿宋_GB2312" w:cs="仿宋_GB2312"/>
          <w:sz w:val="32"/>
          <w:szCs w:val="32"/>
          <w:lang w:eastAsia="zh-CN"/>
        </w:rPr>
        <w:t>领域的</w:t>
      </w:r>
      <w:r>
        <w:rPr>
          <w:rFonts w:hint="eastAsia" w:ascii="仿宋_GB2312" w:hAnsi="仿宋_GB2312" w:eastAsia="仿宋_GB2312" w:cs="仿宋_GB2312"/>
          <w:sz w:val="32"/>
          <w:szCs w:val="32"/>
        </w:rPr>
        <w:t>科学技术研究，</w:t>
      </w:r>
      <w:r>
        <w:rPr>
          <w:rFonts w:hint="eastAsia" w:ascii="仿宋_GB2312" w:hAnsi="仿宋_GB2312" w:eastAsia="仿宋_GB2312" w:cs="仿宋_GB2312"/>
          <w:sz w:val="32"/>
          <w:szCs w:val="32"/>
          <w:lang w:eastAsia="zh-CN"/>
        </w:rPr>
        <w:t>推动新科技在殡葬领域的推广应用</w:t>
      </w:r>
      <w:r>
        <w:rPr>
          <w:rFonts w:hint="eastAsia" w:ascii="仿宋_GB2312" w:hAnsi="仿宋_GB2312" w:eastAsia="仿宋_GB2312" w:cs="仿宋_GB2312"/>
          <w:sz w:val="32"/>
          <w:szCs w:val="32"/>
        </w:rPr>
        <w:t>。鼓励殡葬服务单位与科研院所、</w:t>
      </w:r>
      <w:r>
        <w:rPr>
          <w:rFonts w:hint="eastAsia" w:ascii="仿宋_GB2312" w:hAnsi="仿宋_GB2312" w:eastAsia="仿宋_GB2312" w:cs="仿宋_GB2312"/>
          <w:sz w:val="32"/>
          <w:szCs w:val="32"/>
          <w:lang w:eastAsia="zh-CN"/>
        </w:rPr>
        <w:t>高新技术</w:t>
      </w:r>
      <w:r>
        <w:rPr>
          <w:rFonts w:hint="eastAsia" w:ascii="仿宋_GB2312" w:hAnsi="仿宋_GB2312" w:eastAsia="仿宋_GB2312" w:cs="仿宋_GB2312"/>
          <w:sz w:val="32"/>
          <w:szCs w:val="32"/>
        </w:rPr>
        <w:t>企业的交流合作，推进产学研一体化建设和殡葬技术成果转化。鼓励有条件的殡仪馆探索将现代融媒体技术、5G技术应用到告别仪式，打造新型的现代殡仪服务模式。推广条形码、二维码、RFID等可识别技术在遗体追溯、墓位管理、流程管控方面的应用。推动新能源、新材料、新技术在火化设施设备、可降解殡葬用品、</w:t>
      </w:r>
      <w:r>
        <w:rPr>
          <w:rFonts w:hint="eastAsia" w:ascii="仿宋_GB2312" w:hAnsi="仿宋_GB2312" w:eastAsia="仿宋_GB2312" w:cs="仿宋_GB2312"/>
          <w:sz w:val="32"/>
          <w:szCs w:val="32"/>
          <w:lang w:eastAsia="zh-CN"/>
        </w:rPr>
        <w:t>骨灰存放、</w:t>
      </w:r>
      <w:r>
        <w:rPr>
          <w:rFonts w:hint="eastAsia" w:ascii="仿宋_GB2312" w:hAnsi="仿宋_GB2312" w:eastAsia="仿宋_GB2312" w:cs="仿宋_GB2312"/>
          <w:sz w:val="32"/>
          <w:szCs w:val="32"/>
        </w:rPr>
        <w:t>殡葬礼仪等方面的推广应用。</w:t>
      </w:r>
    </w:p>
    <w:p>
      <w:pPr>
        <w:keepNext w:val="0"/>
        <w:keepLines w:val="0"/>
        <w:pageBreakBefore w:val="0"/>
        <w:kinsoku/>
        <w:wordWrap/>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Cs/>
          <w:snapToGrid w:val="0"/>
          <w:color w:val="auto"/>
          <w:sz w:val="32"/>
          <w:szCs w:val="32"/>
        </w:rPr>
      </w:pPr>
      <w:r>
        <w:rPr>
          <w:rFonts w:hint="eastAsia" w:ascii="仿宋_GB2312" w:hAnsi="仿宋_GB2312" w:eastAsia="仿宋_GB2312" w:cs="仿宋_GB2312"/>
          <w:bCs/>
          <w:snapToGrid w:val="0"/>
          <w:color w:val="auto"/>
          <w:sz w:val="32"/>
          <w:szCs w:val="32"/>
          <w:lang w:eastAsia="zh-CN"/>
        </w:rPr>
        <w:t>四</w:t>
      </w:r>
      <w:r>
        <w:rPr>
          <w:rFonts w:hint="eastAsia" w:ascii="仿宋_GB2312" w:hAnsi="仿宋_GB2312" w:eastAsia="仿宋_GB2312" w:cs="仿宋_GB2312"/>
          <w:bCs/>
          <w:snapToGrid w:val="0"/>
          <w:color w:val="auto"/>
          <w:sz w:val="32"/>
          <w:szCs w:val="32"/>
        </w:rPr>
        <w:t>、保障措施</w:t>
      </w:r>
    </w:p>
    <w:p>
      <w:pPr>
        <w:keepNext w:val="0"/>
        <w:keepLines w:val="0"/>
        <w:pageBreakBefore w:val="0"/>
        <w:kinsoku/>
        <w:wordWrap/>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bCs w:val="0"/>
          <w:snapToGrid w:val="0"/>
          <w:color w:val="auto"/>
          <w:sz w:val="32"/>
          <w:szCs w:val="32"/>
          <w:highlight w:val="none"/>
          <w:lang w:eastAsia="zh-CN"/>
        </w:rPr>
      </w:pPr>
      <w:r>
        <w:rPr>
          <w:rFonts w:hint="eastAsia" w:ascii="仿宋_GB2312" w:hAnsi="仿宋_GB2312" w:eastAsia="仿宋_GB2312" w:cs="仿宋_GB2312"/>
          <w:b/>
          <w:bCs w:val="0"/>
          <w:snapToGrid w:val="0"/>
          <w:color w:val="auto"/>
          <w:sz w:val="32"/>
          <w:szCs w:val="32"/>
          <w:highlight w:val="none"/>
        </w:rPr>
        <w:t>（一）加强组织领导</w:t>
      </w:r>
    </w:p>
    <w:p>
      <w:pPr>
        <w:adjustRightInd w:val="0"/>
        <w:snapToGrid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napToGrid w:val="0"/>
          <w:color w:val="auto"/>
          <w:sz w:val="32"/>
          <w:szCs w:val="32"/>
        </w:rPr>
        <w:t>各级</w:t>
      </w:r>
      <w:r>
        <w:rPr>
          <w:rFonts w:hint="eastAsia" w:ascii="仿宋_GB2312" w:hAnsi="仿宋_GB2312" w:eastAsia="仿宋_GB2312" w:cs="仿宋_GB2312"/>
          <w:bCs/>
          <w:snapToGrid w:val="0"/>
          <w:color w:val="auto"/>
          <w:sz w:val="32"/>
          <w:szCs w:val="32"/>
          <w:lang w:eastAsia="zh-CN"/>
        </w:rPr>
        <w:t>党委、政府要把殡葬管理摆在更加突出的位置、摆上重要议事日程，列入平安建设、生态文明、乡村振兴等考核评价评估范围，</w:t>
      </w:r>
      <w:r>
        <w:rPr>
          <w:rFonts w:hint="eastAsia" w:ascii="仿宋_GB2312" w:hAnsi="仿宋_GB2312" w:eastAsia="仿宋_GB2312" w:cs="仿宋_GB2312"/>
          <w:bCs/>
          <w:snapToGrid w:val="0"/>
          <w:color w:val="auto"/>
          <w:sz w:val="32"/>
          <w:szCs w:val="32"/>
        </w:rPr>
        <w:t>健全党委领导、政府</w:t>
      </w:r>
      <w:r>
        <w:rPr>
          <w:rFonts w:hint="eastAsia" w:ascii="仿宋_GB2312" w:hAnsi="仿宋_GB2312" w:eastAsia="仿宋_GB2312" w:cs="仿宋_GB2312"/>
          <w:bCs/>
          <w:snapToGrid w:val="0"/>
          <w:color w:val="auto"/>
          <w:sz w:val="32"/>
          <w:szCs w:val="32"/>
          <w:lang w:eastAsia="zh-CN"/>
        </w:rPr>
        <w:t>主导</w:t>
      </w:r>
      <w:r>
        <w:rPr>
          <w:rFonts w:hint="eastAsia" w:ascii="仿宋_GB2312" w:hAnsi="仿宋_GB2312" w:eastAsia="仿宋_GB2312" w:cs="仿宋_GB2312"/>
          <w:bCs/>
          <w:snapToGrid w:val="0"/>
          <w:color w:val="auto"/>
          <w:sz w:val="32"/>
          <w:szCs w:val="32"/>
        </w:rPr>
        <w:t>、部门协作、社会参与</w:t>
      </w:r>
      <w:r>
        <w:rPr>
          <w:rFonts w:hint="eastAsia" w:ascii="仿宋_GB2312" w:hAnsi="仿宋_GB2312" w:eastAsia="仿宋_GB2312" w:cs="仿宋_GB2312"/>
          <w:bCs/>
          <w:snapToGrid w:val="0"/>
          <w:color w:val="auto"/>
          <w:sz w:val="32"/>
          <w:szCs w:val="32"/>
          <w:lang w:eastAsia="zh-CN"/>
        </w:rPr>
        <w:t>的</w:t>
      </w:r>
      <w:r>
        <w:rPr>
          <w:rFonts w:hint="eastAsia" w:ascii="仿宋_GB2312" w:hAnsi="仿宋_GB2312" w:eastAsia="仿宋_GB2312" w:cs="仿宋_GB2312"/>
          <w:bCs/>
          <w:snapToGrid w:val="0"/>
          <w:color w:val="auto"/>
          <w:sz w:val="32"/>
          <w:szCs w:val="32"/>
        </w:rPr>
        <w:t>工作机制。</w:t>
      </w:r>
      <w:r>
        <w:rPr>
          <w:rFonts w:hint="eastAsia" w:ascii="仿宋_GB2312" w:hAnsi="仿宋_GB2312" w:eastAsia="仿宋_GB2312" w:cs="仿宋_GB2312"/>
          <w:bCs/>
          <w:snapToGrid w:val="0"/>
          <w:color w:val="auto"/>
          <w:sz w:val="32"/>
          <w:szCs w:val="32"/>
          <w:lang w:eastAsia="zh-CN"/>
        </w:rPr>
        <w:t>各级党委和政府建立健全殡葬管理领导小组或殡葬管理工作部门间联席会议制度，落实属地管理责任，积极推动各级党委和政府把殡葬改革发展作为增进人民福祉的重要内容和促进精神文明、生态文明建设的有力举措。各级民政、发展改革、公安、财政、人力资源社会保障、自然资源、生态环境、住房城乡建设、卫生健康、市场监管以及林业、城市管理等部门切实履行各自职责，形成加强殡葬管理的工作合力。村（居）民委员会要协助做好殡葬管理工作，引导村（居）民文明节俭办丧。</w:t>
      </w:r>
    </w:p>
    <w:p>
      <w:pPr>
        <w:keepNext w:val="0"/>
        <w:keepLines w:val="0"/>
        <w:pageBreakBefore w:val="0"/>
        <w:kinsoku/>
        <w:wordWrap/>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bCs w:val="0"/>
          <w:snapToGrid w:val="0"/>
          <w:color w:val="auto"/>
          <w:sz w:val="32"/>
          <w:szCs w:val="32"/>
          <w:highlight w:val="none"/>
          <w:lang w:eastAsia="zh-CN"/>
        </w:rPr>
      </w:pPr>
      <w:r>
        <w:rPr>
          <w:rFonts w:hint="eastAsia" w:ascii="仿宋_GB2312" w:hAnsi="仿宋_GB2312" w:eastAsia="仿宋_GB2312" w:cs="仿宋_GB2312"/>
          <w:b/>
          <w:bCs w:val="0"/>
          <w:snapToGrid w:val="0"/>
          <w:color w:val="auto"/>
          <w:sz w:val="32"/>
          <w:szCs w:val="32"/>
          <w:highlight w:val="none"/>
        </w:rPr>
        <w:t>（二）加强</w:t>
      </w:r>
      <w:r>
        <w:rPr>
          <w:rFonts w:hint="eastAsia" w:ascii="仿宋_GB2312" w:hAnsi="仿宋_GB2312" w:eastAsia="仿宋_GB2312" w:cs="仿宋_GB2312"/>
          <w:b/>
          <w:bCs w:val="0"/>
          <w:snapToGrid w:val="0"/>
          <w:color w:val="auto"/>
          <w:sz w:val="32"/>
          <w:szCs w:val="32"/>
          <w:highlight w:val="none"/>
          <w:lang w:val="en-US" w:eastAsia="zh-CN"/>
        </w:rPr>
        <w:t>科学规划</w:t>
      </w:r>
    </w:p>
    <w:p>
      <w:pPr>
        <w:keepNext w:val="0"/>
        <w:keepLines w:val="0"/>
        <w:pageBreakBefore w:val="0"/>
        <w:kinsoku/>
        <w:wordWrap/>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Cs/>
          <w:snapToGrid w:val="0"/>
          <w:color w:val="auto"/>
          <w:sz w:val="32"/>
          <w:szCs w:val="32"/>
        </w:rPr>
      </w:pPr>
      <w:r>
        <w:rPr>
          <w:rFonts w:hint="eastAsia" w:ascii="仿宋_GB2312" w:hAnsi="仿宋_GB2312" w:eastAsia="仿宋_GB2312" w:cs="仿宋_GB2312"/>
          <w:bCs/>
          <w:snapToGrid w:val="0"/>
          <w:color w:val="auto"/>
          <w:sz w:val="32"/>
          <w:szCs w:val="32"/>
          <w:lang w:eastAsia="zh-CN"/>
        </w:rPr>
        <w:t>各县（市、区）要将殡葬事业发展纳入本级国民经济和社会发展规划。各县（市、区）要</w:t>
      </w:r>
      <w:r>
        <w:rPr>
          <w:rFonts w:hint="eastAsia" w:ascii="仿宋_GB2312" w:hAnsi="仿宋_GB2312" w:eastAsia="仿宋_GB2312" w:cs="仿宋_GB2312"/>
          <w:bCs/>
          <w:snapToGrid w:val="0"/>
          <w:color w:val="auto"/>
          <w:sz w:val="32"/>
          <w:szCs w:val="32"/>
        </w:rPr>
        <w:t>按照</w:t>
      </w:r>
      <w:r>
        <w:rPr>
          <w:rFonts w:hint="eastAsia" w:ascii="仿宋_GB2312" w:hAnsi="仿宋_GB2312" w:eastAsia="仿宋_GB2312" w:cs="仿宋_GB2312"/>
          <w:bCs/>
          <w:snapToGrid w:val="0"/>
          <w:color w:val="auto"/>
          <w:sz w:val="32"/>
          <w:szCs w:val="32"/>
          <w:lang w:val="en-US" w:eastAsia="zh-CN"/>
        </w:rPr>
        <w:t>殡葬用地0.4平方米/每人（常住人口）的标准，编制殡葬设施规划，并纳入</w:t>
      </w:r>
      <w:r>
        <w:rPr>
          <w:rFonts w:hint="eastAsia" w:ascii="仿宋_GB2312" w:hAnsi="仿宋_GB2312" w:eastAsia="仿宋_GB2312" w:cs="仿宋_GB2312"/>
          <w:bCs/>
          <w:snapToGrid w:val="0"/>
          <w:color w:val="auto"/>
          <w:sz w:val="32"/>
          <w:szCs w:val="32"/>
        </w:rPr>
        <w:t>国土空间规划，</w:t>
      </w:r>
      <w:r>
        <w:rPr>
          <w:rFonts w:hint="eastAsia" w:ascii="仿宋_GB2312" w:hAnsi="仿宋_GB2312" w:eastAsia="仿宋_GB2312" w:cs="仿宋_GB2312"/>
          <w:bCs/>
          <w:snapToGrid w:val="0"/>
          <w:color w:val="auto"/>
          <w:sz w:val="32"/>
          <w:szCs w:val="32"/>
          <w:lang w:eastAsia="zh-CN"/>
        </w:rPr>
        <w:t>优先保障殡葬设施用地</w:t>
      </w:r>
      <w:r>
        <w:rPr>
          <w:rFonts w:hint="eastAsia" w:ascii="仿宋_GB2312" w:hAnsi="仿宋_GB2312" w:eastAsia="仿宋_GB2312" w:cs="仿宋_GB2312"/>
          <w:bCs/>
          <w:snapToGrid w:val="0"/>
          <w:color w:val="auto"/>
          <w:sz w:val="32"/>
          <w:szCs w:val="32"/>
          <w:lang w:val="en-US" w:eastAsia="zh-CN"/>
        </w:rPr>
        <w:t>，满足“逝有所安”需求。</w:t>
      </w:r>
      <w:r>
        <w:rPr>
          <w:rFonts w:hint="eastAsia" w:ascii="仿宋_GB2312" w:hAnsi="仿宋_GB2312" w:eastAsia="仿宋_GB2312" w:cs="仿宋_GB2312"/>
          <w:bCs/>
          <w:snapToGrid w:val="0"/>
          <w:color w:val="auto"/>
          <w:sz w:val="32"/>
          <w:szCs w:val="32"/>
          <w:lang w:eastAsia="zh-CN"/>
        </w:rPr>
        <w:t>非营利性殡葬设施用地，依法使用国有划拨土地或农民集体所有土地；经营性</w:t>
      </w:r>
      <w:r>
        <w:rPr>
          <w:rFonts w:hint="eastAsia" w:ascii="仿宋_GB2312" w:hAnsi="仿宋_GB2312" w:eastAsia="仿宋_GB2312" w:cs="仿宋_GB2312"/>
          <w:bCs/>
          <w:snapToGrid w:val="0"/>
          <w:color w:val="auto"/>
          <w:sz w:val="32"/>
          <w:szCs w:val="32"/>
          <w:lang w:val="en-US" w:eastAsia="zh-CN"/>
        </w:rPr>
        <w:t>殡葬设施用地，采用招标、拍卖、挂牌等公开出让的方式取得。</w:t>
      </w:r>
      <w:r>
        <w:rPr>
          <w:rFonts w:hint="eastAsia" w:ascii="仿宋_GB2312" w:hAnsi="仿宋_GB2312" w:eastAsia="仿宋_GB2312" w:cs="仿宋_GB2312"/>
          <w:bCs/>
          <w:snapToGrid w:val="0"/>
          <w:color w:val="auto"/>
          <w:sz w:val="32"/>
          <w:szCs w:val="32"/>
          <w:lang w:eastAsia="zh-CN"/>
        </w:rPr>
        <w:t>在不改变土地用途前提下，在林地、草地等适当场所划定一定区域，进行林地、草地与墓地复合利用，实施公益性节地生态安葬</w:t>
      </w:r>
      <w:r>
        <w:rPr>
          <w:rFonts w:hint="eastAsia" w:ascii="仿宋_GB2312" w:hAnsi="仿宋_GB2312" w:eastAsia="仿宋_GB2312" w:cs="仿宋_GB2312"/>
          <w:bCs/>
          <w:snapToGrid w:val="0"/>
          <w:color w:val="auto"/>
          <w:sz w:val="32"/>
          <w:szCs w:val="32"/>
        </w:rPr>
        <w:t>。</w:t>
      </w:r>
    </w:p>
    <w:p>
      <w:pPr>
        <w:keepNext w:val="0"/>
        <w:keepLines w:val="0"/>
        <w:pageBreakBefore w:val="0"/>
        <w:kinsoku/>
        <w:wordWrap/>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bCs w:val="0"/>
          <w:snapToGrid w:val="0"/>
          <w:color w:val="auto"/>
          <w:sz w:val="32"/>
          <w:szCs w:val="32"/>
          <w:highlight w:val="none"/>
          <w:lang w:eastAsia="zh-CN"/>
        </w:rPr>
      </w:pPr>
      <w:r>
        <w:rPr>
          <w:rFonts w:hint="eastAsia" w:ascii="仿宋_GB2312" w:hAnsi="仿宋_GB2312" w:eastAsia="仿宋_GB2312" w:cs="仿宋_GB2312"/>
          <w:b/>
          <w:bCs w:val="0"/>
          <w:snapToGrid w:val="0"/>
          <w:color w:val="auto"/>
          <w:sz w:val="32"/>
          <w:szCs w:val="32"/>
          <w:highlight w:val="none"/>
        </w:rPr>
        <w:t>（三）加强</w:t>
      </w:r>
      <w:r>
        <w:rPr>
          <w:rFonts w:hint="eastAsia" w:ascii="仿宋_GB2312" w:hAnsi="仿宋_GB2312" w:eastAsia="仿宋_GB2312" w:cs="仿宋_GB2312"/>
          <w:b/>
          <w:bCs w:val="0"/>
          <w:snapToGrid w:val="0"/>
          <w:color w:val="auto"/>
          <w:sz w:val="32"/>
          <w:szCs w:val="32"/>
          <w:highlight w:val="none"/>
          <w:lang w:val="en-US" w:eastAsia="zh-CN"/>
        </w:rPr>
        <w:t>资金保障</w:t>
      </w:r>
    </w:p>
    <w:p>
      <w:pPr>
        <w:keepNext w:val="0"/>
        <w:keepLines w:val="0"/>
        <w:pageBreakBefore w:val="0"/>
        <w:kinsoku/>
        <w:wordWrap/>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Cs/>
          <w:snapToGrid w:val="0"/>
          <w:color w:val="auto"/>
          <w:sz w:val="32"/>
          <w:szCs w:val="32"/>
        </w:rPr>
      </w:pPr>
      <w:r>
        <w:rPr>
          <w:rFonts w:hint="eastAsia" w:ascii="仿宋_GB2312" w:hAnsi="仿宋_GB2312" w:eastAsia="仿宋_GB2312" w:cs="仿宋_GB2312"/>
          <w:bCs/>
          <w:snapToGrid w:val="0"/>
          <w:color w:val="auto"/>
          <w:sz w:val="32"/>
          <w:szCs w:val="32"/>
        </w:rPr>
        <w:t>建立完善殡葬事业公共投入机制，各级政府按照事权与支出责任相匹配的原则，加大公益性殡葬设施建设、</w:t>
      </w:r>
      <w:r>
        <w:rPr>
          <w:rFonts w:hint="eastAsia" w:ascii="仿宋_GB2312" w:hAnsi="仿宋_GB2312" w:eastAsia="仿宋_GB2312" w:cs="仿宋_GB2312"/>
          <w:bCs/>
          <w:snapToGrid w:val="0"/>
          <w:color w:val="auto"/>
          <w:sz w:val="32"/>
          <w:szCs w:val="32"/>
          <w:lang w:eastAsia="zh-CN"/>
        </w:rPr>
        <w:t>惠民</w:t>
      </w:r>
      <w:r>
        <w:rPr>
          <w:rFonts w:hint="eastAsia" w:ascii="仿宋_GB2312" w:hAnsi="仿宋_GB2312" w:eastAsia="仿宋_GB2312" w:cs="仿宋_GB2312"/>
          <w:bCs/>
          <w:snapToGrid w:val="0"/>
          <w:color w:val="auto"/>
          <w:sz w:val="32"/>
          <w:szCs w:val="32"/>
        </w:rPr>
        <w:t>殡葬、</w:t>
      </w:r>
      <w:r>
        <w:rPr>
          <w:rFonts w:hint="eastAsia" w:ascii="仿宋_GB2312" w:hAnsi="仿宋_GB2312" w:eastAsia="仿宋_GB2312" w:cs="仿宋_GB2312"/>
          <w:bCs/>
          <w:snapToGrid w:val="0"/>
          <w:color w:val="auto"/>
          <w:sz w:val="32"/>
          <w:szCs w:val="32"/>
          <w:lang w:eastAsia="zh-CN"/>
        </w:rPr>
        <w:t>绿色殡葬等资金</w:t>
      </w:r>
      <w:r>
        <w:rPr>
          <w:rFonts w:hint="eastAsia" w:ascii="仿宋_GB2312" w:hAnsi="仿宋_GB2312" w:eastAsia="仿宋_GB2312" w:cs="仿宋_GB2312"/>
          <w:bCs/>
          <w:snapToGrid w:val="0"/>
          <w:color w:val="auto"/>
          <w:sz w:val="32"/>
          <w:szCs w:val="32"/>
        </w:rPr>
        <w:t>投入</w:t>
      </w:r>
      <w:r>
        <w:rPr>
          <w:rFonts w:hint="eastAsia" w:ascii="仿宋_GB2312" w:hAnsi="仿宋_GB2312" w:eastAsia="仿宋_GB2312" w:cs="仿宋_GB2312"/>
          <w:bCs/>
          <w:snapToGrid w:val="0"/>
          <w:color w:val="auto"/>
          <w:sz w:val="32"/>
          <w:szCs w:val="32"/>
          <w:lang w:eastAsia="zh-CN"/>
        </w:rPr>
        <w:t>力度</w:t>
      </w:r>
      <w:r>
        <w:rPr>
          <w:rFonts w:hint="eastAsia" w:ascii="仿宋_GB2312" w:hAnsi="仿宋_GB2312" w:eastAsia="仿宋_GB2312" w:cs="仿宋_GB2312"/>
          <w:bCs/>
          <w:snapToGrid w:val="0"/>
          <w:color w:val="auto"/>
          <w:sz w:val="32"/>
          <w:szCs w:val="32"/>
        </w:rPr>
        <w:t>，确保殡葬事业经费支撑其可持续的发展。建设经营性公墓用地出让所得</w:t>
      </w:r>
      <w:r>
        <w:rPr>
          <w:rFonts w:hint="eastAsia" w:ascii="仿宋_GB2312" w:hAnsi="仿宋_GB2312" w:eastAsia="仿宋_GB2312" w:cs="仿宋_GB2312"/>
          <w:bCs/>
          <w:snapToGrid w:val="0"/>
          <w:color w:val="auto"/>
          <w:sz w:val="32"/>
          <w:szCs w:val="32"/>
          <w:lang w:eastAsia="zh-CN"/>
        </w:rPr>
        <w:t>，</w:t>
      </w:r>
      <w:r>
        <w:rPr>
          <w:rFonts w:hint="eastAsia" w:ascii="仿宋_GB2312" w:hAnsi="仿宋_GB2312" w:eastAsia="仿宋_GB2312" w:cs="仿宋_GB2312"/>
          <w:bCs/>
          <w:snapToGrid w:val="0"/>
          <w:color w:val="auto"/>
          <w:sz w:val="32"/>
          <w:szCs w:val="32"/>
        </w:rPr>
        <w:t>纳入财政管理</w:t>
      </w:r>
      <w:r>
        <w:rPr>
          <w:rFonts w:hint="eastAsia" w:ascii="仿宋_GB2312" w:hAnsi="仿宋_GB2312" w:eastAsia="仿宋_GB2312" w:cs="仿宋_GB2312"/>
          <w:bCs/>
          <w:snapToGrid w:val="0"/>
          <w:color w:val="auto"/>
          <w:sz w:val="32"/>
          <w:szCs w:val="32"/>
          <w:lang w:eastAsia="zh-CN"/>
        </w:rPr>
        <w:t>，</w:t>
      </w:r>
      <w:r>
        <w:rPr>
          <w:rFonts w:hint="eastAsia" w:ascii="仿宋_GB2312" w:hAnsi="仿宋_GB2312" w:eastAsia="仿宋_GB2312" w:cs="仿宋_GB2312"/>
          <w:bCs/>
          <w:snapToGrid w:val="0"/>
          <w:color w:val="auto"/>
          <w:sz w:val="32"/>
          <w:szCs w:val="32"/>
        </w:rPr>
        <w:t>专项用于公益性殡葬服务设施建设。</w:t>
      </w:r>
      <w:r>
        <w:rPr>
          <w:rFonts w:hint="eastAsia" w:ascii="仿宋_GB2312" w:hAnsi="仿宋_GB2312" w:eastAsia="仿宋_GB2312" w:cs="仿宋_GB2312"/>
          <w:bCs/>
          <w:snapToGrid w:val="0"/>
          <w:color w:val="auto"/>
          <w:sz w:val="32"/>
          <w:szCs w:val="32"/>
          <w:lang w:eastAsia="zh-CN"/>
        </w:rPr>
        <w:t>推进</w:t>
      </w:r>
      <w:r>
        <w:rPr>
          <w:rFonts w:hint="eastAsia" w:ascii="仿宋_GB2312" w:hAnsi="仿宋_GB2312" w:eastAsia="仿宋_GB2312" w:cs="仿宋_GB2312"/>
          <w:bCs/>
          <w:snapToGrid w:val="0"/>
          <w:color w:val="auto"/>
          <w:sz w:val="32"/>
          <w:szCs w:val="32"/>
        </w:rPr>
        <w:t>政府购买服务等方式鼓励和引导社会力量</w:t>
      </w:r>
      <w:r>
        <w:rPr>
          <w:rFonts w:hint="eastAsia" w:ascii="仿宋_GB2312" w:hAnsi="仿宋_GB2312" w:eastAsia="仿宋_GB2312" w:cs="仿宋_GB2312"/>
          <w:bCs/>
          <w:snapToGrid w:val="0"/>
          <w:color w:val="auto"/>
          <w:sz w:val="32"/>
          <w:szCs w:val="32"/>
          <w:lang w:eastAsia="zh-CN"/>
        </w:rPr>
        <w:t>、</w:t>
      </w:r>
      <w:r>
        <w:rPr>
          <w:rFonts w:hint="eastAsia" w:ascii="仿宋_GB2312" w:hAnsi="仿宋_GB2312" w:eastAsia="仿宋_GB2312" w:cs="仿宋_GB2312"/>
          <w:bCs/>
          <w:snapToGrid w:val="0"/>
          <w:color w:val="auto"/>
          <w:sz w:val="32"/>
          <w:szCs w:val="32"/>
        </w:rPr>
        <w:t>社会工作专业人才</w:t>
      </w:r>
      <w:r>
        <w:rPr>
          <w:rFonts w:hint="eastAsia" w:ascii="仿宋_GB2312" w:hAnsi="仿宋_GB2312" w:eastAsia="仿宋_GB2312" w:cs="仿宋_GB2312"/>
          <w:bCs/>
          <w:snapToGrid w:val="0"/>
          <w:color w:val="auto"/>
          <w:sz w:val="32"/>
          <w:szCs w:val="32"/>
          <w:lang w:eastAsia="zh-CN"/>
        </w:rPr>
        <w:t>依法</w:t>
      </w:r>
      <w:r>
        <w:rPr>
          <w:rFonts w:hint="eastAsia" w:ascii="仿宋_GB2312" w:hAnsi="仿宋_GB2312" w:eastAsia="仿宋_GB2312" w:cs="仿宋_GB2312"/>
          <w:bCs/>
          <w:snapToGrid w:val="0"/>
          <w:color w:val="auto"/>
          <w:sz w:val="32"/>
          <w:szCs w:val="32"/>
        </w:rPr>
        <w:t>有序参与</w:t>
      </w:r>
      <w:r>
        <w:rPr>
          <w:rFonts w:hint="eastAsia" w:ascii="仿宋_GB2312" w:hAnsi="仿宋_GB2312" w:eastAsia="仿宋_GB2312" w:cs="仿宋_GB2312"/>
          <w:bCs/>
          <w:snapToGrid w:val="0"/>
          <w:color w:val="auto"/>
          <w:sz w:val="32"/>
          <w:szCs w:val="32"/>
          <w:lang w:eastAsia="zh-CN"/>
        </w:rPr>
        <w:t>殡葬管理和殡葬服务</w:t>
      </w:r>
      <w:r>
        <w:rPr>
          <w:rFonts w:hint="eastAsia" w:ascii="仿宋_GB2312" w:hAnsi="仿宋_GB2312" w:eastAsia="仿宋_GB2312" w:cs="仿宋_GB2312"/>
          <w:bCs/>
          <w:snapToGrid w:val="0"/>
          <w:color w:val="auto"/>
          <w:sz w:val="32"/>
          <w:szCs w:val="32"/>
        </w:rPr>
        <w:t>，推动殡葬服务供给主体和供给方式多元化。完善殡葬职工工资福利待遇政策并建立正常增长机制，使工资收入增长与当地经济发展相匹配。</w:t>
      </w:r>
    </w:p>
    <w:p>
      <w:pPr>
        <w:keepNext w:val="0"/>
        <w:keepLines w:val="0"/>
        <w:pageBreakBefore w:val="0"/>
        <w:kinsoku/>
        <w:wordWrap/>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bCs w:val="0"/>
          <w:snapToGrid w:val="0"/>
          <w:color w:val="auto"/>
          <w:sz w:val="32"/>
          <w:szCs w:val="32"/>
          <w:highlight w:val="none"/>
          <w:lang w:eastAsia="zh-CN"/>
        </w:rPr>
      </w:pPr>
      <w:r>
        <w:rPr>
          <w:rFonts w:hint="eastAsia" w:ascii="仿宋_GB2312" w:hAnsi="仿宋_GB2312" w:eastAsia="仿宋_GB2312" w:cs="仿宋_GB2312"/>
          <w:b/>
          <w:bCs w:val="0"/>
          <w:snapToGrid w:val="0"/>
          <w:color w:val="auto"/>
          <w:sz w:val="32"/>
          <w:szCs w:val="32"/>
          <w:highlight w:val="none"/>
        </w:rPr>
        <w:t>（四）加强人才建设</w:t>
      </w:r>
    </w:p>
    <w:p>
      <w:pPr>
        <w:keepNext w:val="0"/>
        <w:keepLines w:val="0"/>
        <w:pageBreakBefore w:val="0"/>
        <w:kinsoku/>
        <w:wordWrap/>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Cs/>
          <w:snapToGrid w:val="0"/>
          <w:color w:val="auto"/>
          <w:sz w:val="32"/>
          <w:szCs w:val="32"/>
        </w:rPr>
      </w:pPr>
      <w:r>
        <w:rPr>
          <w:rFonts w:hint="eastAsia" w:ascii="仿宋_GB2312" w:hAnsi="仿宋_GB2312" w:eastAsia="仿宋_GB2312" w:cs="仿宋_GB2312"/>
          <w:bCs/>
          <w:snapToGrid w:val="0"/>
          <w:color w:val="auto"/>
          <w:sz w:val="32"/>
          <w:szCs w:val="32"/>
          <w:lang w:eastAsia="zh-CN"/>
        </w:rPr>
        <w:t>建立健全殡葬事业</w:t>
      </w:r>
      <w:r>
        <w:rPr>
          <w:rFonts w:hint="eastAsia" w:ascii="仿宋_GB2312" w:hAnsi="仿宋_GB2312" w:eastAsia="仿宋_GB2312" w:cs="仿宋_GB2312"/>
          <w:bCs/>
          <w:snapToGrid w:val="0"/>
          <w:color w:val="auto"/>
          <w:sz w:val="32"/>
          <w:szCs w:val="32"/>
        </w:rPr>
        <w:t>人才培养、引进、使用机制</w:t>
      </w:r>
      <w:r>
        <w:rPr>
          <w:rFonts w:hint="eastAsia" w:ascii="仿宋_GB2312" w:hAnsi="仿宋_GB2312" w:eastAsia="仿宋_GB2312" w:cs="仿宋_GB2312"/>
          <w:bCs/>
          <w:snapToGrid w:val="0"/>
          <w:color w:val="auto"/>
          <w:sz w:val="32"/>
          <w:szCs w:val="32"/>
          <w:lang w:eastAsia="zh-CN"/>
        </w:rPr>
        <w:t>，</w:t>
      </w:r>
      <w:r>
        <w:rPr>
          <w:rFonts w:hint="eastAsia" w:ascii="仿宋_GB2312" w:hAnsi="仿宋_GB2312" w:eastAsia="仿宋_GB2312" w:cs="仿宋_GB2312"/>
          <w:bCs/>
          <w:snapToGrid w:val="0"/>
          <w:color w:val="auto"/>
          <w:sz w:val="32"/>
          <w:szCs w:val="32"/>
        </w:rPr>
        <w:t>加强殡葬</w:t>
      </w:r>
      <w:r>
        <w:rPr>
          <w:rFonts w:hint="eastAsia" w:ascii="仿宋_GB2312" w:hAnsi="仿宋_GB2312" w:eastAsia="仿宋_GB2312" w:cs="仿宋_GB2312"/>
          <w:bCs/>
          <w:snapToGrid w:val="0"/>
          <w:color w:val="auto"/>
          <w:sz w:val="32"/>
          <w:szCs w:val="32"/>
          <w:lang w:eastAsia="zh-CN"/>
        </w:rPr>
        <w:t>服务从业人员</w:t>
      </w:r>
      <w:r>
        <w:rPr>
          <w:rFonts w:hint="eastAsia" w:ascii="仿宋_GB2312" w:hAnsi="仿宋_GB2312" w:eastAsia="仿宋_GB2312" w:cs="仿宋_GB2312"/>
          <w:bCs/>
          <w:snapToGrid w:val="0"/>
          <w:color w:val="auto"/>
          <w:sz w:val="32"/>
          <w:szCs w:val="32"/>
        </w:rPr>
        <w:t>的</w:t>
      </w:r>
      <w:r>
        <w:rPr>
          <w:rFonts w:hint="eastAsia" w:ascii="仿宋_GB2312" w:hAnsi="仿宋_GB2312" w:eastAsia="仿宋_GB2312" w:cs="仿宋_GB2312"/>
          <w:bCs/>
          <w:snapToGrid w:val="0"/>
          <w:color w:val="auto"/>
          <w:sz w:val="32"/>
          <w:szCs w:val="32"/>
          <w:lang w:val="en-US" w:eastAsia="zh-CN"/>
        </w:rPr>
        <w:t>教育</w:t>
      </w:r>
      <w:r>
        <w:rPr>
          <w:rFonts w:hint="eastAsia" w:ascii="仿宋_GB2312" w:hAnsi="仿宋_GB2312" w:eastAsia="仿宋_GB2312" w:cs="仿宋_GB2312"/>
          <w:bCs/>
          <w:snapToGrid w:val="0"/>
          <w:color w:val="auto"/>
          <w:sz w:val="32"/>
          <w:szCs w:val="32"/>
        </w:rPr>
        <w:t>培训，切实</w:t>
      </w:r>
      <w:r>
        <w:rPr>
          <w:rFonts w:hint="eastAsia" w:ascii="仿宋_GB2312" w:hAnsi="仿宋_GB2312" w:eastAsia="仿宋_GB2312" w:cs="仿宋_GB2312"/>
          <w:bCs/>
          <w:snapToGrid w:val="0"/>
          <w:color w:val="auto"/>
          <w:sz w:val="32"/>
          <w:szCs w:val="32"/>
          <w:lang w:eastAsia="zh-CN"/>
        </w:rPr>
        <w:t>提高人才</w:t>
      </w:r>
      <w:r>
        <w:rPr>
          <w:rFonts w:hint="eastAsia" w:ascii="仿宋_GB2312" w:hAnsi="仿宋_GB2312" w:eastAsia="仿宋_GB2312" w:cs="仿宋_GB2312"/>
          <w:bCs/>
          <w:snapToGrid w:val="0"/>
          <w:color w:val="auto"/>
          <w:sz w:val="32"/>
          <w:szCs w:val="32"/>
        </w:rPr>
        <w:t>队伍素质</w:t>
      </w:r>
      <w:r>
        <w:rPr>
          <w:rFonts w:hint="eastAsia" w:ascii="仿宋_GB2312" w:hAnsi="仿宋_GB2312" w:eastAsia="仿宋_GB2312" w:cs="仿宋_GB2312"/>
          <w:bCs/>
          <w:snapToGrid w:val="0"/>
          <w:color w:val="auto"/>
          <w:sz w:val="32"/>
          <w:szCs w:val="32"/>
          <w:lang w:eastAsia="zh-CN"/>
        </w:rPr>
        <w:t>。建立</w:t>
      </w:r>
      <w:r>
        <w:rPr>
          <w:rFonts w:hint="eastAsia" w:ascii="仿宋_GB2312" w:hAnsi="仿宋_GB2312" w:eastAsia="仿宋_GB2312" w:cs="仿宋_GB2312"/>
          <w:bCs/>
          <w:snapToGrid w:val="0"/>
          <w:color w:val="auto"/>
          <w:sz w:val="32"/>
          <w:szCs w:val="32"/>
        </w:rPr>
        <w:t>殡葬职业能</w:t>
      </w:r>
      <w:r>
        <w:rPr>
          <w:rFonts w:hint="eastAsia" w:ascii="仿宋_GB2312" w:hAnsi="仿宋_GB2312" w:eastAsia="仿宋_GB2312" w:cs="仿宋_GB2312"/>
          <w:bCs/>
          <w:snapToGrid w:val="0"/>
          <w:color w:val="auto"/>
          <w:sz w:val="32"/>
          <w:szCs w:val="32"/>
          <w:lang w:eastAsia="zh-CN"/>
        </w:rPr>
        <w:t>力水平评价制度，加大对殡葬行业先进典型人物宣传力度，提高殡葬行业职工的荣誉感和社会地位。加强对殡葬行业职工的关心关爱，完善</w:t>
      </w:r>
      <w:r>
        <w:rPr>
          <w:rFonts w:hint="eastAsia" w:ascii="仿宋_GB2312" w:hAnsi="仿宋_GB2312" w:eastAsia="仿宋_GB2312" w:cs="仿宋_GB2312"/>
          <w:bCs/>
          <w:snapToGrid w:val="0"/>
          <w:color w:val="auto"/>
          <w:sz w:val="32"/>
          <w:szCs w:val="32"/>
        </w:rPr>
        <w:t>殡葬行业</w:t>
      </w:r>
      <w:r>
        <w:rPr>
          <w:rFonts w:hint="eastAsia" w:ascii="仿宋_GB2312" w:hAnsi="仿宋_GB2312" w:eastAsia="仿宋_GB2312" w:cs="仿宋_GB2312"/>
          <w:bCs/>
          <w:snapToGrid w:val="0"/>
          <w:color w:val="auto"/>
          <w:sz w:val="32"/>
          <w:szCs w:val="32"/>
          <w:lang w:eastAsia="zh-CN"/>
        </w:rPr>
        <w:t>特殊岗位津贴政策</w:t>
      </w:r>
      <w:r>
        <w:rPr>
          <w:rFonts w:hint="eastAsia" w:ascii="仿宋_GB2312" w:hAnsi="仿宋_GB2312" w:eastAsia="仿宋_GB2312" w:cs="仿宋_GB2312"/>
          <w:bCs/>
          <w:snapToGrid w:val="0"/>
          <w:color w:val="auto"/>
          <w:sz w:val="32"/>
          <w:szCs w:val="32"/>
        </w:rPr>
        <w:t>，</w:t>
      </w:r>
      <w:r>
        <w:rPr>
          <w:rFonts w:hint="eastAsia" w:ascii="仿宋_GB2312" w:hAnsi="仿宋_GB2312" w:eastAsia="仿宋_GB2312" w:cs="仿宋_GB2312"/>
          <w:bCs/>
          <w:snapToGrid w:val="0"/>
          <w:color w:val="auto"/>
          <w:sz w:val="32"/>
          <w:szCs w:val="32"/>
          <w:lang w:eastAsia="zh-CN"/>
        </w:rPr>
        <w:t>建立健全体现殡葬行业特殊岗位价值的薪酬制度。</w:t>
      </w:r>
    </w:p>
    <w:p>
      <w:pPr>
        <w:keepNext w:val="0"/>
        <w:keepLines w:val="0"/>
        <w:pageBreakBefore w:val="0"/>
        <w:numPr>
          <w:ilvl w:val="0"/>
          <w:numId w:val="0"/>
        </w:numPr>
        <w:kinsoku/>
        <w:wordWrap/>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b/>
          <w:bCs w:val="0"/>
          <w:snapToGrid w:val="0"/>
          <w:color w:val="auto"/>
          <w:sz w:val="32"/>
          <w:szCs w:val="32"/>
          <w:highlight w:val="none"/>
        </w:rPr>
      </w:pPr>
      <w:r>
        <w:rPr>
          <w:rFonts w:hint="eastAsia" w:ascii="仿宋_GB2312" w:hAnsi="仿宋_GB2312" w:eastAsia="仿宋_GB2312" w:cs="仿宋_GB2312"/>
          <w:b/>
          <w:bCs w:val="0"/>
          <w:snapToGrid w:val="0"/>
          <w:color w:val="auto"/>
          <w:sz w:val="32"/>
          <w:szCs w:val="32"/>
          <w:highlight w:val="none"/>
          <w:lang w:eastAsia="zh-CN"/>
        </w:rPr>
        <w:t>（</w:t>
      </w:r>
      <w:r>
        <w:rPr>
          <w:rFonts w:hint="eastAsia" w:ascii="仿宋_GB2312" w:hAnsi="仿宋_GB2312" w:eastAsia="仿宋_GB2312" w:cs="仿宋_GB2312"/>
          <w:b/>
          <w:bCs w:val="0"/>
          <w:snapToGrid w:val="0"/>
          <w:color w:val="auto"/>
          <w:sz w:val="32"/>
          <w:szCs w:val="32"/>
          <w:highlight w:val="none"/>
          <w:lang w:val="en-US" w:eastAsia="zh-CN"/>
        </w:rPr>
        <w:t>五</w:t>
      </w:r>
      <w:r>
        <w:rPr>
          <w:rFonts w:hint="eastAsia" w:ascii="仿宋_GB2312" w:hAnsi="仿宋_GB2312" w:eastAsia="仿宋_GB2312" w:cs="仿宋_GB2312"/>
          <w:b/>
          <w:bCs w:val="0"/>
          <w:snapToGrid w:val="0"/>
          <w:color w:val="auto"/>
          <w:sz w:val="32"/>
          <w:szCs w:val="32"/>
          <w:highlight w:val="none"/>
          <w:lang w:eastAsia="zh-CN"/>
        </w:rPr>
        <w:t>）</w:t>
      </w:r>
      <w:r>
        <w:rPr>
          <w:rFonts w:hint="eastAsia" w:ascii="仿宋_GB2312" w:hAnsi="仿宋_GB2312" w:eastAsia="仿宋_GB2312" w:cs="仿宋_GB2312"/>
          <w:b/>
          <w:bCs w:val="0"/>
          <w:snapToGrid w:val="0"/>
          <w:color w:val="auto"/>
          <w:sz w:val="32"/>
          <w:szCs w:val="32"/>
          <w:highlight w:val="none"/>
        </w:rPr>
        <w:t>加强</w:t>
      </w:r>
      <w:r>
        <w:rPr>
          <w:rFonts w:hint="eastAsia" w:ascii="仿宋_GB2312" w:hAnsi="仿宋_GB2312" w:eastAsia="仿宋_GB2312" w:cs="仿宋_GB2312"/>
          <w:b/>
          <w:bCs w:val="0"/>
          <w:snapToGrid w:val="0"/>
          <w:color w:val="auto"/>
          <w:sz w:val="32"/>
          <w:szCs w:val="32"/>
          <w:highlight w:val="none"/>
          <w:lang w:eastAsia="zh-CN"/>
        </w:rPr>
        <w:t>监督</w:t>
      </w:r>
      <w:r>
        <w:rPr>
          <w:rFonts w:hint="eastAsia" w:ascii="仿宋_GB2312" w:hAnsi="仿宋_GB2312" w:eastAsia="仿宋_GB2312" w:cs="仿宋_GB2312"/>
          <w:b/>
          <w:bCs w:val="0"/>
          <w:snapToGrid w:val="0"/>
          <w:color w:val="auto"/>
          <w:sz w:val="32"/>
          <w:szCs w:val="32"/>
          <w:highlight w:val="none"/>
          <w:lang w:val="en-US" w:eastAsia="zh-CN"/>
        </w:rPr>
        <w:t>评估</w:t>
      </w:r>
    </w:p>
    <w:p>
      <w:pPr>
        <w:keepNext w:val="0"/>
        <w:keepLines w:val="0"/>
        <w:pageBreakBefore w:val="0"/>
        <w:kinsoku/>
        <w:wordWrap/>
        <w:autoSpaceDE/>
        <w:autoSpaceDN/>
        <w:bidi w:val="0"/>
        <w:adjustRightInd/>
        <w:snapToGrid/>
        <w:spacing w:line="240" w:lineRule="auto"/>
        <w:ind w:firstLine="640" w:firstLineChars="200"/>
        <w:textAlignment w:val="auto"/>
        <w:rPr>
          <w:rFonts w:hint="eastAsia" w:ascii="仿宋_GB2312" w:hAnsi="仿宋_GB2312" w:eastAsia="仿宋_GB2312" w:cs="仿宋_GB2312"/>
          <w:bCs/>
          <w:snapToGrid w:val="0"/>
          <w:color w:val="auto"/>
          <w:sz w:val="32"/>
          <w:szCs w:val="32"/>
          <w:lang w:val="en-US" w:eastAsia="zh-CN"/>
        </w:rPr>
      </w:pPr>
      <w:r>
        <w:rPr>
          <w:rFonts w:hint="eastAsia" w:ascii="仿宋_GB2312" w:hAnsi="仿宋_GB2312" w:eastAsia="仿宋_GB2312" w:cs="仿宋_GB2312"/>
          <w:bCs/>
          <w:snapToGrid w:val="0"/>
          <w:color w:val="auto"/>
          <w:sz w:val="32"/>
          <w:szCs w:val="32"/>
          <w:lang w:val="en-US" w:eastAsia="zh-CN"/>
        </w:rPr>
        <w:t>落实殡葬管理目标责任制，各</w:t>
      </w:r>
      <w:r>
        <w:rPr>
          <w:rFonts w:hint="eastAsia" w:ascii="仿宋_GB2312" w:hAnsi="仿宋_GB2312" w:eastAsia="仿宋_GB2312" w:cs="仿宋_GB2312"/>
          <w:bCs/>
          <w:snapToGrid w:val="0"/>
          <w:color w:val="auto"/>
          <w:sz w:val="32"/>
          <w:szCs w:val="32"/>
          <w:lang w:eastAsia="zh-CN"/>
        </w:rPr>
        <w:t>县（市、区）</w:t>
      </w:r>
      <w:r>
        <w:rPr>
          <w:rFonts w:hint="eastAsia" w:ascii="仿宋_GB2312" w:hAnsi="仿宋_GB2312" w:eastAsia="仿宋_GB2312" w:cs="仿宋_GB2312"/>
          <w:bCs/>
          <w:snapToGrid w:val="0"/>
          <w:color w:val="auto"/>
          <w:sz w:val="32"/>
          <w:szCs w:val="32"/>
          <w:lang w:val="en-US" w:eastAsia="zh-CN"/>
        </w:rPr>
        <w:t>、各有关部门对本规划实施情况进行阶段性评估或考核。</w:t>
      </w:r>
      <w:r>
        <w:rPr>
          <w:rFonts w:hint="eastAsia" w:ascii="仿宋_GB2312" w:hAnsi="仿宋_GB2312" w:eastAsia="仿宋_GB2312" w:cs="仿宋_GB2312"/>
          <w:bCs/>
          <w:snapToGrid w:val="0"/>
          <w:color w:val="auto"/>
          <w:sz w:val="32"/>
          <w:szCs w:val="32"/>
          <w:lang w:eastAsia="zh-CN"/>
        </w:rPr>
        <w:t>市殡葬管理领导小组会同市纪委监察委、市委组织部等相关部门成立督察组，定期、不定期组织监督检查。</w:t>
      </w:r>
      <w:r>
        <w:rPr>
          <w:rFonts w:hint="eastAsia" w:ascii="仿宋_GB2312" w:hAnsi="仿宋_GB2312" w:eastAsia="仿宋_GB2312" w:cs="仿宋_GB2312"/>
          <w:bCs/>
          <w:snapToGrid w:val="0"/>
          <w:color w:val="auto"/>
          <w:sz w:val="32"/>
          <w:szCs w:val="32"/>
          <w:lang w:val="en-US" w:eastAsia="zh-CN"/>
        </w:rPr>
        <w:t>各</w:t>
      </w:r>
      <w:r>
        <w:rPr>
          <w:rFonts w:hint="eastAsia" w:ascii="仿宋_GB2312" w:hAnsi="仿宋_GB2312" w:eastAsia="仿宋_GB2312" w:cs="仿宋_GB2312"/>
          <w:bCs/>
          <w:snapToGrid w:val="0"/>
          <w:color w:val="auto"/>
          <w:sz w:val="32"/>
          <w:szCs w:val="32"/>
          <w:lang w:eastAsia="zh-CN"/>
        </w:rPr>
        <w:t>县（市、区）</w:t>
      </w:r>
      <w:r>
        <w:rPr>
          <w:rFonts w:hint="eastAsia" w:ascii="仿宋_GB2312" w:hAnsi="仿宋_GB2312" w:eastAsia="仿宋_GB2312" w:cs="仿宋_GB2312"/>
          <w:bCs/>
          <w:snapToGrid w:val="0"/>
          <w:color w:val="auto"/>
          <w:sz w:val="32"/>
          <w:szCs w:val="32"/>
          <w:lang w:val="en-US" w:eastAsia="zh-CN"/>
        </w:rPr>
        <w:t>要对本规划实施情况加强监测并进行阶段性评估，并在2023年和2025年，分别对本规划的执行情况进行中期评估和终期评估，</w:t>
      </w:r>
      <w:r>
        <w:rPr>
          <w:rFonts w:hint="eastAsia" w:ascii="仿宋_GB2312" w:hAnsi="仿宋_GB2312" w:eastAsia="仿宋_GB2312" w:cs="仿宋_GB2312"/>
          <w:bCs/>
          <w:snapToGrid w:val="0"/>
          <w:color w:val="auto"/>
          <w:sz w:val="32"/>
          <w:szCs w:val="32"/>
          <w:lang w:eastAsia="zh-CN"/>
        </w:rPr>
        <w:t>各县（市、区）将实施本规划评估情况以书面形式报送市民政局。</w:t>
      </w:r>
      <w:r>
        <w:rPr>
          <w:rFonts w:hint="eastAsia" w:ascii="仿宋_GB2312" w:hAnsi="仿宋_GB2312" w:eastAsia="仿宋_GB2312" w:cs="仿宋_GB2312"/>
          <w:bCs/>
          <w:snapToGrid w:val="0"/>
          <w:color w:val="auto"/>
          <w:sz w:val="32"/>
          <w:szCs w:val="32"/>
          <w:lang w:val="en-US" w:eastAsia="zh-CN"/>
        </w:rPr>
        <w:t>市民政局将牵头组织对各</w:t>
      </w:r>
      <w:r>
        <w:rPr>
          <w:rFonts w:hint="eastAsia" w:ascii="仿宋_GB2312" w:hAnsi="仿宋_GB2312" w:eastAsia="仿宋_GB2312" w:cs="仿宋_GB2312"/>
          <w:bCs/>
          <w:snapToGrid w:val="0"/>
          <w:color w:val="auto"/>
          <w:sz w:val="32"/>
          <w:szCs w:val="32"/>
          <w:lang w:eastAsia="zh-CN"/>
        </w:rPr>
        <w:t>县（市、区）</w:t>
      </w:r>
      <w:r>
        <w:rPr>
          <w:rFonts w:hint="eastAsia" w:ascii="仿宋_GB2312" w:hAnsi="仿宋_GB2312" w:eastAsia="仿宋_GB2312" w:cs="仿宋_GB2312"/>
          <w:bCs/>
          <w:snapToGrid w:val="0"/>
          <w:color w:val="auto"/>
          <w:sz w:val="32"/>
          <w:szCs w:val="32"/>
          <w:lang w:val="en-US" w:eastAsia="zh-CN"/>
        </w:rPr>
        <w:t>实施本规划情况进行中期、终期评估。</w:t>
      </w:r>
    </w:p>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6"/>
        <w:snapToGrid w:val="0"/>
        <w:rPr>
          <w:rFonts w:hint="eastAsia" w:eastAsia="宋体"/>
          <w:lang w:eastAsia="zh-CN"/>
        </w:rPr>
      </w:pPr>
      <w:r>
        <w:rPr>
          <w:rStyle w:val="8"/>
        </w:rPr>
        <w:footnoteRef/>
      </w:r>
      <w:r>
        <w:t xml:space="preserve"> </w:t>
      </w:r>
      <w:r>
        <w:rPr>
          <w:rFonts w:hint="eastAsia"/>
          <w:lang w:eastAsia="zh-CN"/>
        </w:rPr>
        <w:t>“三道两区”指</w:t>
      </w:r>
      <w:r>
        <w:rPr>
          <w:rFonts w:hint="eastAsia"/>
        </w:rPr>
        <w:t>铁道、国道、省道</w:t>
      </w:r>
      <w:r>
        <w:rPr>
          <w:rFonts w:hint="eastAsia"/>
          <w:lang w:eastAsia="zh-CN"/>
        </w:rPr>
        <w:t>公路两侧及城市周边区域、风景名胜区。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503550"/>
    <w:rsid w:val="0DAE3F68"/>
    <w:rsid w:val="17A0333B"/>
    <w:rsid w:val="37173511"/>
    <w:rsid w:val="74664F10"/>
    <w:rsid w:val="7A503550"/>
    <w:rsid w:val="7C18340C"/>
    <w:rsid w:val="7F924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cs="Times New Roman"/>
      <w:sz w:val="32"/>
      <w:szCs w:val="24"/>
    </w:rPr>
  </w:style>
  <w:style w:type="paragraph" w:styleId="3">
    <w:name w:val="Body Text Indent"/>
    <w:basedOn w:val="1"/>
    <w:qFormat/>
    <w:uiPriority w:val="0"/>
    <w:pPr>
      <w:spacing w:after="120"/>
      <w:ind w:left="420" w:leftChars="200"/>
    </w:pPr>
    <w:rPr>
      <w:rFonts w:ascii="Times New Roman" w:hAnsi="Times New Roman" w:eastAsia="宋体" w:cs="Times New Roman"/>
      <w:sz w:val="30"/>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snapToGrid w:val="0"/>
      <w:jc w:val="left"/>
    </w:pPr>
    <w:rPr>
      <w:sz w:val="18"/>
    </w:rPr>
  </w:style>
  <w:style w:type="character" w:styleId="8">
    <w:name w:val="footnote reference"/>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2021-10-26T08:32:00Z</dcterms:created>
  <dc:creator>bow</dc:creator>
  <cp:lastModifiedBy>admin</cp:lastModifiedBy>
  <cp:lastPrinted>2021-12-22T06:50:32Z</cp:lastPrinted>
  <dcterms:modified xsi:type="dcterms:W3CDTF">2021-12-22T07:11:32Z</dcterms:modified>
  <dc:title>云浮市民政局关于征求《云浮市殡葬事业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E857CE5EBE4D482B9FCE1F18FC7EA824</vt:lpwstr>
  </property>
</Properties>
</file>