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Times New Roman" w:eastAsia="方正小标宋简体" w:cs="方正小标宋简体"/>
          <w:kern w:val="0"/>
          <w:sz w:val="44"/>
          <w:szCs w:val="44"/>
          <w:lang w:val="zh-CN" w:eastAsia="zh-CN" w:bidi="ar-SA"/>
        </w:rPr>
      </w:pPr>
      <w:r>
        <w:rPr>
          <w:rFonts w:hint="eastAsia" w:ascii="方正小标宋简体" w:hAnsi="Times New Roman" w:eastAsia="方正小标宋简体" w:cs="方正小标宋简体"/>
          <w:kern w:val="0"/>
          <w:sz w:val="44"/>
          <w:szCs w:val="44"/>
          <w:lang w:val="zh-CN" w:eastAsia="zh-CN" w:bidi="ar-SA"/>
        </w:rPr>
        <w:t>云浮市支持中小微企业融资专项资金</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Times New Roman" w:eastAsia="方正小标宋简体" w:cs="方正小标宋简体"/>
          <w:kern w:val="0"/>
          <w:sz w:val="44"/>
          <w:szCs w:val="44"/>
          <w:lang w:val="zh-CN" w:eastAsia="zh-CN" w:bidi="ar-SA"/>
        </w:rPr>
      </w:pPr>
      <w:r>
        <w:rPr>
          <w:rFonts w:hint="eastAsia" w:ascii="方正小标宋简体" w:hAnsi="Times New Roman" w:eastAsia="方正小标宋简体" w:cs="方正小标宋简体"/>
          <w:kern w:val="0"/>
          <w:sz w:val="44"/>
          <w:szCs w:val="44"/>
          <w:lang w:val="zh-CN" w:eastAsia="zh-CN" w:bidi="ar-SA"/>
        </w:rPr>
        <w:t>管理办法实施细则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outlineLvl w:val="9"/>
        <w:rPr>
          <w:rFonts w:hint="eastAsia" w:asciiTheme="majorEastAsia" w:hAnsiTheme="majorEastAsia" w:eastAsiaTheme="majorEastAsia" w:cstheme="majorEastAsia"/>
          <w:b/>
          <w:bCs/>
          <w:sz w:val="40"/>
          <w:szCs w:val="40"/>
        </w:rPr>
      </w:pPr>
      <w:r>
        <w:rPr>
          <w:rFonts w:hint="eastAsia" w:ascii="Calibri" w:hAnsi="Calibri" w:eastAsia="方正小标宋简体" w:cs="Calibri"/>
          <w:kern w:val="0"/>
          <w:sz w:val="32"/>
          <w:szCs w:val="32"/>
          <w:lang w:val="en-US" w:eastAsia="zh-CN"/>
        </w:rPr>
        <w:t>（修订稿）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outlineLvl w:val="9"/>
        <w:rPr>
          <w:rFonts w:hint="eastAsia" w:ascii="仿宋_GB2312"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b/>
          <w:bCs/>
          <w:sz w:val="32"/>
          <w:szCs w:val="32"/>
          <w:lang w:eastAsia="zh-CN"/>
        </w:rPr>
        <w:t>第一条</w:t>
      </w:r>
      <w:r>
        <w:rPr>
          <w:rFonts w:hint="eastAsia" w:ascii="仿宋_GB2312" w:hAnsi="Times New Roman" w:eastAsia="仿宋_GB2312" w:cs="Times New Roman"/>
          <w:b/>
          <w:bCs/>
          <w:sz w:val="32"/>
          <w:szCs w:val="32"/>
          <w:lang w:val="en-US" w:eastAsia="zh-CN"/>
        </w:rPr>
        <w:t xml:space="preserve"> </w:t>
      </w:r>
      <w:r>
        <w:rPr>
          <w:rFonts w:hint="eastAsia" w:ascii="仿宋_GB2312" w:hAnsi="Times New Roman" w:eastAsia="仿宋_GB2312" w:cs="Times New Roman"/>
          <w:sz w:val="32"/>
          <w:szCs w:val="32"/>
        </w:rPr>
        <w:t>为贯彻落实《云浮市支持中小微企业融资专项资金管理办法》（云府办〔2020〕8号）精神，明确云浮市支持中小微企业融资专项资金参与各方的权利、义务，加强资金管理，保障资金安全，制定本实施细则。</w:t>
      </w:r>
    </w:p>
    <w:p>
      <w:pPr>
        <w:numPr>
          <w:ilvl w:val="0"/>
          <w:numId w:val="0"/>
        </w:numPr>
        <w:spacing w:line="600" w:lineRule="exact"/>
        <w:ind w:firstLine="643"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b/>
          <w:bCs/>
          <w:sz w:val="32"/>
          <w:szCs w:val="32"/>
        </w:rPr>
        <w:t>第二条</w:t>
      </w:r>
      <w:r>
        <w:rPr>
          <w:rFonts w:hint="eastAsia" w:ascii="仿宋_GB2312" w:hAnsi="Times New Roman" w:eastAsia="仿宋_GB2312" w:cs="Times New Roman"/>
          <w:sz w:val="32"/>
          <w:szCs w:val="32"/>
        </w:rPr>
        <w:t xml:space="preserve"> 本实施细则所称云浮市支持中小微企业融资专项资金（下称“融资专项资金”）是指为符合银行信贷条件的中小微企业或者个人</w:t>
      </w:r>
      <w:r>
        <w:rPr>
          <w:rFonts w:hint="eastAsia" w:ascii="仿宋_GB2312" w:hAnsi="Times New Roman" w:eastAsia="仿宋_GB2312" w:cs="Times New Roman"/>
          <w:sz w:val="32"/>
          <w:szCs w:val="32"/>
          <w:lang w:eastAsia="zh-CN"/>
        </w:rPr>
        <w:t>转贷</w:t>
      </w:r>
      <w:r>
        <w:rPr>
          <w:rFonts w:hint="eastAsia" w:ascii="仿宋_GB2312" w:hAnsi="Times New Roman" w:eastAsia="仿宋_GB2312" w:cs="Times New Roman"/>
          <w:sz w:val="32"/>
          <w:szCs w:val="32"/>
        </w:rPr>
        <w:t>、续贷提供短期周转的政策性资金。</w:t>
      </w:r>
    </w:p>
    <w:p>
      <w:pPr>
        <w:numPr>
          <w:ilvl w:val="0"/>
          <w:numId w:val="0"/>
        </w:numPr>
        <w:spacing w:line="600" w:lineRule="exact"/>
        <w:ind w:firstLine="643"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b/>
          <w:bCs/>
          <w:sz w:val="32"/>
          <w:szCs w:val="32"/>
        </w:rPr>
        <w:t>第三条</w:t>
      </w:r>
      <w:r>
        <w:rPr>
          <w:rFonts w:hint="eastAsia" w:ascii="仿宋_GB2312" w:hAnsi="Times New Roman" w:eastAsia="仿宋_GB2312" w:cs="Times New Roman"/>
          <w:sz w:val="32"/>
          <w:szCs w:val="32"/>
        </w:rPr>
        <w:t xml:space="preserve"> 本实施细则所称合作银行是指愿意为使用融资专项资金的企业或者个人提供转贷、续贷服务的合作银行机构。 </w:t>
      </w:r>
    </w:p>
    <w:p>
      <w:pPr>
        <w:numPr>
          <w:ilvl w:val="0"/>
          <w:numId w:val="0"/>
        </w:numPr>
        <w:spacing w:line="600" w:lineRule="exact"/>
        <w:ind w:firstLine="640" w:firstLineChars="200"/>
        <w:rPr>
          <w:rFonts w:hint="eastAsia" w:ascii="仿宋_GB2312" w:hAnsi="Times New Roman" w:eastAsia="仿宋_GB2312" w:cs="Times New Roman"/>
          <w:sz w:val="32"/>
          <w:szCs w:val="32"/>
        </w:rPr>
      </w:pPr>
    </w:p>
    <w:p>
      <w:pPr>
        <w:spacing w:line="600" w:lineRule="exact"/>
        <w:jc w:val="center"/>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二</w:t>
      </w:r>
      <w:r>
        <w:rPr>
          <w:rFonts w:hint="eastAsia" w:ascii="黑体" w:hAnsi="黑体" w:eastAsia="黑体" w:cs="黑体"/>
          <w:sz w:val="32"/>
          <w:szCs w:val="32"/>
        </w:rPr>
        <w:t>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机构与职责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Times New Roman" w:eastAsia="仿宋_GB2312"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b/>
          <w:bCs/>
          <w:sz w:val="32"/>
          <w:szCs w:val="32"/>
          <w:lang w:eastAsia="zh-CN"/>
        </w:rPr>
        <w:t>第四条</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成立市支持企业融资专项资金管理委员会（下称“市融资专项资金管委会</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），成员包括</w:t>
      </w:r>
      <w:r>
        <w:rPr>
          <w:rFonts w:hint="eastAsia" w:ascii="仿宋_GB2312" w:hAnsi="Times New Roman" w:eastAsia="仿宋_GB2312" w:cs="Times New Roman"/>
          <w:sz w:val="32"/>
          <w:szCs w:val="32"/>
          <w:lang w:eastAsia="zh-CN"/>
        </w:rPr>
        <w:t>市政府办公室</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中国人民银行云浮市分行</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云浮金融监管分局</w:t>
      </w:r>
      <w:r>
        <w:rPr>
          <w:rFonts w:hint="eastAsia" w:ascii="仿宋_GB2312" w:hAnsi="Times New Roman" w:eastAsia="仿宋_GB2312" w:cs="Times New Roman"/>
          <w:sz w:val="32"/>
          <w:szCs w:val="32"/>
        </w:rPr>
        <w:t>、市工信局、市财政局</w:t>
      </w:r>
      <w:r>
        <w:rPr>
          <w:rFonts w:hint="eastAsia" w:ascii="仿宋_GB2312" w:hAnsi="Times New Roman" w:eastAsia="仿宋_GB2312" w:cs="Times New Roman"/>
          <w:sz w:val="32"/>
          <w:szCs w:val="32"/>
          <w:lang w:eastAsia="zh-CN"/>
        </w:rPr>
        <w:t>、市国资委</w:t>
      </w:r>
      <w:r>
        <w:rPr>
          <w:rFonts w:hint="eastAsia" w:ascii="仿宋_GB2312" w:hAnsi="Times New Roman" w:eastAsia="仿宋_GB2312" w:cs="Times New Roman"/>
          <w:sz w:val="32"/>
          <w:szCs w:val="32"/>
        </w:rPr>
        <w:t>等单位，负责筹集和管理融资专项资金、指导和监督融资专项资金运作、协调解决运行中的重大问题等工作。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b/>
          <w:bCs/>
          <w:sz w:val="32"/>
          <w:szCs w:val="32"/>
        </w:rPr>
        <w:t>第五条</w:t>
      </w:r>
      <w:r>
        <w:rPr>
          <w:rFonts w:hint="eastAsia" w:ascii="仿宋_GB2312" w:hAnsi="Times New Roman" w:eastAsia="仿宋_GB2312" w:cs="Times New Roman"/>
          <w:sz w:val="32"/>
          <w:szCs w:val="32"/>
        </w:rPr>
        <w:t xml:space="preserve"> 市融资专项资金管委会下设办公室（设在</w:t>
      </w:r>
      <w:r>
        <w:rPr>
          <w:rFonts w:hint="eastAsia" w:ascii="仿宋_GB2312" w:hAnsi="Times New Roman" w:eastAsia="仿宋_GB2312" w:cs="Times New Roman"/>
          <w:sz w:val="32"/>
          <w:szCs w:val="32"/>
          <w:lang w:eastAsia="zh-CN"/>
        </w:rPr>
        <w:t>市政府办公室</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具体由金融协调科</w:t>
      </w:r>
      <w:r>
        <w:rPr>
          <w:rFonts w:hint="eastAsia" w:ascii="仿宋_GB2312" w:hAnsi="Times New Roman" w:eastAsia="仿宋_GB2312" w:cs="Times New Roman"/>
          <w:sz w:val="32"/>
          <w:szCs w:val="32"/>
        </w:rPr>
        <w:t>负责日常工作，按照“规范运作、严控风险”原则，对融资专项资金进行不定期检查和督导。</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b/>
          <w:bCs/>
          <w:sz w:val="32"/>
          <w:szCs w:val="32"/>
        </w:rPr>
        <w:t>第六条</w:t>
      </w:r>
      <w:r>
        <w:rPr>
          <w:rFonts w:hint="eastAsia" w:ascii="仿宋_GB2312" w:hAnsi="Times New Roman" w:eastAsia="仿宋_GB2312" w:cs="Times New Roman"/>
          <w:sz w:val="32"/>
          <w:szCs w:val="32"/>
        </w:rPr>
        <w:t xml:space="preserve"> 市融资专项资金管委会办公室下设资金管理平台和风险管理平台。资金管理平台负责开立融资专项资金专款账户、资金划拨与跟踪、定期报送融资专项资金使用和运行情况等；风险管理平台负责为资金申请人提供担保、控制运营风险、制定配套业务制度和流程、审查相关法律合同文件。防范和控制风险、对逾期不能归还的融资专项资金，详细分析原因并提出追偿方案，落实追偿措施，及时报告市融资专项资金管委会</w:t>
      </w:r>
      <w:r>
        <w:rPr>
          <w:rFonts w:hint="eastAsia" w:ascii="仿宋_GB2312" w:hAnsi="Times New Roman" w:eastAsia="仿宋_GB2312" w:cs="Times New Roman"/>
          <w:sz w:val="32"/>
          <w:szCs w:val="32"/>
          <w:lang w:eastAsia="zh-CN"/>
        </w:rPr>
        <w:t>办公室</w:t>
      </w:r>
      <w:r>
        <w:rPr>
          <w:rFonts w:hint="eastAsia" w:ascii="仿宋_GB2312" w:hAnsi="Times New Roman" w:eastAsia="仿宋_GB2312" w:cs="Times New Roman"/>
          <w:sz w:val="32"/>
          <w:szCs w:val="32"/>
        </w:rPr>
        <w:t>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b/>
          <w:bCs/>
          <w:sz w:val="32"/>
          <w:szCs w:val="32"/>
          <w:lang w:eastAsia="zh-CN"/>
        </w:rPr>
        <w:t>第七条</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市融资专项资金管委会依法委托第三方作为运营主体负责管理资金管理平台，包括出资开立运营主体名下的专项资金专款账户；与相关合作银行签订合作协议；与申请使用融资专项资金的企业或者个人签订相应的资金使用合同；与负责管理风险管理平台的运营主体签订担保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b/>
          <w:bCs/>
          <w:sz w:val="32"/>
          <w:szCs w:val="32"/>
          <w:lang w:eastAsia="zh-CN"/>
        </w:rPr>
        <w:t>第八条</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合作银行负责完善内部控制和风险管理制度，确保融资专项资金安全、完善内部业务流程，切实提升融资专项资金周转效率、加大对融资专项资金推广力度等。</w:t>
      </w:r>
    </w:p>
    <w:p>
      <w:pPr>
        <w:numPr>
          <w:ilvl w:val="0"/>
          <w:numId w:val="0"/>
        </w:numPr>
        <w:spacing w:line="600" w:lineRule="exact"/>
        <w:ind w:leftChars="0"/>
        <w:rPr>
          <w:rFonts w:hint="eastAsia" w:ascii="仿宋_GB2312" w:hAnsi="Times New Roman" w:eastAsia="仿宋_GB2312" w:cs="Times New Roman"/>
          <w:sz w:val="32"/>
          <w:szCs w:val="32"/>
        </w:rPr>
      </w:pPr>
    </w:p>
    <w:p>
      <w:pPr>
        <w:spacing w:line="600" w:lineRule="exact"/>
        <w:jc w:val="center"/>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w:t>
      </w:r>
      <w:r>
        <w:rPr>
          <w:rFonts w:hint="eastAsia" w:ascii="黑体" w:hAnsi="黑体" w:eastAsia="黑体" w:cs="黑体"/>
          <w:sz w:val="32"/>
          <w:szCs w:val="32"/>
        </w:rPr>
        <w:t>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运营主体确定</w:t>
      </w:r>
    </w:p>
    <w:p>
      <w:pPr>
        <w:numPr>
          <w:ilvl w:val="0"/>
          <w:numId w:val="0"/>
        </w:numPr>
        <w:spacing w:line="600" w:lineRule="exact"/>
        <w:rPr>
          <w:rFonts w:hint="eastAsia" w:ascii="仿宋_GB2312" w:hAnsi="Times New Roman" w:eastAsia="仿宋_GB2312"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b/>
          <w:bCs/>
          <w:sz w:val="32"/>
          <w:szCs w:val="32"/>
          <w:lang w:eastAsia="zh-CN"/>
        </w:rPr>
        <w:t>第九条</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资金管理平台运营主体应当符合以下基本条件：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一</w:t>
      </w:r>
      <w:r>
        <w:rPr>
          <w:rFonts w:hint="eastAsia" w:ascii="仿宋_GB2312" w:hAnsi="Times New Roman" w:eastAsia="仿宋_GB2312" w:cs="Times New Roman"/>
          <w:sz w:val="32"/>
          <w:szCs w:val="32"/>
        </w:rPr>
        <w:t>）注册地在广东省云浮市且为市属全资国有企业；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二</w:t>
      </w:r>
      <w:r>
        <w:rPr>
          <w:rFonts w:hint="eastAsia" w:ascii="仿宋_GB2312" w:hAnsi="Times New Roman" w:eastAsia="仿宋_GB2312" w:cs="Times New Roman"/>
          <w:sz w:val="32"/>
          <w:szCs w:val="32"/>
        </w:rPr>
        <w:t>）注册资本不低</w:t>
      </w:r>
      <w:r>
        <w:rPr>
          <w:rFonts w:hint="eastAsia" w:ascii="仿宋_GB2312" w:hAnsi="Times New Roman" w:eastAsia="仿宋_GB2312" w:cs="Times New Roman"/>
          <w:sz w:val="32"/>
          <w:szCs w:val="32"/>
          <w:lang w:eastAsia="zh-CN"/>
        </w:rPr>
        <w:t>于</w:t>
      </w:r>
      <w:r>
        <w:rPr>
          <w:rFonts w:hint="eastAsia" w:ascii="仿宋_GB2312" w:hAnsi="Times New Roman" w:eastAsia="仿宋_GB2312" w:cs="Times New Roman"/>
          <w:sz w:val="32"/>
          <w:szCs w:val="32"/>
        </w:rPr>
        <w:t>5000万元；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（三）业务经营范围包括公用事业基础设施及支柱产业等重大项目投资、以自有资金股权投资、受托管理政府财政性资（基）金等。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b/>
          <w:bCs/>
          <w:sz w:val="32"/>
          <w:szCs w:val="32"/>
          <w:lang w:eastAsia="zh-CN"/>
        </w:rPr>
        <w:t>第十条</w:t>
      </w:r>
      <w:r>
        <w:rPr>
          <w:rFonts w:hint="eastAsia" w:ascii="仿宋_GB2312" w:hAnsi="Times New Roman" w:eastAsia="仿宋_GB2312" w:cs="Times New Roman"/>
          <w:b/>
          <w:bCs/>
          <w:sz w:val="32"/>
          <w:szCs w:val="32"/>
          <w:lang w:val="en-US" w:eastAsia="zh-CN"/>
        </w:rPr>
        <w:t xml:space="preserve"> </w:t>
      </w:r>
      <w:r>
        <w:rPr>
          <w:rFonts w:hint="eastAsia" w:ascii="仿宋_GB2312" w:hAnsi="Times New Roman" w:eastAsia="仿宋_GB2312" w:cs="Times New Roman"/>
          <w:sz w:val="32"/>
          <w:szCs w:val="32"/>
        </w:rPr>
        <w:t>资金管理平台运营主体的确定按以下程序进行：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（一）市融资专项资金管委会办公室推荐一家符合条件的企业负责管理资金管理平台，并征求市融资专项资金管委会成员单位意见后，由市融资专项资金管委会审议；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（二）市融资专项资金管委会审议通过后，委托该企业负责管理资金管理平台。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b/>
          <w:bCs/>
          <w:sz w:val="32"/>
          <w:szCs w:val="32"/>
          <w:lang w:eastAsia="zh-CN"/>
        </w:rPr>
        <w:t>第十一条</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风险管理平台运营主体应当符合以下基本条件：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（一）注册地在广东省云浮市；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（二）依法设立、经营融资担保业务的政府性担保公司。开展业务应当遵守法律法规，审慎经营，诚实守信，不得损害国家利益、社会公共利益和他人合法权益；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（三）注册资本不低于10000万元，且为实缴货币资本；</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（四）股东信誉良好，</w:t>
      </w:r>
      <w:r>
        <w:rPr>
          <w:rFonts w:hint="eastAsia" w:ascii="仿宋_GB2312" w:hAnsi="Times New Roman" w:eastAsia="仿宋_GB2312" w:cs="Times New Roman"/>
          <w:sz w:val="32"/>
          <w:szCs w:val="32"/>
          <w:lang w:eastAsia="zh-CN"/>
        </w:rPr>
        <w:t>最近</w:t>
      </w:r>
      <w:r>
        <w:rPr>
          <w:rFonts w:hint="eastAsia" w:ascii="仿宋_GB2312" w:hAnsi="Times New Roman" w:eastAsia="仿宋_GB2312" w:cs="Times New Roman"/>
          <w:sz w:val="32"/>
          <w:szCs w:val="32"/>
        </w:rPr>
        <w:t>3年无重大违法违规记录；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（五）董事、监事、高级管理人员熟悉与融资担保业务相关的法律法规，具有履行职责所需的从业经验和管理能力。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b/>
          <w:bCs/>
          <w:sz w:val="32"/>
          <w:szCs w:val="32"/>
          <w:lang w:eastAsia="zh-CN"/>
        </w:rPr>
        <w:t>第十二条</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风险管理平台运营主体的确定按以下程序进行：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（一）市融资专项资金管委会办公室发布公开选取风险管理平台运营主体的公告，并及时收集报名公司的信息；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二</w:t>
      </w:r>
      <w:r>
        <w:rPr>
          <w:rFonts w:hint="eastAsia" w:ascii="仿宋_GB2312" w:hAnsi="Times New Roman" w:eastAsia="仿宋_GB2312" w:cs="Times New Roman"/>
          <w:sz w:val="32"/>
          <w:szCs w:val="32"/>
        </w:rPr>
        <w:t>）市融资专项资金管委会办公室对所有报名的公司进行资格审查，并通知入围的公司参加评选；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三</w:t>
      </w:r>
      <w:r>
        <w:rPr>
          <w:rFonts w:hint="eastAsia" w:ascii="仿宋_GB2312" w:hAnsi="Times New Roman" w:eastAsia="仿宋_GB2312" w:cs="Times New Roman"/>
          <w:sz w:val="32"/>
          <w:szCs w:val="32"/>
        </w:rPr>
        <w:t>）市融资专项资金管委会对所有入围的公司进行公平、公正的评选，择优选取并委托一家公司负责管理风险管理平台。</w:t>
      </w:r>
    </w:p>
    <w:p>
      <w:pPr>
        <w:numPr>
          <w:ilvl w:val="0"/>
          <w:numId w:val="0"/>
        </w:numPr>
        <w:spacing w:line="600" w:lineRule="exact"/>
        <w:ind w:leftChars="0"/>
        <w:rPr>
          <w:rFonts w:hint="eastAsia" w:ascii="仿宋_GB2312" w:hAnsi="Times New Roman" w:eastAsia="仿宋_GB2312" w:cs="Times New Roman"/>
          <w:sz w:val="32"/>
          <w:szCs w:val="32"/>
        </w:rPr>
      </w:pPr>
    </w:p>
    <w:p>
      <w:pPr>
        <w:spacing w:line="600" w:lineRule="exact"/>
        <w:jc w:val="center"/>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四</w:t>
      </w:r>
      <w:r>
        <w:rPr>
          <w:rFonts w:hint="eastAsia" w:ascii="黑体" w:hAnsi="黑体" w:eastAsia="黑体" w:cs="黑体"/>
          <w:sz w:val="32"/>
          <w:szCs w:val="32"/>
        </w:rPr>
        <w:t>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资金安排</w:t>
      </w:r>
    </w:p>
    <w:p>
      <w:pPr>
        <w:widowControl w:val="0"/>
        <w:numPr>
          <w:ilvl w:val="0"/>
          <w:numId w:val="0"/>
        </w:numPr>
        <w:spacing w:line="600" w:lineRule="exact"/>
        <w:jc w:val="both"/>
        <w:rPr>
          <w:rFonts w:hint="eastAsia" w:ascii="仿宋_GB2312" w:hAnsi="Times New Roman" w:eastAsia="仿宋_GB2312"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b/>
          <w:bCs/>
          <w:sz w:val="32"/>
          <w:szCs w:val="32"/>
        </w:rPr>
        <w:t>第十三条</w:t>
      </w:r>
      <w:r>
        <w:rPr>
          <w:rFonts w:hint="eastAsia" w:ascii="仿宋_GB2312" w:hAnsi="Times New Roman" w:eastAsia="仿宋_GB2312" w:cs="Times New Roman"/>
          <w:sz w:val="32"/>
          <w:szCs w:val="32"/>
        </w:rPr>
        <w:t xml:space="preserve"> 融资专项资金总规模10000万元，分为基础专项资金和临时专项资金。其中基础专项资金200</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万元，由资金管理平台受托运营主体使用自有资金出资设立；临时专项资金是在基础专项资金不足的情况下，由资金管理平台向其他市属国有企业或者风险管理平台临时筹集。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b/>
          <w:bCs/>
          <w:sz w:val="32"/>
          <w:szCs w:val="32"/>
        </w:rPr>
        <w:t>第十四条</w:t>
      </w:r>
      <w:r>
        <w:rPr>
          <w:rFonts w:hint="eastAsia" w:ascii="仿宋_GB2312" w:hAnsi="Times New Roman" w:eastAsia="仿宋_GB2312" w:cs="Times New Roman"/>
          <w:sz w:val="32"/>
          <w:szCs w:val="32"/>
        </w:rPr>
        <w:t xml:space="preserve"> 融资专项资金应当遵循“安全第一、专项专用、封闭运作、循环高效”的原则进行管理和使用。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仿宋_GB2312" w:hAnsi="Times New Roman" w:eastAsia="仿宋_GB2312" w:cs="Times New Roman"/>
          <w:sz w:val="32"/>
          <w:szCs w:val="32"/>
        </w:rPr>
      </w:pPr>
    </w:p>
    <w:p>
      <w:pPr>
        <w:spacing w:line="600" w:lineRule="exact"/>
        <w:jc w:val="center"/>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五</w:t>
      </w:r>
      <w:r>
        <w:rPr>
          <w:rFonts w:hint="eastAsia" w:ascii="黑体" w:hAnsi="黑体" w:eastAsia="黑体" w:cs="黑体"/>
          <w:sz w:val="32"/>
          <w:szCs w:val="32"/>
        </w:rPr>
        <w:t>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资金管理</w:t>
      </w:r>
    </w:p>
    <w:p>
      <w:pPr>
        <w:numPr>
          <w:ilvl w:val="0"/>
          <w:numId w:val="0"/>
        </w:numPr>
        <w:spacing w:line="600" w:lineRule="exact"/>
        <w:ind w:leftChars="0"/>
        <w:rPr>
          <w:rFonts w:hint="eastAsia" w:ascii="仿宋_GB2312" w:hAnsi="Times New Roman" w:eastAsia="仿宋_GB2312"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b/>
          <w:bCs/>
          <w:sz w:val="32"/>
          <w:szCs w:val="32"/>
        </w:rPr>
        <w:t>第十</w:t>
      </w:r>
      <w:r>
        <w:rPr>
          <w:rFonts w:hint="eastAsia" w:ascii="仿宋_GB2312" w:hAnsi="Times New Roman" w:eastAsia="仿宋_GB2312" w:cs="Times New Roman"/>
          <w:b/>
          <w:bCs/>
          <w:sz w:val="32"/>
          <w:szCs w:val="32"/>
          <w:lang w:eastAsia="zh-CN"/>
        </w:rPr>
        <w:t>五</w:t>
      </w:r>
      <w:r>
        <w:rPr>
          <w:rFonts w:hint="eastAsia" w:ascii="仿宋_GB2312" w:hAnsi="Times New Roman" w:eastAsia="仿宋_GB2312" w:cs="Times New Roman"/>
          <w:b/>
          <w:bCs/>
          <w:sz w:val="32"/>
          <w:szCs w:val="32"/>
        </w:rPr>
        <w:t>条</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单笔融资专项资金使用额度应控制在合作银行承诺</w:t>
      </w:r>
      <w:r>
        <w:rPr>
          <w:rFonts w:hint="eastAsia" w:ascii="仿宋_GB2312" w:hAnsi="Times New Roman" w:eastAsia="仿宋_GB2312" w:cs="Times New Roman"/>
          <w:sz w:val="32"/>
          <w:szCs w:val="32"/>
          <w:lang w:eastAsia="zh-CN"/>
        </w:rPr>
        <w:t>转贷或</w:t>
      </w:r>
      <w:r>
        <w:rPr>
          <w:rFonts w:hint="eastAsia" w:ascii="仿宋_GB2312" w:hAnsi="Times New Roman" w:eastAsia="仿宋_GB2312" w:cs="Times New Roman"/>
          <w:sz w:val="32"/>
          <w:szCs w:val="32"/>
        </w:rPr>
        <w:t>续贷额度以内。单笔资金使用时间原则上不超过</w:t>
      </w:r>
      <w:r>
        <w:rPr>
          <w:rFonts w:hint="eastAsia" w:ascii="仿宋_GB2312" w:hAnsi="Times New Roman" w:eastAsia="仿宋_GB2312" w:cs="Times New Roman"/>
          <w:sz w:val="32"/>
          <w:szCs w:val="32"/>
          <w:lang w:val="en-US" w:eastAsia="zh-CN"/>
        </w:rPr>
        <w:t>21</w:t>
      </w:r>
      <w:r>
        <w:rPr>
          <w:rFonts w:hint="eastAsia" w:ascii="仿宋_GB2312" w:hAnsi="Times New Roman" w:eastAsia="仿宋_GB2312" w:cs="Times New Roman"/>
          <w:sz w:val="32"/>
          <w:szCs w:val="32"/>
        </w:rPr>
        <w:t>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风险管理平台向资金管理平台出具的担保函，保证期间最长不超过6个月。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b/>
          <w:bCs/>
          <w:sz w:val="32"/>
          <w:szCs w:val="32"/>
        </w:rPr>
        <w:t>第十六条</w:t>
      </w:r>
      <w:r>
        <w:rPr>
          <w:rFonts w:hint="eastAsia" w:ascii="仿宋_GB2312" w:hAnsi="Times New Roman" w:eastAsia="仿宋_GB2312" w:cs="Times New Roman"/>
          <w:sz w:val="32"/>
          <w:szCs w:val="32"/>
        </w:rPr>
        <w:t xml:space="preserve"> 融资专项资金不以盈利为目的，但为充分提高融资专项资金的运转效率和保持资金持续运营，资金管理平台运营主体可以根据企业、个人使用时间，按照每自然日0.15‰的费率收取资金使用费。风险管理平台运营主体按照使用时间段收取担保费，具体为：使用7天内的，收取不超过0.6%的担保费；使用超过7天的，按照每天加收取不超过0.5‰的担保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资金管理平台和风险管理平台运营主体不得附加收取任何其他费用，若有违反，视情节严重程度分别给予批评教育、取消管理平台的资格等处理。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b/>
          <w:bCs/>
          <w:sz w:val="32"/>
          <w:szCs w:val="32"/>
        </w:rPr>
        <w:t>第十</w:t>
      </w:r>
      <w:r>
        <w:rPr>
          <w:rFonts w:hint="eastAsia" w:ascii="仿宋_GB2312" w:hAnsi="Times New Roman" w:eastAsia="仿宋_GB2312" w:cs="Times New Roman"/>
          <w:b/>
          <w:bCs/>
          <w:sz w:val="32"/>
          <w:szCs w:val="32"/>
          <w:lang w:eastAsia="zh-CN"/>
        </w:rPr>
        <w:t>七</w:t>
      </w:r>
      <w:r>
        <w:rPr>
          <w:rFonts w:hint="eastAsia" w:ascii="仿宋_GB2312" w:hAnsi="Times New Roman" w:eastAsia="仿宋_GB2312" w:cs="Times New Roman"/>
          <w:b/>
          <w:bCs/>
          <w:sz w:val="32"/>
          <w:szCs w:val="32"/>
        </w:rPr>
        <w:t>条</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融资专项资金的使用费由资金管理平台运营主体收取，用于融资专项资金运营正常支出（管理经费、人员工资、税费等）。</w:t>
      </w:r>
    </w:p>
    <w:p>
      <w:pPr>
        <w:spacing w:line="600" w:lineRule="exact"/>
        <w:ind w:firstLine="640" w:firstLineChars="200"/>
        <w:jc w:val="center"/>
        <w:rPr>
          <w:rFonts w:hint="eastAsia" w:ascii="黑体" w:hAnsi="黑体" w:eastAsia="黑体" w:cs="黑体"/>
          <w:sz w:val="32"/>
          <w:szCs w:val="32"/>
        </w:rPr>
      </w:pPr>
    </w:p>
    <w:p>
      <w:pPr>
        <w:spacing w:line="600" w:lineRule="exact"/>
        <w:jc w:val="center"/>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六</w:t>
      </w:r>
      <w:r>
        <w:rPr>
          <w:rFonts w:hint="eastAsia" w:ascii="黑体" w:hAnsi="黑体" w:eastAsia="黑体" w:cs="黑体"/>
          <w:sz w:val="32"/>
          <w:szCs w:val="32"/>
        </w:rPr>
        <w:t>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业务办理流程</w:t>
      </w:r>
    </w:p>
    <w:p>
      <w:pPr>
        <w:widowControl w:val="0"/>
        <w:numPr>
          <w:ilvl w:val="0"/>
          <w:numId w:val="0"/>
        </w:numPr>
        <w:spacing w:line="600" w:lineRule="exact"/>
        <w:jc w:val="both"/>
        <w:rPr>
          <w:rFonts w:hint="eastAsia" w:ascii="仿宋_GB2312" w:hAnsi="Times New Roman" w:eastAsia="仿宋_GB2312"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b/>
          <w:bCs/>
          <w:sz w:val="32"/>
          <w:szCs w:val="32"/>
        </w:rPr>
        <w:t>第十</w:t>
      </w:r>
      <w:r>
        <w:rPr>
          <w:rFonts w:hint="eastAsia" w:ascii="仿宋_GB2312" w:hAnsi="Times New Roman" w:eastAsia="仿宋_GB2312" w:cs="Times New Roman"/>
          <w:b/>
          <w:bCs/>
          <w:sz w:val="32"/>
          <w:szCs w:val="32"/>
          <w:lang w:eastAsia="zh-CN"/>
        </w:rPr>
        <w:t>八</w:t>
      </w:r>
      <w:r>
        <w:rPr>
          <w:rFonts w:hint="eastAsia" w:ascii="仿宋_GB2312" w:hAnsi="Times New Roman" w:eastAsia="仿宋_GB2312" w:cs="Times New Roman"/>
          <w:b/>
          <w:bCs/>
          <w:sz w:val="32"/>
          <w:szCs w:val="32"/>
        </w:rPr>
        <w:t>条</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申请。全市辖内符合银行转贷</w:t>
      </w:r>
      <w:r>
        <w:rPr>
          <w:rFonts w:hint="eastAsia" w:ascii="仿宋_GB2312" w:hAnsi="Times New Roman" w:eastAsia="仿宋_GB2312" w:cs="Times New Roman"/>
          <w:sz w:val="32"/>
          <w:szCs w:val="32"/>
          <w:lang w:eastAsia="zh-CN"/>
        </w:rPr>
        <w:t>、续贷</w:t>
      </w:r>
      <w:r>
        <w:rPr>
          <w:rFonts w:hint="eastAsia" w:ascii="仿宋_GB2312" w:hAnsi="Times New Roman" w:eastAsia="仿宋_GB2312" w:cs="Times New Roman"/>
          <w:sz w:val="32"/>
          <w:szCs w:val="32"/>
        </w:rPr>
        <w:t>条件的中小微企业或者个人必须在贷款到期日前7天以上向资金管理平台、风险管理平台运营主体提出申请，按要求提交《融资专项资金使用申请书》及其他申请资料；也可以先与合作银行沟通联系后再向两平台运营主体提交有关申请资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b/>
          <w:bCs/>
          <w:sz w:val="32"/>
          <w:szCs w:val="32"/>
        </w:rPr>
        <w:t>第十</w:t>
      </w:r>
      <w:r>
        <w:rPr>
          <w:rFonts w:hint="eastAsia" w:ascii="仿宋_GB2312" w:hAnsi="Times New Roman" w:eastAsia="仿宋_GB2312" w:cs="Times New Roman"/>
          <w:b/>
          <w:bCs/>
          <w:sz w:val="32"/>
          <w:szCs w:val="32"/>
          <w:lang w:eastAsia="zh-CN"/>
        </w:rPr>
        <w:t>九</w:t>
      </w:r>
      <w:r>
        <w:rPr>
          <w:rFonts w:hint="eastAsia" w:ascii="仿宋_GB2312" w:hAnsi="Times New Roman" w:eastAsia="仿宋_GB2312" w:cs="Times New Roman"/>
          <w:b/>
          <w:bCs/>
          <w:sz w:val="32"/>
          <w:szCs w:val="32"/>
        </w:rPr>
        <w:t>条</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审核。两平台运营主体或合作银行根据中小微企业或者个人的转贷</w:t>
      </w:r>
      <w:r>
        <w:rPr>
          <w:rFonts w:hint="eastAsia" w:ascii="仿宋_GB2312" w:hAnsi="Times New Roman" w:eastAsia="仿宋_GB2312" w:cs="Times New Roman"/>
          <w:sz w:val="32"/>
          <w:szCs w:val="32"/>
          <w:lang w:eastAsia="zh-CN"/>
        </w:rPr>
        <w:t>、续贷</w:t>
      </w:r>
      <w:r>
        <w:rPr>
          <w:rFonts w:hint="eastAsia" w:ascii="仿宋_GB2312" w:hAnsi="Times New Roman" w:eastAsia="仿宋_GB2312" w:cs="Times New Roman"/>
          <w:sz w:val="32"/>
          <w:szCs w:val="32"/>
        </w:rPr>
        <w:t>申请，审核是否同意为借款人转贷</w:t>
      </w:r>
      <w:r>
        <w:rPr>
          <w:rFonts w:hint="eastAsia" w:ascii="仿宋_GB2312" w:hAnsi="Times New Roman" w:eastAsia="仿宋_GB2312" w:cs="Times New Roman"/>
          <w:sz w:val="32"/>
          <w:szCs w:val="32"/>
          <w:lang w:eastAsia="zh-CN"/>
        </w:rPr>
        <w:t>、续贷</w:t>
      </w:r>
      <w:r>
        <w:rPr>
          <w:rFonts w:hint="eastAsia" w:ascii="仿宋_GB2312" w:hAnsi="Times New Roman" w:eastAsia="仿宋_GB2312" w:cs="Times New Roman"/>
          <w:sz w:val="32"/>
          <w:szCs w:val="32"/>
        </w:rPr>
        <w:t>并推荐使用融资专项资金。对于审核通过的借款人，银行机构向资金管理平台和风险管理平台运营主体提交《融资专项资金使用推荐及承诺函》（下称《推荐及承诺函》）或同质文件及企业或者个人的相关资料。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（一）在同一银行转贷、续贷的</w:t>
      </w:r>
      <w:r>
        <w:rPr>
          <w:rFonts w:hint="eastAsia" w:ascii="仿宋_GB2312" w:hAnsi="Times New Roman" w:eastAsia="仿宋_GB2312" w:cs="Times New Roman"/>
          <w:sz w:val="32"/>
          <w:szCs w:val="32"/>
        </w:rPr>
        <w:t>《推荐及承诺函》</w:t>
      </w:r>
      <w:r>
        <w:rPr>
          <w:rFonts w:hint="eastAsia" w:ascii="仿宋_GB2312" w:hAnsi="Times New Roman" w:eastAsia="仿宋_GB2312" w:cs="Times New Roman"/>
          <w:sz w:val="32"/>
          <w:szCs w:val="32"/>
          <w:lang w:eastAsia="zh-CN"/>
        </w:rPr>
        <w:t>或同质文件</w:t>
      </w:r>
      <w:r>
        <w:rPr>
          <w:rFonts w:hint="eastAsia" w:ascii="仿宋_GB2312" w:hAnsi="Times New Roman" w:eastAsia="仿宋_GB2312" w:cs="Times New Roman"/>
          <w:sz w:val="32"/>
          <w:szCs w:val="32"/>
        </w:rPr>
        <w:t>应当包括以下基本内容：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企业或者个人还款账户（即融资专项资金划拨的收款账户）；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rPr>
        <w:t>推荐使用融资专项资金的额度和使用期限，完成转贷并负责将对应使用融资专项资金的本金全额归还融资专项资金专用账户。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（二）在不同银行之间转贷的《推荐及承诺函》或同质文件应当包括以下基本内容：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1、承接新贷款关系银行机构对融资专项资金申请主体的贷款已经完成审批手续；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2、承接贷款银行机构在贷款顺利发放后要及时配合将资金安全划回融资专项资金专用账户。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（三）对于在不同银行之间转贷的申请，风险管理平台要对退出贷款关系的银行机构还款账户情况进行调查核实与确认，并向资金管理平台出具说明。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b/>
          <w:bCs/>
          <w:sz w:val="32"/>
          <w:szCs w:val="32"/>
        </w:rPr>
        <w:t>第二十条</w:t>
      </w:r>
      <w:r>
        <w:rPr>
          <w:rFonts w:hint="eastAsia" w:ascii="仿宋_GB2312" w:hAnsi="Times New Roman" w:eastAsia="仿宋_GB2312" w:cs="Times New Roman"/>
          <w:sz w:val="32"/>
          <w:szCs w:val="32"/>
        </w:rPr>
        <w:t xml:space="preserve"> 审批。风险管理平台运营主体在银行出具的《推荐及承诺函》或同质文件基础上，审查核实申请人的经营情况，制定风险控制措施，核定申请人的资金使用金额和使用期限。对于审批通过的申请人，风险管理平台运营主体按要求与企业办理担保手续，并向资金管理平台运营主体出具《融资专项资金使用担保函》（下称《担保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b/>
          <w:bCs/>
          <w:sz w:val="32"/>
          <w:szCs w:val="32"/>
        </w:rPr>
        <w:t>第二十一条</w:t>
      </w:r>
      <w:r>
        <w:rPr>
          <w:rFonts w:hint="eastAsia" w:ascii="仿宋_GB2312" w:hAnsi="Times New Roman" w:eastAsia="仿宋_GB2312" w:cs="Times New Roman"/>
          <w:sz w:val="32"/>
          <w:szCs w:val="32"/>
        </w:rPr>
        <w:t xml:space="preserve"> 发放。资金管理平台运营主体根据《推荐及承诺函》或同质文件和《担保函》，与申请人办理资金使用手续，并向银行</w:t>
      </w:r>
      <w:r>
        <w:rPr>
          <w:rFonts w:hint="eastAsia" w:ascii="仿宋_GB2312" w:hAnsi="Times New Roman" w:eastAsia="仿宋_GB2312" w:cs="Times New Roman"/>
          <w:sz w:val="32"/>
          <w:szCs w:val="32"/>
          <w:lang w:eastAsia="zh-CN"/>
        </w:rPr>
        <w:t>或者风险管理平台</w:t>
      </w:r>
      <w:r>
        <w:rPr>
          <w:rFonts w:hint="eastAsia" w:ascii="仿宋_GB2312" w:hAnsi="Times New Roman" w:eastAsia="仿宋_GB2312" w:cs="Times New Roman"/>
          <w:sz w:val="32"/>
          <w:szCs w:val="32"/>
        </w:rPr>
        <w:t>指定的申请人还款账户发放融资专项资金。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b/>
          <w:bCs/>
          <w:sz w:val="32"/>
          <w:szCs w:val="32"/>
        </w:rPr>
        <w:t>第二十二条</w:t>
      </w:r>
      <w:r>
        <w:rPr>
          <w:rFonts w:hint="eastAsia" w:ascii="仿宋_GB2312" w:hAnsi="Times New Roman" w:eastAsia="仿宋_GB2312" w:cs="Times New Roman"/>
          <w:sz w:val="32"/>
          <w:szCs w:val="32"/>
        </w:rPr>
        <w:t xml:space="preserve"> 办理转贷</w:t>
      </w:r>
      <w:r>
        <w:rPr>
          <w:rFonts w:hint="eastAsia" w:ascii="仿宋_GB2312" w:hAnsi="Times New Roman" w:eastAsia="仿宋_GB2312" w:cs="Times New Roman"/>
          <w:sz w:val="32"/>
          <w:szCs w:val="32"/>
          <w:lang w:eastAsia="zh-CN"/>
        </w:rPr>
        <w:t>、续贷</w:t>
      </w:r>
      <w:r>
        <w:rPr>
          <w:rFonts w:hint="eastAsia" w:ascii="仿宋_GB2312" w:hAnsi="Times New Roman" w:eastAsia="仿宋_GB2312" w:cs="Times New Roman"/>
          <w:sz w:val="32"/>
          <w:szCs w:val="32"/>
        </w:rPr>
        <w:t>手续。银行与企业或者个人办理转贷</w:t>
      </w:r>
      <w:r>
        <w:rPr>
          <w:rFonts w:hint="eastAsia" w:ascii="仿宋_GB2312" w:hAnsi="Times New Roman" w:eastAsia="仿宋_GB2312" w:cs="Times New Roman"/>
          <w:sz w:val="32"/>
          <w:szCs w:val="32"/>
          <w:lang w:eastAsia="zh-CN"/>
        </w:rPr>
        <w:t>、续贷</w:t>
      </w:r>
      <w:r>
        <w:rPr>
          <w:rFonts w:hint="eastAsia" w:ascii="仿宋_GB2312" w:hAnsi="Times New Roman" w:eastAsia="仿宋_GB2312" w:cs="Times New Roman"/>
          <w:sz w:val="32"/>
          <w:szCs w:val="32"/>
        </w:rPr>
        <w:t>手续。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b/>
          <w:bCs/>
          <w:sz w:val="32"/>
          <w:szCs w:val="32"/>
        </w:rPr>
        <w:t>第二十三条</w:t>
      </w:r>
      <w:r>
        <w:rPr>
          <w:rFonts w:hint="eastAsia" w:ascii="仿宋_GB2312" w:hAnsi="Times New Roman" w:eastAsia="仿宋_GB2312" w:cs="Times New Roman"/>
          <w:sz w:val="32"/>
          <w:szCs w:val="32"/>
        </w:rPr>
        <w:t xml:space="preserve"> 划回。办结转贷手续后，合作银行在成功转贷同时将相应的融资专项资金足额划转至融资专项资金专用账户。</w:t>
      </w:r>
    </w:p>
    <w:p>
      <w:pPr>
        <w:numPr>
          <w:ilvl w:val="0"/>
          <w:numId w:val="0"/>
        </w:numPr>
        <w:spacing w:line="600" w:lineRule="exact"/>
        <w:ind w:leftChars="0"/>
        <w:rPr>
          <w:rFonts w:hint="eastAsia" w:ascii="仿宋_GB2312" w:hAnsi="Times New Roman" w:eastAsia="仿宋_GB2312" w:cs="Times New Roman"/>
          <w:sz w:val="32"/>
          <w:szCs w:val="32"/>
        </w:rPr>
      </w:pPr>
    </w:p>
    <w:p>
      <w:pPr>
        <w:spacing w:line="600" w:lineRule="exact"/>
        <w:jc w:val="center"/>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七</w:t>
      </w:r>
      <w:r>
        <w:rPr>
          <w:rFonts w:hint="eastAsia" w:ascii="黑体" w:hAnsi="黑体" w:eastAsia="黑体" w:cs="黑体"/>
          <w:sz w:val="32"/>
          <w:szCs w:val="32"/>
        </w:rPr>
        <w:t>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监督和风险管理</w:t>
      </w:r>
    </w:p>
    <w:p>
      <w:pPr>
        <w:numPr>
          <w:ilvl w:val="0"/>
          <w:numId w:val="0"/>
        </w:numPr>
        <w:spacing w:line="600" w:lineRule="exact"/>
        <w:ind w:leftChars="0"/>
        <w:rPr>
          <w:rFonts w:hint="eastAsia" w:ascii="仿宋_GB2312" w:hAnsi="Times New Roman" w:eastAsia="仿宋_GB2312"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b/>
          <w:bCs/>
          <w:sz w:val="32"/>
          <w:szCs w:val="32"/>
        </w:rPr>
        <w:t>第二十四条</w:t>
      </w:r>
      <w:r>
        <w:rPr>
          <w:rFonts w:hint="eastAsia" w:ascii="仿宋_GB2312" w:hAnsi="Times New Roman" w:eastAsia="仿宋_GB2312" w:cs="Times New Roman"/>
          <w:sz w:val="32"/>
          <w:szCs w:val="32"/>
        </w:rPr>
        <w:t xml:space="preserve"> 市融资专项资金管委会应当建立融资专项资金监督检查机制，每年应当对资金的使用管理和绩效等情况进行监督检查。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b/>
          <w:bCs/>
          <w:sz w:val="32"/>
          <w:szCs w:val="32"/>
        </w:rPr>
        <w:t>第二十五条</w:t>
      </w:r>
      <w:r>
        <w:rPr>
          <w:rFonts w:hint="eastAsia" w:ascii="仿宋_GB2312" w:hAnsi="Times New Roman" w:eastAsia="仿宋_GB2312" w:cs="Times New Roman"/>
          <w:sz w:val="32"/>
          <w:szCs w:val="32"/>
        </w:rPr>
        <w:t xml:space="preserve"> 资金管理平台和风险管理平台运营主体应当建立融资专项资金需求企业、个人预警机制，对在审批过程中发现的申请企业、个人负面信息，应当及时通知合作银行，以帮助合作银行控制审批风险；严格履行流程审批和复核手续，督促相关合作银行尽快办理转贷</w:t>
      </w:r>
      <w:r>
        <w:rPr>
          <w:rFonts w:hint="eastAsia" w:ascii="仿宋_GB2312" w:hAnsi="Times New Roman" w:eastAsia="仿宋_GB2312" w:cs="Times New Roman"/>
          <w:sz w:val="32"/>
          <w:szCs w:val="32"/>
          <w:lang w:eastAsia="zh-CN"/>
        </w:rPr>
        <w:t>、续贷</w:t>
      </w:r>
      <w:r>
        <w:rPr>
          <w:rFonts w:hint="eastAsia" w:ascii="仿宋_GB2312" w:hAnsi="Times New Roman" w:eastAsia="仿宋_GB2312" w:cs="Times New Roman"/>
          <w:sz w:val="32"/>
          <w:szCs w:val="32"/>
        </w:rPr>
        <w:t>手续。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合作银行应当建立需求企业、个人预警机制，在同意</w:t>
      </w:r>
      <w:r>
        <w:rPr>
          <w:rFonts w:hint="eastAsia" w:ascii="仿宋_GB2312" w:hAnsi="Times New Roman" w:eastAsia="仿宋_GB2312" w:cs="Times New Roman"/>
          <w:sz w:val="32"/>
          <w:szCs w:val="32"/>
          <w:lang w:eastAsia="zh-CN"/>
        </w:rPr>
        <w:t>转贷或</w:t>
      </w:r>
      <w:r>
        <w:rPr>
          <w:rFonts w:hint="eastAsia" w:ascii="仿宋_GB2312" w:hAnsi="Times New Roman" w:eastAsia="仿宋_GB2312" w:cs="Times New Roman"/>
          <w:sz w:val="32"/>
          <w:szCs w:val="32"/>
        </w:rPr>
        <w:t>续贷后至资金划拨前，若发现借款企业、个人发生重大风险情况（如借款企业、个人涉及诉讼、法院查封账户</w:t>
      </w:r>
      <w:r>
        <w:rPr>
          <w:rFonts w:hint="eastAsia" w:ascii="仿宋_GB2312" w:hAnsi="Times New Roman" w:eastAsia="仿宋_GB2312" w:cs="Times New Roman"/>
          <w:sz w:val="32"/>
          <w:szCs w:val="32"/>
          <w:lang w:eastAsia="zh-CN"/>
        </w:rPr>
        <w:t>和抵押物</w:t>
      </w:r>
      <w:r>
        <w:rPr>
          <w:rFonts w:hint="eastAsia" w:ascii="仿宋_GB2312" w:hAnsi="Times New Roman" w:eastAsia="仿宋_GB2312" w:cs="Times New Roman"/>
          <w:sz w:val="32"/>
          <w:szCs w:val="32"/>
        </w:rPr>
        <w:t>等），应当及时通知资金管理平台和风险管理平台运营主体。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b/>
          <w:bCs/>
          <w:sz w:val="32"/>
          <w:szCs w:val="32"/>
        </w:rPr>
        <w:t>第二十六条</w:t>
      </w:r>
      <w:r>
        <w:rPr>
          <w:rFonts w:hint="eastAsia" w:ascii="仿宋_GB2312" w:hAnsi="Times New Roman" w:eastAsia="仿宋_GB2312" w:cs="Times New Roman"/>
          <w:sz w:val="32"/>
          <w:szCs w:val="32"/>
        </w:rPr>
        <w:t xml:space="preserve"> 市融资专项资金管委会应当建立责任追究制度，依法追究相关单位和责任人的责任：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（一）申请企业或者个人采取虚报、瞒报等手段骗取或者拖欠融资专项资金的，纳入市征信中心征信系统进行管理，3年内不再受理该企业或者个人提交的融资专项资金使用申请。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二</w:t>
      </w:r>
      <w:r>
        <w:rPr>
          <w:rFonts w:hint="eastAsia" w:ascii="仿宋_GB2312" w:hAnsi="Times New Roman" w:eastAsia="仿宋_GB2312" w:cs="Times New Roman"/>
          <w:sz w:val="32"/>
          <w:szCs w:val="32"/>
        </w:rPr>
        <w:t>）相关单位、合作银行及其工作人员弄虚作假、审查把关不严、违反规定程序办理融资专项资金业务造成损失的，视情节严重程度采取取消合作资格、追究法律责任等措施；构成犯罪的，依法追究刑事责任。</w:t>
      </w:r>
    </w:p>
    <w:p>
      <w:pPr>
        <w:numPr>
          <w:ilvl w:val="0"/>
          <w:numId w:val="0"/>
        </w:numPr>
        <w:spacing w:line="600" w:lineRule="exact"/>
        <w:ind w:leftChars="0"/>
        <w:rPr>
          <w:rFonts w:hint="eastAsia" w:ascii="仿宋_GB2312" w:hAnsi="Times New Roman" w:eastAsia="仿宋_GB2312" w:cs="Times New Roman"/>
          <w:sz w:val="32"/>
          <w:szCs w:val="32"/>
        </w:rPr>
      </w:pPr>
    </w:p>
    <w:p>
      <w:pPr>
        <w:spacing w:line="600" w:lineRule="exact"/>
        <w:jc w:val="center"/>
        <w:rPr>
          <w:rFonts w:hint="eastAsia" w:ascii="黑体" w:hAnsi="黑体" w:eastAsia="黑体" w:cs="黑体"/>
          <w:sz w:val="32"/>
          <w:szCs w:val="32"/>
        </w:rPr>
      </w:pPr>
      <w:r>
        <w:rPr>
          <w:rFonts w:hint="eastAsia" w:ascii="黑体" w:hAnsi="黑体" w:eastAsia="黑体" w:cs="黑体"/>
          <w:sz w:val="32"/>
          <w:szCs w:val="32"/>
        </w:rPr>
        <w:t>第八章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p>
    <w:p>
      <w:pPr>
        <w:numPr>
          <w:ilvl w:val="0"/>
          <w:numId w:val="0"/>
        </w:numPr>
        <w:spacing w:line="600" w:lineRule="exact"/>
        <w:ind w:leftChars="0"/>
        <w:rPr>
          <w:rFonts w:hint="eastAsia" w:ascii="仿宋_GB2312" w:hAnsi="Times New Roman" w:eastAsia="仿宋_GB2312"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b/>
          <w:bCs/>
          <w:sz w:val="32"/>
          <w:szCs w:val="32"/>
        </w:rPr>
        <w:t>第二十七条</w:t>
      </w:r>
      <w:r>
        <w:rPr>
          <w:rFonts w:hint="eastAsia" w:ascii="仿宋_GB2312" w:hAnsi="Times New Roman" w:eastAsia="仿宋_GB2312" w:cs="Times New Roman"/>
          <w:sz w:val="32"/>
          <w:szCs w:val="32"/>
        </w:rPr>
        <w:t xml:space="preserve"> 本实施细则由市融资专项资金管委会办公室负责解释。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b/>
          <w:bCs/>
          <w:sz w:val="32"/>
          <w:szCs w:val="32"/>
        </w:rPr>
        <w:t>第二十八条</w:t>
      </w:r>
      <w:r>
        <w:rPr>
          <w:rFonts w:hint="eastAsia" w:ascii="仿宋_GB2312" w:hAnsi="Times New Roman" w:eastAsia="仿宋_GB2312" w:cs="Times New Roman"/>
          <w:sz w:val="32"/>
          <w:szCs w:val="32"/>
        </w:rPr>
        <w:t xml:space="preserve"> 本实施细则自202</w:t>
      </w:r>
      <w:r>
        <w:rPr>
          <w:rFonts w:hint="eastAsia" w:ascii="仿宋_GB2312" w:hAnsi="Times New Roman" w:eastAsia="仿宋_GB2312" w:cs="Times New Roman"/>
          <w:sz w:val="32"/>
          <w:szCs w:val="32"/>
          <w:lang w:val="en-US" w:eastAsia="zh-CN"/>
        </w:rPr>
        <w:t>5</w:t>
      </w:r>
      <w:r>
        <w:rPr>
          <w:rFonts w:hint="eastAsia" w:ascii="仿宋_GB2312" w:hAnsi="Times New Roman" w:eastAsia="仿宋_GB2312" w:cs="Times New Roman"/>
          <w:sz w:val="32"/>
          <w:szCs w:val="32"/>
        </w:rPr>
        <w:t>年</w:t>
      </w:r>
      <w:r>
        <w:rPr>
          <w:rFonts w:hint="eastAsia" w:ascii="仿宋_GB2312" w:hAnsi="Times New Roman" w:eastAsia="仿宋_GB2312" w:cs="Times New Roman"/>
          <w:sz w:val="32"/>
          <w:szCs w:val="32"/>
          <w:lang w:val="en-US" w:eastAsia="zh-CN"/>
        </w:rPr>
        <w:t>5</w:t>
      </w:r>
      <w:r>
        <w:rPr>
          <w:rFonts w:hint="eastAsia" w:ascii="仿宋_GB2312" w:hAnsi="Times New Roman" w:eastAsia="仿宋_GB2312" w:cs="Times New Roman"/>
          <w:sz w:val="32"/>
          <w:szCs w:val="32"/>
        </w:rPr>
        <w:t>月</w:t>
      </w:r>
      <w:r>
        <w:rPr>
          <w:rFonts w:hint="eastAsia" w:ascii="仿宋_GB2312" w:hAnsi="Times New Roman" w:eastAsia="仿宋_GB2312" w:cs="Times New Roman"/>
          <w:sz w:val="32"/>
          <w:szCs w:val="32"/>
          <w:lang w:val="en-US" w:eastAsia="zh-CN"/>
        </w:rPr>
        <w:t>25</w:t>
      </w:r>
      <w:bookmarkStart w:id="0" w:name="_GoBack"/>
      <w:bookmarkEnd w:id="0"/>
      <w:r>
        <w:rPr>
          <w:rFonts w:hint="eastAsia" w:ascii="仿宋_GB2312" w:hAnsi="Times New Roman" w:eastAsia="仿宋_GB2312" w:cs="Times New Roman"/>
          <w:sz w:val="32"/>
          <w:szCs w:val="32"/>
        </w:rPr>
        <w:t>日起实施，有效期至</w:t>
      </w:r>
      <w:r>
        <w:rPr>
          <w:rFonts w:hint="eastAsia" w:ascii="仿宋_GB2312" w:hAnsi="Times New Roman" w:eastAsia="仿宋_GB2312" w:cs="Times New Roman"/>
          <w:sz w:val="32"/>
          <w:szCs w:val="32"/>
          <w:lang w:val="en-US" w:eastAsia="zh-CN"/>
        </w:rPr>
        <w:t>2030年5月24日</w:t>
      </w:r>
      <w:r>
        <w:rPr>
          <w:rFonts w:hint="eastAsia" w:ascii="仿宋_GB2312" w:hAnsi="Times New Roman" w:eastAsia="仿宋_GB2312" w:cs="Times New Roman"/>
          <w:sz w:val="32"/>
          <w:szCs w:val="32"/>
        </w:rPr>
        <w:t>。</w:t>
      </w:r>
    </w:p>
    <w:p>
      <w:pPr>
        <w:spacing w:line="600" w:lineRule="exact"/>
        <w:ind w:firstLine="640" w:firstLineChars="200"/>
        <w:rPr>
          <w:rFonts w:hint="eastAsia" w:ascii="仿宋_GB2312" w:hAnsi="Times New Roman" w:eastAsia="仿宋_GB2312" w:cs="Times New Roman"/>
          <w:sz w:val="32"/>
          <w:szCs w:val="32"/>
        </w:rPr>
      </w:pPr>
    </w:p>
    <w:p>
      <w:pPr>
        <w:spacing w:line="600" w:lineRule="exact"/>
        <w:ind w:firstLine="640" w:firstLineChars="200"/>
        <w:rPr>
          <w:rFonts w:hint="eastAsia" w:ascii="仿宋_GB2312" w:hAnsi="Times New Roman" w:eastAsia="仿宋_GB2312" w:cs="Times New Roman"/>
          <w:sz w:val="32"/>
          <w:szCs w:val="32"/>
        </w:rPr>
      </w:pPr>
    </w:p>
    <w:p>
      <w:pPr>
        <w:spacing w:line="600" w:lineRule="exact"/>
        <w:rPr>
          <w:rFonts w:hint="eastAsia" w:ascii="仿宋_GB2312" w:hAnsi="Times New Roman"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1859EB"/>
    <w:rsid w:val="00017DD9"/>
    <w:rsid w:val="00100BB1"/>
    <w:rsid w:val="001764E3"/>
    <w:rsid w:val="0017683E"/>
    <w:rsid w:val="0025663A"/>
    <w:rsid w:val="00331C55"/>
    <w:rsid w:val="003F21A8"/>
    <w:rsid w:val="004C34B7"/>
    <w:rsid w:val="00563C53"/>
    <w:rsid w:val="005C405D"/>
    <w:rsid w:val="007B66D2"/>
    <w:rsid w:val="00900535"/>
    <w:rsid w:val="00A6176F"/>
    <w:rsid w:val="00A73C49"/>
    <w:rsid w:val="00B46428"/>
    <w:rsid w:val="00C630A5"/>
    <w:rsid w:val="00CD04ED"/>
    <w:rsid w:val="00CF5D94"/>
    <w:rsid w:val="00D111FE"/>
    <w:rsid w:val="00EA5222"/>
    <w:rsid w:val="00EF507A"/>
    <w:rsid w:val="00FB4A72"/>
    <w:rsid w:val="00FD6D64"/>
    <w:rsid w:val="0105234D"/>
    <w:rsid w:val="01074EE3"/>
    <w:rsid w:val="010938CB"/>
    <w:rsid w:val="01502239"/>
    <w:rsid w:val="015E53B2"/>
    <w:rsid w:val="01827DE5"/>
    <w:rsid w:val="018D0C70"/>
    <w:rsid w:val="019D1C29"/>
    <w:rsid w:val="01C302F1"/>
    <w:rsid w:val="01CF439B"/>
    <w:rsid w:val="01D8714C"/>
    <w:rsid w:val="01D91237"/>
    <w:rsid w:val="01D9340A"/>
    <w:rsid w:val="01E41FEE"/>
    <w:rsid w:val="01E529A5"/>
    <w:rsid w:val="022B3340"/>
    <w:rsid w:val="023D6EA8"/>
    <w:rsid w:val="02457A9C"/>
    <w:rsid w:val="026102CF"/>
    <w:rsid w:val="027A3113"/>
    <w:rsid w:val="02823A78"/>
    <w:rsid w:val="028D526E"/>
    <w:rsid w:val="02B31F90"/>
    <w:rsid w:val="02BB4728"/>
    <w:rsid w:val="02C77035"/>
    <w:rsid w:val="02F84E40"/>
    <w:rsid w:val="02FD56E1"/>
    <w:rsid w:val="02FE03C3"/>
    <w:rsid w:val="02FF0A71"/>
    <w:rsid w:val="030D0C15"/>
    <w:rsid w:val="03131185"/>
    <w:rsid w:val="031A6AE8"/>
    <w:rsid w:val="032B2326"/>
    <w:rsid w:val="03696A83"/>
    <w:rsid w:val="036E597B"/>
    <w:rsid w:val="03836D4C"/>
    <w:rsid w:val="03843635"/>
    <w:rsid w:val="038451FB"/>
    <w:rsid w:val="03A766DF"/>
    <w:rsid w:val="03DE769B"/>
    <w:rsid w:val="03E020D3"/>
    <w:rsid w:val="03E76533"/>
    <w:rsid w:val="03EA3495"/>
    <w:rsid w:val="03EC7396"/>
    <w:rsid w:val="04170E7F"/>
    <w:rsid w:val="04414762"/>
    <w:rsid w:val="04712E07"/>
    <w:rsid w:val="04A9626A"/>
    <w:rsid w:val="04CC4F40"/>
    <w:rsid w:val="04DB505A"/>
    <w:rsid w:val="04FB6C90"/>
    <w:rsid w:val="051B4AF4"/>
    <w:rsid w:val="052E3865"/>
    <w:rsid w:val="053C4D09"/>
    <w:rsid w:val="05496A1A"/>
    <w:rsid w:val="05531569"/>
    <w:rsid w:val="0556510D"/>
    <w:rsid w:val="055B401E"/>
    <w:rsid w:val="057349FF"/>
    <w:rsid w:val="058579BD"/>
    <w:rsid w:val="05951106"/>
    <w:rsid w:val="05962323"/>
    <w:rsid w:val="05997BAF"/>
    <w:rsid w:val="05A67CC6"/>
    <w:rsid w:val="05B53840"/>
    <w:rsid w:val="05B74B50"/>
    <w:rsid w:val="05C0409E"/>
    <w:rsid w:val="05E2691F"/>
    <w:rsid w:val="05E43595"/>
    <w:rsid w:val="0628423A"/>
    <w:rsid w:val="062B11B4"/>
    <w:rsid w:val="0631287F"/>
    <w:rsid w:val="065B641A"/>
    <w:rsid w:val="067C0345"/>
    <w:rsid w:val="06910159"/>
    <w:rsid w:val="06CA704E"/>
    <w:rsid w:val="06CE792E"/>
    <w:rsid w:val="06E6285D"/>
    <w:rsid w:val="06F163D2"/>
    <w:rsid w:val="07013F3C"/>
    <w:rsid w:val="070162F5"/>
    <w:rsid w:val="0707484C"/>
    <w:rsid w:val="07107B24"/>
    <w:rsid w:val="07192125"/>
    <w:rsid w:val="07257D4B"/>
    <w:rsid w:val="07521695"/>
    <w:rsid w:val="078C2791"/>
    <w:rsid w:val="079433DA"/>
    <w:rsid w:val="079A6004"/>
    <w:rsid w:val="07A04C14"/>
    <w:rsid w:val="07A545C2"/>
    <w:rsid w:val="07A714B7"/>
    <w:rsid w:val="07AC51AB"/>
    <w:rsid w:val="07AE19B2"/>
    <w:rsid w:val="07B1093C"/>
    <w:rsid w:val="07DE080A"/>
    <w:rsid w:val="07FA4341"/>
    <w:rsid w:val="080B0E55"/>
    <w:rsid w:val="08257867"/>
    <w:rsid w:val="08280EBA"/>
    <w:rsid w:val="08563481"/>
    <w:rsid w:val="08661D47"/>
    <w:rsid w:val="086C50E5"/>
    <w:rsid w:val="087B3FF4"/>
    <w:rsid w:val="08880E75"/>
    <w:rsid w:val="0892232F"/>
    <w:rsid w:val="08A217D7"/>
    <w:rsid w:val="08A85800"/>
    <w:rsid w:val="08C667DC"/>
    <w:rsid w:val="08D311C7"/>
    <w:rsid w:val="08EB1AB7"/>
    <w:rsid w:val="08F137B1"/>
    <w:rsid w:val="09235D26"/>
    <w:rsid w:val="094E54C4"/>
    <w:rsid w:val="095D4D11"/>
    <w:rsid w:val="09607D94"/>
    <w:rsid w:val="09707D1B"/>
    <w:rsid w:val="097C4C71"/>
    <w:rsid w:val="098D7A94"/>
    <w:rsid w:val="09D267BF"/>
    <w:rsid w:val="09D62BD4"/>
    <w:rsid w:val="0A06256B"/>
    <w:rsid w:val="0A0A7E05"/>
    <w:rsid w:val="0A0B3566"/>
    <w:rsid w:val="0A14075E"/>
    <w:rsid w:val="0A276257"/>
    <w:rsid w:val="0A33380A"/>
    <w:rsid w:val="0A356213"/>
    <w:rsid w:val="0A384D99"/>
    <w:rsid w:val="0A3B3E81"/>
    <w:rsid w:val="0A3E3073"/>
    <w:rsid w:val="0A495260"/>
    <w:rsid w:val="0A4A74DC"/>
    <w:rsid w:val="0A642663"/>
    <w:rsid w:val="0A675250"/>
    <w:rsid w:val="0A6F11EB"/>
    <w:rsid w:val="0A6F1E11"/>
    <w:rsid w:val="0A6F7802"/>
    <w:rsid w:val="0A7A4D5E"/>
    <w:rsid w:val="0AA56424"/>
    <w:rsid w:val="0AA6317A"/>
    <w:rsid w:val="0ADE01B5"/>
    <w:rsid w:val="0AE304AF"/>
    <w:rsid w:val="0AF04E50"/>
    <w:rsid w:val="0B135C69"/>
    <w:rsid w:val="0B354CF7"/>
    <w:rsid w:val="0B637747"/>
    <w:rsid w:val="0B6C606E"/>
    <w:rsid w:val="0B702197"/>
    <w:rsid w:val="0B826E7B"/>
    <w:rsid w:val="0BA573E2"/>
    <w:rsid w:val="0BB16905"/>
    <w:rsid w:val="0BBB51F7"/>
    <w:rsid w:val="0BD27334"/>
    <w:rsid w:val="0BD463C8"/>
    <w:rsid w:val="0BD64BA6"/>
    <w:rsid w:val="0BD76DB9"/>
    <w:rsid w:val="0C0D361B"/>
    <w:rsid w:val="0C115A99"/>
    <w:rsid w:val="0C206338"/>
    <w:rsid w:val="0C2122D8"/>
    <w:rsid w:val="0C2A6E38"/>
    <w:rsid w:val="0C3A5DF8"/>
    <w:rsid w:val="0C3C1D90"/>
    <w:rsid w:val="0C4D0D06"/>
    <w:rsid w:val="0C7F5F64"/>
    <w:rsid w:val="0C8E4437"/>
    <w:rsid w:val="0CAD5E6B"/>
    <w:rsid w:val="0CB5485F"/>
    <w:rsid w:val="0CBF2410"/>
    <w:rsid w:val="0CEF2307"/>
    <w:rsid w:val="0D0147D8"/>
    <w:rsid w:val="0D0244AF"/>
    <w:rsid w:val="0D174D63"/>
    <w:rsid w:val="0D3E4459"/>
    <w:rsid w:val="0D43027D"/>
    <w:rsid w:val="0D48466E"/>
    <w:rsid w:val="0D844C6E"/>
    <w:rsid w:val="0D880EEC"/>
    <w:rsid w:val="0D9307AB"/>
    <w:rsid w:val="0D943815"/>
    <w:rsid w:val="0D96464F"/>
    <w:rsid w:val="0D967477"/>
    <w:rsid w:val="0D973C3A"/>
    <w:rsid w:val="0D9B4555"/>
    <w:rsid w:val="0D9D7AE3"/>
    <w:rsid w:val="0DA02E96"/>
    <w:rsid w:val="0DBA472D"/>
    <w:rsid w:val="0DC213C8"/>
    <w:rsid w:val="0DC672B5"/>
    <w:rsid w:val="0DC934BF"/>
    <w:rsid w:val="0DD82ED3"/>
    <w:rsid w:val="0DE11748"/>
    <w:rsid w:val="0DE36F43"/>
    <w:rsid w:val="0E0D333E"/>
    <w:rsid w:val="0E290777"/>
    <w:rsid w:val="0E624C76"/>
    <w:rsid w:val="0E901883"/>
    <w:rsid w:val="0E925448"/>
    <w:rsid w:val="0E9D3A8A"/>
    <w:rsid w:val="0ED95A06"/>
    <w:rsid w:val="0EE750B5"/>
    <w:rsid w:val="0F033180"/>
    <w:rsid w:val="0F06372B"/>
    <w:rsid w:val="0F277B4F"/>
    <w:rsid w:val="0F3A4D2C"/>
    <w:rsid w:val="0F486B41"/>
    <w:rsid w:val="0F551E07"/>
    <w:rsid w:val="0F733E40"/>
    <w:rsid w:val="0F874B10"/>
    <w:rsid w:val="0F9B14B9"/>
    <w:rsid w:val="0FB73092"/>
    <w:rsid w:val="0FC22204"/>
    <w:rsid w:val="0FCC3DD2"/>
    <w:rsid w:val="10076F2A"/>
    <w:rsid w:val="101971F0"/>
    <w:rsid w:val="10201B3D"/>
    <w:rsid w:val="102F1F5C"/>
    <w:rsid w:val="104662AB"/>
    <w:rsid w:val="10636BDD"/>
    <w:rsid w:val="107028A8"/>
    <w:rsid w:val="107730FE"/>
    <w:rsid w:val="10843477"/>
    <w:rsid w:val="108C3589"/>
    <w:rsid w:val="108F183D"/>
    <w:rsid w:val="10B62490"/>
    <w:rsid w:val="10D444DE"/>
    <w:rsid w:val="10FE73B3"/>
    <w:rsid w:val="110F2998"/>
    <w:rsid w:val="112017F9"/>
    <w:rsid w:val="11243BA2"/>
    <w:rsid w:val="1172294B"/>
    <w:rsid w:val="11771263"/>
    <w:rsid w:val="117B5484"/>
    <w:rsid w:val="118C5E06"/>
    <w:rsid w:val="11933997"/>
    <w:rsid w:val="11B34918"/>
    <w:rsid w:val="11B7772F"/>
    <w:rsid w:val="11F01E5F"/>
    <w:rsid w:val="121763E2"/>
    <w:rsid w:val="12204BAA"/>
    <w:rsid w:val="123469F3"/>
    <w:rsid w:val="123509DA"/>
    <w:rsid w:val="12362264"/>
    <w:rsid w:val="12497B1C"/>
    <w:rsid w:val="12591173"/>
    <w:rsid w:val="125E78C9"/>
    <w:rsid w:val="126B542E"/>
    <w:rsid w:val="127B3A35"/>
    <w:rsid w:val="12830C39"/>
    <w:rsid w:val="128852F1"/>
    <w:rsid w:val="128C1F18"/>
    <w:rsid w:val="12AB7D06"/>
    <w:rsid w:val="12B732CA"/>
    <w:rsid w:val="12BD075A"/>
    <w:rsid w:val="12BE148D"/>
    <w:rsid w:val="12CE0879"/>
    <w:rsid w:val="12DC3FCF"/>
    <w:rsid w:val="12F91FEC"/>
    <w:rsid w:val="12FE54D6"/>
    <w:rsid w:val="13094274"/>
    <w:rsid w:val="13144DD0"/>
    <w:rsid w:val="1341370E"/>
    <w:rsid w:val="13593593"/>
    <w:rsid w:val="13604ADC"/>
    <w:rsid w:val="13707B01"/>
    <w:rsid w:val="138C293F"/>
    <w:rsid w:val="13A063A7"/>
    <w:rsid w:val="13A859A4"/>
    <w:rsid w:val="13B52E17"/>
    <w:rsid w:val="13B615AA"/>
    <w:rsid w:val="13C5745B"/>
    <w:rsid w:val="13C868B9"/>
    <w:rsid w:val="13E908B5"/>
    <w:rsid w:val="13F77192"/>
    <w:rsid w:val="13FD5D86"/>
    <w:rsid w:val="14043BDE"/>
    <w:rsid w:val="1411187A"/>
    <w:rsid w:val="14123FCE"/>
    <w:rsid w:val="1429133B"/>
    <w:rsid w:val="142A7213"/>
    <w:rsid w:val="14363990"/>
    <w:rsid w:val="14454040"/>
    <w:rsid w:val="145C17EA"/>
    <w:rsid w:val="146C5F22"/>
    <w:rsid w:val="146E7643"/>
    <w:rsid w:val="147B546C"/>
    <w:rsid w:val="14893803"/>
    <w:rsid w:val="148C0780"/>
    <w:rsid w:val="14967A09"/>
    <w:rsid w:val="14AB2A14"/>
    <w:rsid w:val="14C13E3A"/>
    <w:rsid w:val="14C152AC"/>
    <w:rsid w:val="14E8434A"/>
    <w:rsid w:val="14EE030E"/>
    <w:rsid w:val="15056D22"/>
    <w:rsid w:val="1518068F"/>
    <w:rsid w:val="151A5CE8"/>
    <w:rsid w:val="15287015"/>
    <w:rsid w:val="153B141F"/>
    <w:rsid w:val="15433A0D"/>
    <w:rsid w:val="15557314"/>
    <w:rsid w:val="1557158D"/>
    <w:rsid w:val="15620E4D"/>
    <w:rsid w:val="15830114"/>
    <w:rsid w:val="159D0AA3"/>
    <w:rsid w:val="15AA3095"/>
    <w:rsid w:val="15AC7321"/>
    <w:rsid w:val="15B43A4B"/>
    <w:rsid w:val="15D828F1"/>
    <w:rsid w:val="160341EC"/>
    <w:rsid w:val="160B49E2"/>
    <w:rsid w:val="16133097"/>
    <w:rsid w:val="16186AD2"/>
    <w:rsid w:val="161A2E45"/>
    <w:rsid w:val="162E701E"/>
    <w:rsid w:val="16391B8A"/>
    <w:rsid w:val="164D7732"/>
    <w:rsid w:val="165A0EB1"/>
    <w:rsid w:val="165E1D9D"/>
    <w:rsid w:val="167B3BA2"/>
    <w:rsid w:val="16887790"/>
    <w:rsid w:val="1693129B"/>
    <w:rsid w:val="169F1555"/>
    <w:rsid w:val="16BC698D"/>
    <w:rsid w:val="16CA4134"/>
    <w:rsid w:val="16CB7F74"/>
    <w:rsid w:val="16D4468D"/>
    <w:rsid w:val="16DE0BDA"/>
    <w:rsid w:val="16E04D01"/>
    <w:rsid w:val="16F21500"/>
    <w:rsid w:val="16F3795D"/>
    <w:rsid w:val="17017934"/>
    <w:rsid w:val="170B31E6"/>
    <w:rsid w:val="17154B09"/>
    <w:rsid w:val="172F03D4"/>
    <w:rsid w:val="173D6147"/>
    <w:rsid w:val="174766AA"/>
    <w:rsid w:val="174E431C"/>
    <w:rsid w:val="175D09E1"/>
    <w:rsid w:val="17681CF5"/>
    <w:rsid w:val="17694683"/>
    <w:rsid w:val="1777130C"/>
    <w:rsid w:val="178D56B9"/>
    <w:rsid w:val="1794388B"/>
    <w:rsid w:val="17B5479F"/>
    <w:rsid w:val="17BD759C"/>
    <w:rsid w:val="17C67C8B"/>
    <w:rsid w:val="17D00115"/>
    <w:rsid w:val="180D787E"/>
    <w:rsid w:val="183234D2"/>
    <w:rsid w:val="18382679"/>
    <w:rsid w:val="1840091A"/>
    <w:rsid w:val="1848546A"/>
    <w:rsid w:val="184F0CAA"/>
    <w:rsid w:val="18535AC3"/>
    <w:rsid w:val="18607859"/>
    <w:rsid w:val="187A2BBB"/>
    <w:rsid w:val="187D3612"/>
    <w:rsid w:val="18A20DF3"/>
    <w:rsid w:val="18AD1057"/>
    <w:rsid w:val="18D904C9"/>
    <w:rsid w:val="18E00964"/>
    <w:rsid w:val="18F036D0"/>
    <w:rsid w:val="191474C0"/>
    <w:rsid w:val="19181BBB"/>
    <w:rsid w:val="19191B9F"/>
    <w:rsid w:val="19354DF0"/>
    <w:rsid w:val="19453E46"/>
    <w:rsid w:val="194D6D26"/>
    <w:rsid w:val="196F1F01"/>
    <w:rsid w:val="19A36FEB"/>
    <w:rsid w:val="19AB7522"/>
    <w:rsid w:val="19AC5F24"/>
    <w:rsid w:val="19B73207"/>
    <w:rsid w:val="19BA4D1B"/>
    <w:rsid w:val="19BC15DB"/>
    <w:rsid w:val="19BC7544"/>
    <w:rsid w:val="19C942EE"/>
    <w:rsid w:val="19E27475"/>
    <w:rsid w:val="1A100782"/>
    <w:rsid w:val="1A147406"/>
    <w:rsid w:val="1A3124A9"/>
    <w:rsid w:val="1A387167"/>
    <w:rsid w:val="1A436F49"/>
    <w:rsid w:val="1A58733E"/>
    <w:rsid w:val="1A5956E2"/>
    <w:rsid w:val="1A627E2B"/>
    <w:rsid w:val="1A6A54C2"/>
    <w:rsid w:val="1A6B580E"/>
    <w:rsid w:val="1A7A6D96"/>
    <w:rsid w:val="1A8869FC"/>
    <w:rsid w:val="1A8A2803"/>
    <w:rsid w:val="1A8D676A"/>
    <w:rsid w:val="1A9B3D75"/>
    <w:rsid w:val="1AAB06C4"/>
    <w:rsid w:val="1AAD1178"/>
    <w:rsid w:val="1AAF7C0E"/>
    <w:rsid w:val="1AB00C30"/>
    <w:rsid w:val="1AB61F32"/>
    <w:rsid w:val="1AFE2D02"/>
    <w:rsid w:val="1B044213"/>
    <w:rsid w:val="1B09351A"/>
    <w:rsid w:val="1B250A8D"/>
    <w:rsid w:val="1B342721"/>
    <w:rsid w:val="1B402140"/>
    <w:rsid w:val="1B535EF7"/>
    <w:rsid w:val="1B980CB8"/>
    <w:rsid w:val="1B9B1691"/>
    <w:rsid w:val="1BA90611"/>
    <w:rsid w:val="1BAB2A0F"/>
    <w:rsid w:val="1BAF19D0"/>
    <w:rsid w:val="1BBD5337"/>
    <w:rsid w:val="1BF211FD"/>
    <w:rsid w:val="1BF6687F"/>
    <w:rsid w:val="1C046548"/>
    <w:rsid w:val="1C170BA5"/>
    <w:rsid w:val="1C2F5E35"/>
    <w:rsid w:val="1C54609E"/>
    <w:rsid w:val="1C5874DC"/>
    <w:rsid w:val="1C734818"/>
    <w:rsid w:val="1CAC1374"/>
    <w:rsid w:val="1CBF7AEF"/>
    <w:rsid w:val="1CDD16C2"/>
    <w:rsid w:val="1CE36BB4"/>
    <w:rsid w:val="1D0A51AB"/>
    <w:rsid w:val="1D0E07CE"/>
    <w:rsid w:val="1D186492"/>
    <w:rsid w:val="1D21757B"/>
    <w:rsid w:val="1D2E7B32"/>
    <w:rsid w:val="1D355687"/>
    <w:rsid w:val="1D451502"/>
    <w:rsid w:val="1D6213E9"/>
    <w:rsid w:val="1D7A496E"/>
    <w:rsid w:val="1D8433A0"/>
    <w:rsid w:val="1DA13D32"/>
    <w:rsid w:val="1DAF7543"/>
    <w:rsid w:val="1DB7299E"/>
    <w:rsid w:val="1DBE6A0D"/>
    <w:rsid w:val="1DDF5774"/>
    <w:rsid w:val="1DE35D83"/>
    <w:rsid w:val="1DE44988"/>
    <w:rsid w:val="1DF452FE"/>
    <w:rsid w:val="1DF80B82"/>
    <w:rsid w:val="1E0B0C2B"/>
    <w:rsid w:val="1E217113"/>
    <w:rsid w:val="1E647ECE"/>
    <w:rsid w:val="1E746556"/>
    <w:rsid w:val="1E8C0320"/>
    <w:rsid w:val="1E8C60AB"/>
    <w:rsid w:val="1EA2700E"/>
    <w:rsid w:val="1EA8333A"/>
    <w:rsid w:val="1EB226DE"/>
    <w:rsid w:val="1EB22E91"/>
    <w:rsid w:val="1EF06394"/>
    <w:rsid w:val="1EFA7D80"/>
    <w:rsid w:val="1F23381A"/>
    <w:rsid w:val="1F2D7ABE"/>
    <w:rsid w:val="1F4A3AA0"/>
    <w:rsid w:val="1F4F4092"/>
    <w:rsid w:val="1F571E30"/>
    <w:rsid w:val="1F655F90"/>
    <w:rsid w:val="1F6B6958"/>
    <w:rsid w:val="1F6C2610"/>
    <w:rsid w:val="1F6F1737"/>
    <w:rsid w:val="1F720C69"/>
    <w:rsid w:val="1F731B6A"/>
    <w:rsid w:val="1F8F6D31"/>
    <w:rsid w:val="1F9241CA"/>
    <w:rsid w:val="1F951DD7"/>
    <w:rsid w:val="1F985400"/>
    <w:rsid w:val="1F9D67E0"/>
    <w:rsid w:val="1FAA1EF3"/>
    <w:rsid w:val="1FD711F8"/>
    <w:rsid w:val="20051136"/>
    <w:rsid w:val="201F1181"/>
    <w:rsid w:val="20432EF0"/>
    <w:rsid w:val="2046088D"/>
    <w:rsid w:val="204D5144"/>
    <w:rsid w:val="20590ECE"/>
    <w:rsid w:val="20626C81"/>
    <w:rsid w:val="207A0FDB"/>
    <w:rsid w:val="20807D65"/>
    <w:rsid w:val="20882C88"/>
    <w:rsid w:val="208903FF"/>
    <w:rsid w:val="208B146C"/>
    <w:rsid w:val="208E3C83"/>
    <w:rsid w:val="209F57E6"/>
    <w:rsid w:val="20A13BD4"/>
    <w:rsid w:val="20D07892"/>
    <w:rsid w:val="20DB2675"/>
    <w:rsid w:val="20EF7FA0"/>
    <w:rsid w:val="20FD502C"/>
    <w:rsid w:val="210232DF"/>
    <w:rsid w:val="210954AF"/>
    <w:rsid w:val="21157912"/>
    <w:rsid w:val="21243A0B"/>
    <w:rsid w:val="214E56C3"/>
    <w:rsid w:val="21640758"/>
    <w:rsid w:val="21695FB3"/>
    <w:rsid w:val="217D429A"/>
    <w:rsid w:val="21802605"/>
    <w:rsid w:val="218C61E8"/>
    <w:rsid w:val="21965CA2"/>
    <w:rsid w:val="219F506D"/>
    <w:rsid w:val="21B23BF3"/>
    <w:rsid w:val="21B447A4"/>
    <w:rsid w:val="21CF0298"/>
    <w:rsid w:val="21F35ED9"/>
    <w:rsid w:val="21F404FD"/>
    <w:rsid w:val="21F90928"/>
    <w:rsid w:val="21FA18CD"/>
    <w:rsid w:val="22024804"/>
    <w:rsid w:val="22150275"/>
    <w:rsid w:val="222007E5"/>
    <w:rsid w:val="223836C4"/>
    <w:rsid w:val="22515A47"/>
    <w:rsid w:val="225D762A"/>
    <w:rsid w:val="226208CB"/>
    <w:rsid w:val="226D4971"/>
    <w:rsid w:val="22747FDE"/>
    <w:rsid w:val="22770CCD"/>
    <w:rsid w:val="228E3E1D"/>
    <w:rsid w:val="229137D9"/>
    <w:rsid w:val="22A0356B"/>
    <w:rsid w:val="22A41AB9"/>
    <w:rsid w:val="22C37388"/>
    <w:rsid w:val="22D43045"/>
    <w:rsid w:val="22D61BF3"/>
    <w:rsid w:val="22D85919"/>
    <w:rsid w:val="22E949CF"/>
    <w:rsid w:val="22EE2B19"/>
    <w:rsid w:val="22F660B2"/>
    <w:rsid w:val="23113266"/>
    <w:rsid w:val="231C3730"/>
    <w:rsid w:val="231D2CBC"/>
    <w:rsid w:val="232B23AD"/>
    <w:rsid w:val="23357E98"/>
    <w:rsid w:val="2339344E"/>
    <w:rsid w:val="236D32D8"/>
    <w:rsid w:val="236E1448"/>
    <w:rsid w:val="237F5582"/>
    <w:rsid w:val="238355B4"/>
    <w:rsid w:val="238B26EB"/>
    <w:rsid w:val="23981F91"/>
    <w:rsid w:val="239E56A9"/>
    <w:rsid w:val="23AF28AC"/>
    <w:rsid w:val="23CF3EFA"/>
    <w:rsid w:val="23DE69DF"/>
    <w:rsid w:val="23E930A1"/>
    <w:rsid w:val="23F47CB2"/>
    <w:rsid w:val="23FA3625"/>
    <w:rsid w:val="241C0F5B"/>
    <w:rsid w:val="241E75EA"/>
    <w:rsid w:val="24243E81"/>
    <w:rsid w:val="242A3312"/>
    <w:rsid w:val="243B4E81"/>
    <w:rsid w:val="24454061"/>
    <w:rsid w:val="244C5D4A"/>
    <w:rsid w:val="246E1F0C"/>
    <w:rsid w:val="247B1B86"/>
    <w:rsid w:val="2480544E"/>
    <w:rsid w:val="248A5616"/>
    <w:rsid w:val="248B38FE"/>
    <w:rsid w:val="249B3FB7"/>
    <w:rsid w:val="249C08C9"/>
    <w:rsid w:val="24A10EE1"/>
    <w:rsid w:val="24B82FB9"/>
    <w:rsid w:val="24BD5C29"/>
    <w:rsid w:val="24E55139"/>
    <w:rsid w:val="25052235"/>
    <w:rsid w:val="251766F6"/>
    <w:rsid w:val="251B1E6D"/>
    <w:rsid w:val="251F7C2C"/>
    <w:rsid w:val="25276BBB"/>
    <w:rsid w:val="253D31B2"/>
    <w:rsid w:val="25481DB5"/>
    <w:rsid w:val="255277DF"/>
    <w:rsid w:val="25583166"/>
    <w:rsid w:val="255E566F"/>
    <w:rsid w:val="256270F5"/>
    <w:rsid w:val="256460DD"/>
    <w:rsid w:val="257C725C"/>
    <w:rsid w:val="257F118E"/>
    <w:rsid w:val="25C5047C"/>
    <w:rsid w:val="25C7515A"/>
    <w:rsid w:val="25DE33BC"/>
    <w:rsid w:val="25EC51C0"/>
    <w:rsid w:val="25ED0193"/>
    <w:rsid w:val="25FC0C83"/>
    <w:rsid w:val="26080EE3"/>
    <w:rsid w:val="262316FB"/>
    <w:rsid w:val="266052D7"/>
    <w:rsid w:val="266839F9"/>
    <w:rsid w:val="26693BBB"/>
    <w:rsid w:val="26845384"/>
    <w:rsid w:val="268673F0"/>
    <w:rsid w:val="26B03389"/>
    <w:rsid w:val="26B55C70"/>
    <w:rsid w:val="26B7688E"/>
    <w:rsid w:val="26CE3FB3"/>
    <w:rsid w:val="26D87DA7"/>
    <w:rsid w:val="26E135FF"/>
    <w:rsid w:val="26E30450"/>
    <w:rsid w:val="26F64BBA"/>
    <w:rsid w:val="26FC3C34"/>
    <w:rsid w:val="2704631E"/>
    <w:rsid w:val="271C38D1"/>
    <w:rsid w:val="277C0E6D"/>
    <w:rsid w:val="277F0580"/>
    <w:rsid w:val="27845700"/>
    <w:rsid w:val="278C458B"/>
    <w:rsid w:val="278F4FAF"/>
    <w:rsid w:val="27EF7F00"/>
    <w:rsid w:val="27F4766A"/>
    <w:rsid w:val="27FD532F"/>
    <w:rsid w:val="28077B0E"/>
    <w:rsid w:val="282D59BE"/>
    <w:rsid w:val="282F4DB5"/>
    <w:rsid w:val="28335BBB"/>
    <w:rsid w:val="28455B4D"/>
    <w:rsid w:val="285359D6"/>
    <w:rsid w:val="2856439D"/>
    <w:rsid w:val="285C3900"/>
    <w:rsid w:val="287071A9"/>
    <w:rsid w:val="28775914"/>
    <w:rsid w:val="28933DE0"/>
    <w:rsid w:val="289C1B04"/>
    <w:rsid w:val="28AF550A"/>
    <w:rsid w:val="28BD3A6D"/>
    <w:rsid w:val="28C45CA8"/>
    <w:rsid w:val="28C91E3B"/>
    <w:rsid w:val="28CA72A8"/>
    <w:rsid w:val="28DC2775"/>
    <w:rsid w:val="290E010D"/>
    <w:rsid w:val="292439F9"/>
    <w:rsid w:val="29337C2E"/>
    <w:rsid w:val="29385F09"/>
    <w:rsid w:val="295A694D"/>
    <w:rsid w:val="29673F30"/>
    <w:rsid w:val="29720D77"/>
    <w:rsid w:val="297707CC"/>
    <w:rsid w:val="298365E4"/>
    <w:rsid w:val="298522ED"/>
    <w:rsid w:val="298609DB"/>
    <w:rsid w:val="29863FB4"/>
    <w:rsid w:val="29A25E24"/>
    <w:rsid w:val="29A51B67"/>
    <w:rsid w:val="29AD224C"/>
    <w:rsid w:val="29BF308A"/>
    <w:rsid w:val="29C8600D"/>
    <w:rsid w:val="29F7558C"/>
    <w:rsid w:val="2A1A23D8"/>
    <w:rsid w:val="2A2F5033"/>
    <w:rsid w:val="2A5E34D1"/>
    <w:rsid w:val="2A641DEA"/>
    <w:rsid w:val="2A8E2CD2"/>
    <w:rsid w:val="2A9914BB"/>
    <w:rsid w:val="2AAD3FF1"/>
    <w:rsid w:val="2AAD7492"/>
    <w:rsid w:val="2ABD19AC"/>
    <w:rsid w:val="2ABF1AF9"/>
    <w:rsid w:val="2ABF68E5"/>
    <w:rsid w:val="2AC51BBA"/>
    <w:rsid w:val="2AC547F0"/>
    <w:rsid w:val="2AC948D4"/>
    <w:rsid w:val="2ACC713E"/>
    <w:rsid w:val="2AD35AE0"/>
    <w:rsid w:val="2AD459DE"/>
    <w:rsid w:val="2B0606CC"/>
    <w:rsid w:val="2B0C447A"/>
    <w:rsid w:val="2B136AEA"/>
    <w:rsid w:val="2B187EB6"/>
    <w:rsid w:val="2B1F3023"/>
    <w:rsid w:val="2B2C3AAF"/>
    <w:rsid w:val="2B3E1D6F"/>
    <w:rsid w:val="2B56162E"/>
    <w:rsid w:val="2B593B39"/>
    <w:rsid w:val="2B5A0B24"/>
    <w:rsid w:val="2B6D4D1B"/>
    <w:rsid w:val="2B77148E"/>
    <w:rsid w:val="2B83685A"/>
    <w:rsid w:val="2B8A5B2A"/>
    <w:rsid w:val="2B952969"/>
    <w:rsid w:val="2B9750FD"/>
    <w:rsid w:val="2BD522EB"/>
    <w:rsid w:val="2BD775D0"/>
    <w:rsid w:val="2BE85FA3"/>
    <w:rsid w:val="2BFC47CC"/>
    <w:rsid w:val="2C0D7A92"/>
    <w:rsid w:val="2C0F6FC7"/>
    <w:rsid w:val="2C3024E1"/>
    <w:rsid w:val="2C401194"/>
    <w:rsid w:val="2C4043F7"/>
    <w:rsid w:val="2C412AC7"/>
    <w:rsid w:val="2C495259"/>
    <w:rsid w:val="2C5350F9"/>
    <w:rsid w:val="2C5F4909"/>
    <w:rsid w:val="2C8218C4"/>
    <w:rsid w:val="2C9211BB"/>
    <w:rsid w:val="2C967E5E"/>
    <w:rsid w:val="2C994607"/>
    <w:rsid w:val="2C9E1307"/>
    <w:rsid w:val="2CA41C9E"/>
    <w:rsid w:val="2CBC42E8"/>
    <w:rsid w:val="2CFB0E6C"/>
    <w:rsid w:val="2D047E53"/>
    <w:rsid w:val="2D0B37FE"/>
    <w:rsid w:val="2D121D72"/>
    <w:rsid w:val="2D1D1A2F"/>
    <w:rsid w:val="2D2001F3"/>
    <w:rsid w:val="2D4032AF"/>
    <w:rsid w:val="2D493E1A"/>
    <w:rsid w:val="2D5A47A5"/>
    <w:rsid w:val="2D852812"/>
    <w:rsid w:val="2DA43272"/>
    <w:rsid w:val="2DA73662"/>
    <w:rsid w:val="2DC162AA"/>
    <w:rsid w:val="2DD625C8"/>
    <w:rsid w:val="2DD97926"/>
    <w:rsid w:val="2DEB6B25"/>
    <w:rsid w:val="2DF44E69"/>
    <w:rsid w:val="2E0D005B"/>
    <w:rsid w:val="2E1A4466"/>
    <w:rsid w:val="2E1B33CE"/>
    <w:rsid w:val="2E387C17"/>
    <w:rsid w:val="2E3E0AA5"/>
    <w:rsid w:val="2E77774B"/>
    <w:rsid w:val="2E7A3EA8"/>
    <w:rsid w:val="2E826755"/>
    <w:rsid w:val="2E975A7F"/>
    <w:rsid w:val="2E9A1CBC"/>
    <w:rsid w:val="2EAA0CBD"/>
    <w:rsid w:val="2EB74B97"/>
    <w:rsid w:val="2EBE05FE"/>
    <w:rsid w:val="2EC05F66"/>
    <w:rsid w:val="2EC306DA"/>
    <w:rsid w:val="2ECC48A0"/>
    <w:rsid w:val="2ED108F4"/>
    <w:rsid w:val="2EDE625E"/>
    <w:rsid w:val="2EE14E4C"/>
    <w:rsid w:val="2EED1710"/>
    <w:rsid w:val="2EEF082D"/>
    <w:rsid w:val="2EF745DB"/>
    <w:rsid w:val="2EFD63FA"/>
    <w:rsid w:val="2F004B0D"/>
    <w:rsid w:val="2F0E0A30"/>
    <w:rsid w:val="2F1A55E9"/>
    <w:rsid w:val="2F1C7AA8"/>
    <w:rsid w:val="2F1E0B59"/>
    <w:rsid w:val="2F380BCF"/>
    <w:rsid w:val="2F3E4987"/>
    <w:rsid w:val="2F410FCB"/>
    <w:rsid w:val="2F604033"/>
    <w:rsid w:val="2F6314CD"/>
    <w:rsid w:val="2F7072DC"/>
    <w:rsid w:val="2F7662CF"/>
    <w:rsid w:val="2F8351E4"/>
    <w:rsid w:val="2F9370E5"/>
    <w:rsid w:val="2FA866E5"/>
    <w:rsid w:val="2FAF222E"/>
    <w:rsid w:val="2FC26B4B"/>
    <w:rsid w:val="2FCA3A43"/>
    <w:rsid w:val="2FD454B8"/>
    <w:rsid w:val="2FE31677"/>
    <w:rsid w:val="2FF27C61"/>
    <w:rsid w:val="303248A8"/>
    <w:rsid w:val="3033581D"/>
    <w:rsid w:val="30422C00"/>
    <w:rsid w:val="305B1027"/>
    <w:rsid w:val="305F41E9"/>
    <w:rsid w:val="3083435C"/>
    <w:rsid w:val="30A22A83"/>
    <w:rsid w:val="30B33B82"/>
    <w:rsid w:val="30B54DC1"/>
    <w:rsid w:val="30CF785F"/>
    <w:rsid w:val="30EA2F43"/>
    <w:rsid w:val="30FF3564"/>
    <w:rsid w:val="31090C0F"/>
    <w:rsid w:val="31116E66"/>
    <w:rsid w:val="3123700D"/>
    <w:rsid w:val="313D29FD"/>
    <w:rsid w:val="315141A3"/>
    <w:rsid w:val="31576E02"/>
    <w:rsid w:val="31816654"/>
    <w:rsid w:val="31A76010"/>
    <w:rsid w:val="31B508D8"/>
    <w:rsid w:val="31B72128"/>
    <w:rsid w:val="31B94805"/>
    <w:rsid w:val="31C35836"/>
    <w:rsid w:val="31C44EAE"/>
    <w:rsid w:val="31C54D56"/>
    <w:rsid w:val="31E944E6"/>
    <w:rsid w:val="31F4750B"/>
    <w:rsid w:val="31F51FA4"/>
    <w:rsid w:val="320704E7"/>
    <w:rsid w:val="322833D9"/>
    <w:rsid w:val="322F4B5E"/>
    <w:rsid w:val="323172ED"/>
    <w:rsid w:val="32384F00"/>
    <w:rsid w:val="323B4BDA"/>
    <w:rsid w:val="3258029B"/>
    <w:rsid w:val="325B6D1E"/>
    <w:rsid w:val="326A4481"/>
    <w:rsid w:val="3276187B"/>
    <w:rsid w:val="32983259"/>
    <w:rsid w:val="32BB1ECF"/>
    <w:rsid w:val="32C4213F"/>
    <w:rsid w:val="32D460FA"/>
    <w:rsid w:val="32F3458D"/>
    <w:rsid w:val="3305399B"/>
    <w:rsid w:val="33186094"/>
    <w:rsid w:val="334727BB"/>
    <w:rsid w:val="335E0538"/>
    <w:rsid w:val="335E56C5"/>
    <w:rsid w:val="33734400"/>
    <w:rsid w:val="33755000"/>
    <w:rsid w:val="337B3EB2"/>
    <w:rsid w:val="338A55D1"/>
    <w:rsid w:val="339F41E6"/>
    <w:rsid w:val="33A36280"/>
    <w:rsid w:val="33C10D52"/>
    <w:rsid w:val="33D76536"/>
    <w:rsid w:val="33E93430"/>
    <w:rsid w:val="33EA2FFB"/>
    <w:rsid w:val="341F1E9B"/>
    <w:rsid w:val="342135F8"/>
    <w:rsid w:val="343324B5"/>
    <w:rsid w:val="346663DE"/>
    <w:rsid w:val="3485314A"/>
    <w:rsid w:val="349A5D5C"/>
    <w:rsid w:val="34A140A1"/>
    <w:rsid w:val="34D3683F"/>
    <w:rsid w:val="34DA3166"/>
    <w:rsid w:val="34E03E81"/>
    <w:rsid w:val="34E34DD1"/>
    <w:rsid w:val="34EA3A60"/>
    <w:rsid w:val="34F059AA"/>
    <w:rsid w:val="35076714"/>
    <w:rsid w:val="350A2CB8"/>
    <w:rsid w:val="351320C1"/>
    <w:rsid w:val="35220EFF"/>
    <w:rsid w:val="35291AA9"/>
    <w:rsid w:val="352C384A"/>
    <w:rsid w:val="3542333C"/>
    <w:rsid w:val="356E22A5"/>
    <w:rsid w:val="356F3994"/>
    <w:rsid w:val="357900E1"/>
    <w:rsid w:val="35833241"/>
    <w:rsid w:val="359676BE"/>
    <w:rsid w:val="359701FE"/>
    <w:rsid w:val="35A036B6"/>
    <w:rsid w:val="35A35D44"/>
    <w:rsid w:val="35BC6CD5"/>
    <w:rsid w:val="35BE14BD"/>
    <w:rsid w:val="35C24DC1"/>
    <w:rsid w:val="35C2672B"/>
    <w:rsid w:val="35C41918"/>
    <w:rsid w:val="35D110A7"/>
    <w:rsid w:val="35EC3A2C"/>
    <w:rsid w:val="35F900D0"/>
    <w:rsid w:val="360C2739"/>
    <w:rsid w:val="36310920"/>
    <w:rsid w:val="36334C1B"/>
    <w:rsid w:val="365872E0"/>
    <w:rsid w:val="366E5E7C"/>
    <w:rsid w:val="367D5333"/>
    <w:rsid w:val="36804190"/>
    <w:rsid w:val="368542EA"/>
    <w:rsid w:val="36856E45"/>
    <w:rsid w:val="369317EE"/>
    <w:rsid w:val="36AB3869"/>
    <w:rsid w:val="36AD377B"/>
    <w:rsid w:val="36F4632E"/>
    <w:rsid w:val="37004331"/>
    <w:rsid w:val="3718450A"/>
    <w:rsid w:val="371A1026"/>
    <w:rsid w:val="37251203"/>
    <w:rsid w:val="3726459B"/>
    <w:rsid w:val="37276318"/>
    <w:rsid w:val="373221C6"/>
    <w:rsid w:val="37374B4C"/>
    <w:rsid w:val="373F7B8F"/>
    <w:rsid w:val="37484992"/>
    <w:rsid w:val="375C1F78"/>
    <w:rsid w:val="3776277C"/>
    <w:rsid w:val="377E1704"/>
    <w:rsid w:val="37A21D73"/>
    <w:rsid w:val="37AE38EF"/>
    <w:rsid w:val="37BF564B"/>
    <w:rsid w:val="37CA05E3"/>
    <w:rsid w:val="37D066FF"/>
    <w:rsid w:val="37D11AE4"/>
    <w:rsid w:val="37D3036F"/>
    <w:rsid w:val="37DF45B1"/>
    <w:rsid w:val="37EA6FA8"/>
    <w:rsid w:val="382335A0"/>
    <w:rsid w:val="382E799D"/>
    <w:rsid w:val="38427400"/>
    <w:rsid w:val="38450270"/>
    <w:rsid w:val="38455D94"/>
    <w:rsid w:val="385017D4"/>
    <w:rsid w:val="38593F1E"/>
    <w:rsid w:val="386D4F1D"/>
    <w:rsid w:val="38726FDA"/>
    <w:rsid w:val="38AD34A0"/>
    <w:rsid w:val="38B51866"/>
    <w:rsid w:val="38BE0D5D"/>
    <w:rsid w:val="38D6099D"/>
    <w:rsid w:val="390C5150"/>
    <w:rsid w:val="391C5010"/>
    <w:rsid w:val="39220683"/>
    <w:rsid w:val="39264502"/>
    <w:rsid w:val="392E4C42"/>
    <w:rsid w:val="392E796C"/>
    <w:rsid w:val="3943087E"/>
    <w:rsid w:val="394967A8"/>
    <w:rsid w:val="39527A72"/>
    <w:rsid w:val="39701AC1"/>
    <w:rsid w:val="39A1710D"/>
    <w:rsid w:val="39A608F0"/>
    <w:rsid w:val="39AD7A38"/>
    <w:rsid w:val="39AE1A8F"/>
    <w:rsid w:val="39AF3E83"/>
    <w:rsid w:val="39B1001A"/>
    <w:rsid w:val="39BA01F9"/>
    <w:rsid w:val="39BB6AA7"/>
    <w:rsid w:val="39BC5700"/>
    <w:rsid w:val="39D459A1"/>
    <w:rsid w:val="39E519FF"/>
    <w:rsid w:val="39EA3BE1"/>
    <w:rsid w:val="39FF458A"/>
    <w:rsid w:val="3A0D7250"/>
    <w:rsid w:val="3A1D3106"/>
    <w:rsid w:val="3A257D1A"/>
    <w:rsid w:val="3A4D75DC"/>
    <w:rsid w:val="3A5E15EE"/>
    <w:rsid w:val="3AAD0C46"/>
    <w:rsid w:val="3ABD5769"/>
    <w:rsid w:val="3AF5708D"/>
    <w:rsid w:val="3B0011C4"/>
    <w:rsid w:val="3B00430F"/>
    <w:rsid w:val="3B1B65B2"/>
    <w:rsid w:val="3B3445C7"/>
    <w:rsid w:val="3B482383"/>
    <w:rsid w:val="3B82155B"/>
    <w:rsid w:val="3B82779D"/>
    <w:rsid w:val="3B8E30E3"/>
    <w:rsid w:val="3B9F044D"/>
    <w:rsid w:val="3BA450E0"/>
    <w:rsid w:val="3BB10716"/>
    <w:rsid w:val="3BB815F7"/>
    <w:rsid w:val="3BBE52EC"/>
    <w:rsid w:val="3BC268DA"/>
    <w:rsid w:val="3BC83E2E"/>
    <w:rsid w:val="3BCB0C44"/>
    <w:rsid w:val="3BD43A74"/>
    <w:rsid w:val="3BD92C3A"/>
    <w:rsid w:val="3BE64CC6"/>
    <w:rsid w:val="3C0D627F"/>
    <w:rsid w:val="3C1411EF"/>
    <w:rsid w:val="3C15133F"/>
    <w:rsid w:val="3C2A731D"/>
    <w:rsid w:val="3C3252B3"/>
    <w:rsid w:val="3C38756B"/>
    <w:rsid w:val="3C534F4D"/>
    <w:rsid w:val="3C71316F"/>
    <w:rsid w:val="3C731101"/>
    <w:rsid w:val="3C744113"/>
    <w:rsid w:val="3C787B38"/>
    <w:rsid w:val="3C8341AD"/>
    <w:rsid w:val="3C937FF5"/>
    <w:rsid w:val="3C9930DB"/>
    <w:rsid w:val="3CA275C8"/>
    <w:rsid w:val="3CA32C06"/>
    <w:rsid w:val="3CA60335"/>
    <w:rsid w:val="3CD003FE"/>
    <w:rsid w:val="3CF640EE"/>
    <w:rsid w:val="3D1040D5"/>
    <w:rsid w:val="3D142B0D"/>
    <w:rsid w:val="3D157474"/>
    <w:rsid w:val="3D2D3EBF"/>
    <w:rsid w:val="3D6C3341"/>
    <w:rsid w:val="3D744801"/>
    <w:rsid w:val="3D751B5B"/>
    <w:rsid w:val="3D776748"/>
    <w:rsid w:val="3D843FB8"/>
    <w:rsid w:val="3D933222"/>
    <w:rsid w:val="3DA90320"/>
    <w:rsid w:val="3DC65FC3"/>
    <w:rsid w:val="3DDB5C20"/>
    <w:rsid w:val="3DDE14BC"/>
    <w:rsid w:val="3DE56B22"/>
    <w:rsid w:val="3DED1354"/>
    <w:rsid w:val="3DED155F"/>
    <w:rsid w:val="3E016088"/>
    <w:rsid w:val="3E056EF4"/>
    <w:rsid w:val="3E243B5B"/>
    <w:rsid w:val="3E3274FD"/>
    <w:rsid w:val="3E34154B"/>
    <w:rsid w:val="3E630262"/>
    <w:rsid w:val="3E797F4E"/>
    <w:rsid w:val="3E7D2A2C"/>
    <w:rsid w:val="3E7D4676"/>
    <w:rsid w:val="3E8763F2"/>
    <w:rsid w:val="3E8E79D1"/>
    <w:rsid w:val="3EDD5093"/>
    <w:rsid w:val="3EDD6558"/>
    <w:rsid w:val="3EEA6B21"/>
    <w:rsid w:val="3EFB729A"/>
    <w:rsid w:val="3F044B05"/>
    <w:rsid w:val="3F281E76"/>
    <w:rsid w:val="3F295991"/>
    <w:rsid w:val="3F31507B"/>
    <w:rsid w:val="3F3B6A4B"/>
    <w:rsid w:val="3F5002E3"/>
    <w:rsid w:val="3F530D5C"/>
    <w:rsid w:val="3F6B0876"/>
    <w:rsid w:val="3FAB0FB7"/>
    <w:rsid w:val="3FCD0E6F"/>
    <w:rsid w:val="3FF658CE"/>
    <w:rsid w:val="40092770"/>
    <w:rsid w:val="400A2C20"/>
    <w:rsid w:val="400C1996"/>
    <w:rsid w:val="401A7E75"/>
    <w:rsid w:val="402E595F"/>
    <w:rsid w:val="404333D0"/>
    <w:rsid w:val="40512BAA"/>
    <w:rsid w:val="40532E6D"/>
    <w:rsid w:val="406C086A"/>
    <w:rsid w:val="407E739D"/>
    <w:rsid w:val="407F3128"/>
    <w:rsid w:val="40B21210"/>
    <w:rsid w:val="40F12E25"/>
    <w:rsid w:val="40F54CE7"/>
    <w:rsid w:val="41216841"/>
    <w:rsid w:val="41450A1B"/>
    <w:rsid w:val="414D1708"/>
    <w:rsid w:val="415D412B"/>
    <w:rsid w:val="415E7E94"/>
    <w:rsid w:val="416614B0"/>
    <w:rsid w:val="41704024"/>
    <w:rsid w:val="41814218"/>
    <w:rsid w:val="41860729"/>
    <w:rsid w:val="419A24EE"/>
    <w:rsid w:val="41A25C83"/>
    <w:rsid w:val="41A3106F"/>
    <w:rsid w:val="41B55999"/>
    <w:rsid w:val="41BE7EE5"/>
    <w:rsid w:val="41E00D16"/>
    <w:rsid w:val="41E34C26"/>
    <w:rsid w:val="41F40B7B"/>
    <w:rsid w:val="420A0D50"/>
    <w:rsid w:val="421D0E3F"/>
    <w:rsid w:val="422D315A"/>
    <w:rsid w:val="4246497D"/>
    <w:rsid w:val="4251192D"/>
    <w:rsid w:val="425D2435"/>
    <w:rsid w:val="428923AB"/>
    <w:rsid w:val="42976BA9"/>
    <w:rsid w:val="42B010E7"/>
    <w:rsid w:val="42C65048"/>
    <w:rsid w:val="42CC7CE7"/>
    <w:rsid w:val="42E82CA5"/>
    <w:rsid w:val="430A12C8"/>
    <w:rsid w:val="434C3BC8"/>
    <w:rsid w:val="43534020"/>
    <w:rsid w:val="435E3B1A"/>
    <w:rsid w:val="435F339A"/>
    <w:rsid w:val="43697937"/>
    <w:rsid w:val="436D68FF"/>
    <w:rsid w:val="4379579C"/>
    <w:rsid w:val="437C6490"/>
    <w:rsid w:val="437E2E20"/>
    <w:rsid w:val="438859AA"/>
    <w:rsid w:val="43A06629"/>
    <w:rsid w:val="43B42A3E"/>
    <w:rsid w:val="43BA40FD"/>
    <w:rsid w:val="43C06366"/>
    <w:rsid w:val="43C11723"/>
    <w:rsid w:val="43CE7BE0"/>
    <w:rsid w:val="43EA156F"/>
    <w:rsid w:val="43F179D9"/>
    <w:rsid w:val="4402611C"/>
    <w:rsid w:val="440B182B"/>
    <w:rsid w:val="44147EFE"/>
    <w:rsid w:val="44166ECD"/>
    <w:rsid w:val="443579E2"/>
    <w:rsid w:val="444933B3"/>
    <w:rsid w:val="44585050"/>
    <w:rsid w:val="445F033D"/>
    <w:rsid w:val="44645846"/>
    <w:rsid w:val="446C6173"/>
    <w:rsid w:val="447921DD"/>
    <w:rsid w:val="44870561"/>
    <w:rsid w:val="4489357B"/>
    <w:rsid w:val="449D4705"/>
    <w:rsid w:val="44D54A35"/>
    <w:rsid w:val="44EA6F5A"/>
    <w:rsid w:val="44EF0F63"/>
    <w:rsid w:val="44F75061"/>
    <w:rsid w:val="45230963"/>
    <w:rsid w:val="45291DF7"/>
    <w:rsid w:val="45332F04"/>
    <w:rsid w:val="45440722"/>
    <w:rsid w:val="45557471"/>
    <w:rsid w:val="455A54FC"/>
    <w:rsid w:val="455B491A"/>
    <w:rsid w:val="45641D1D"/>
    <w:rsid w:val="45725712"/>
    <w:rsid w:val="45797CCE"/>
    <w:rsid w:val="45AD68CF"/>
    <w:rsid w:val="45D76053"/>
    <w:rsid w:val="45DE77D5"/>
    <w:rsid w:val="45E66DA3"/>
    <w:rsid w:val="45FF7B1A"/>
    <w:rsid w:val="46031B10"/>
    <w:rsid w:val="462620BC"/>
    <w:rsid w:val="462A1FEB"/>
    <w:rsid w:val="46800BAF"/>
    <w:rsid w:val="46884A05"/>
    <w:rsid w:val="46AA6242"/>
    <w:rsid w:val="46AA7FDA"/>
    <w:rsid w:val="46AF7BB5"/>
    <w:rsid w:val="46D00FB3"/>
    <w:rsid w:val="46DB1C9C"/>
    <w:rsid w:val="46F07F2F"/>
    <w:rsid w:val="46FA4E12"/>
    <w:rsid w:val="46FD2060"/>
    <w:rsid w:val="47257BD5"/>
    <w:rsid w:val="47286033"/>
    <w:rsid w:val="472B562D"/>
    <w:rsid w:val="4733124D"/>
    <w:rsid w:val="47414406"/>
    <w:rsid w:val="47686D1A"/>
    <w:rsid w:val="476B3967"/>
    <w:rsid w:val="477A474F"/>
    <w:rsid w:val="47880FC6"/>
    <w:rsid w:val="47A24E5A"/>
    <w:rsid w:val="47A70D51"/>
    <w:rsid w:val="47B05866"/>
    <w:rsid w:val="47B8548F"/>
    <w:rsid w:val="47BF72AD"/>
    <w:rsid w:val="47EF6C8C"/>
    <w:rsid w:val="47FA7971"/>
    <w:rsid w:val="47FE132E"/>
    <w:rsid w:val="48104B33"/>
    <w:rsid w:val="484550FE"/>
    <w:rsid w:val="4854557E"/>
    <w:rsid w:val="48574C2A"/>
    <w:rsid w:val="486F35DC"/>
    <w:rsid w:val="487D58F4"/>
    <w:rsid w:val="48836EED"/>
    <w:rsid w:val="48885DF3"/>
    <w:rsid w:val="48961240"/>
    <w:rsid w:val="489C6E9F"/>
    <w:rsid w:val="48AC0F8F"/>
    <w:rsid w:val="48BA0FF1"/>
    <w:rsid w:val="48CA05AA"/>
    <w:rsid w:val="48EC52A3"/>
    <w:rsid w:val="48F63997"/>
    <w:rsid w:val="48FF10EA"/>
    <w:rsid w:val="49095573"/>
    <w:rsid w:val="4918667D"/>
    <w:rsid w:val="491C66E7"/>
    <w:rsid w:val="491F27A8"/>
    <w:rsid w:val="493076AA"/>
    <w:rsid w:val="493A5050"/>
    <w:rsid w:val="493B6C82"/>
    <w:rsid w:val="49472695"/>
    <w:rsid w:val="496B7FE5"/>
    <w:rsid w:val="49703C65"/>
    <w:rsid w:val="49895D11"/>
    <w:rsid w:val="498F5F6A"/>
    <w:rsid w:val="49BD3CAB"/>
    <w:rsid w:val="49C46887"/>
    <w:rsid w:val="4A11395F"/>
    <w:rsid w:val="4A3E7E5F"/>
    <w:rsid w:val="4A46389C"/>
    <w:rsid w:val="4A4873CC"/>
    <w:rsid w:val="4A6A5D0F"/>
    <w:rsid w:val="4A7814EB"/>
    <w:rsid w:val="4AAE2788"/>
    <w:rsid w:val="4AB20C75"/>
    <w:rsid w:val="4AB214A4"/>
    <w:rsid w:val="4AC61176"/>
    <w:rsid w:val="4B1245F6"/>
    <w:rsid w:val="4B146680"/>
    <w:rsid w:val="4B3938C1"/>
    <w:rsid w:val="4B430432"/>
    <w:rsid w:val="4B58466F"/>
    <w:rsid w:val="4B70148A"/>
    <w:rsid w:val="4B741888"/>
    <w:rsid w:val="4B8D00C1"/>
    <w:rsid w:val="4B98224E"/>
    <w:rsid w:val="4B9B7F04"/>
    <w:rsid w:val="4B9E6273"/>
    <w:rsid w:val="4BC8173F"/>
    <w:rsid w:val="4BCA44BB"/>
    <w:rsid w:val="4BF0614B"/>
    <w:rsid w:val="4BF662C5"/>
    <w:rsid w:val="4C1E0160"/>
    <w:rsid w:val="4C20316B"/>
    <w:rsid w:val="4C204AF0"/>
    <w:rsid w:val="4C272789"/>
    <w:rsid w:val="4C4051A3"/>
    <w:rsid w:val="4C475D7B"/>
    <w:rsid w:val="4C481693"/>
    <w:rsid w:val="4C7410DC"/>
    <w:rsid w:val="4CC31DEB"/>
    <w:rsid w:val="4CCC348D"/>
    <w:rsid w:val="4CD21190"/>
    <w:rsid w:val="4CE115C1"/>
    <w:rsid w:val="4CF246F4"/>
    <w:rsid w:val="4D1B5BB8"/>
    <w:rsid w:val="4D1D5F70"/>
    <w:rsid w:val="4D2B3D96"/>
    <w:rsid w:val="4D430F1F"/>
    <w:rsid w:val="4D4A4033"/>
    <w:rsid w:val="4D4B34EC"/>
    <w:rsid w:val="4D6C47E7"/>
    <w:rsid w:val="4D7C656B"/>
    <w:rsid w:val="4D7D408D"/>
    <w:rsid w:val="4D920B6C"/>
    <w:rsid w:val="4DA23626"/>
    <w:rsid w:val="4DAB7FF5"/>
    <w:rsid w:val="4DB30043"/>
    <w:rsid w:val="4DB34A84"/>
    <w:rsid w:val="4DCB30D5"/>
    <w:rsid w:val="4DF62E9F"/>
    <w:rsid w:val="4E0A7737"/>
    <w:rsid w:val="4E3B4619"/>
    <w:rsid w:val="4E53228F"/>
    <w:rsid w:val="4E6401BC"/>
    <w:rsid w:val="4E74705F"/>
    <w:rsid w:val="4E8846D5"/>
    <w:rsid w:val="4E997F28"/>
    <w:rsid w:val="4E9A755E"/>
    <w:rsid w:val="4EB44EA4"/>
    <w:rsid w:val="4EB57574"/>
    <w:rsid w:val="4EBD50F0"/>
    <w:rsid w:val="4ED07571"/>
    <w:rsid w:val="4EE10DB3"/>
    <w:rsid w:val="4EF76772"/>
    <w:rsid w:val="4F177B10"/>
    <w:rsid w:val="4F264684"/>
    <w:rsid w:val="4F4A4DFD"/>
    <w:rsid w:val="4F5E54F3"/>
    <w:rsid w:val="4F665AAF"/>
    <w:rsid w:val="4F772FD9"/>
    <w:rsid w:val="4F8718D1"/>
    <w:rsid w:val="4F8B403B"/>
    <w:rsid w:val="4FA62CC9"/>
    <w:rsid w:val="4FA90345"/>
    <w:rsid w:val="4FB017A1"/>
    <w:rsid w:val="4FB4060D"/>
    <w:rsid w:val="4FB81976"/>
    <w:rsid w:val="4FCF06F1"/>
    <w:rsid w:val="50093EEF"/>
    <w:rsid w:val="50187B08"/>
    <w:rsid w:val="501C0449"/>
    <w:rsid w:val="502917F3"/>
    <w:rsid w:val="504A3789"/>
    <w:rsid w:val="505436BA"/>
    <w:rsid w:val="506914FF"/>
    <w:rsid w:val="507402D6"/>
    <w:rsid w:val="50902DD9"/>
    <w:rsid w:val="50946E84"/>
    <w:rsid w:val="50A20CCA"/>
    <w:rsid w:val="50CE06B5"/>
    <w:rsid w:val="50D23F19"/>
    <w:rsid w:val="50D626BA"/>
    <w:rsid w:val="50DB4B82"/>
    <w:rsid w:val="50E84E2B"/>
    <w:rsid w:val="50F120FE"/>
    <w:rsid w:val="50F1429B"/>
    <w:rsid w:val="50F74F91"/>
    <w:rsid w:val="5107689D"/>
    <w:rsid w:val="51101DF7"/>
    <w:rsid w:val="5143203A"/>
    <w:rsid w:val="51436579"/>
    <w:rsid w:val="514A0709"/>
    <w:rsid w:val="515115CE"/>
    <w:rsid w:val="517A02B5"/>
    <w:rsid w:val="519112E4"/>
    <w:rsid w:val="51953547"/>
    <w:rsid w:val="51A71E06"/>
    <w:rsid w:val="51C83D1C"/>
    <w:rsid w:val="51D002A4"/>
    <w:rsid w:val="51D04835"/>
    <w:rsid w:val="51D27CFF"/>
    <w:rsid w:val="51D317A9"/>
    <w:rsid w:val="51DD2E63"/>
    <w:rsid w:val="51E30C6E"/>
    <w:rsid w:val="51F3708E"/>
    <w:rsid w:val="51F433E9"/>
    <w:rsid w:val="51F837AD"/>
    <w:rsid w:val="5203304A"/>
    <w:rsid w:val="52126156"/>
    <w:rsid w:val="522B52C6"/>
    <w:rsid w:val="522B58C5"/>
    <w:rsid w:val="522C071B"/>
    <w:rsid w:val="526F78EC"/>
    <w:rsid w:val="527625C2"/>
    <w:rsid w:val="52826104"/>
    <w:rsid w:val="528A7428"/>
    <w:rsid w:val="52AB09F0"/>
    <w:rsid w:val="52D73320"/>
    <w:rsid w:val="52DD6A43"/>
    <w:rsid w:val="52E80845"/>
    <w:rsid w:val="530E617D"/>
    <w:rsid w:val="53107BF7"/>
    <w:rsid w:val="531859EB"/>
    <w:rsid w:val="53196DFF"/>
    <w:rsid w:val="531C69B2"/>
    <w:rsid w:val="532450F8"/>
    <w:rsid w:val="53271844"/>
    <w:rsid w:val="533571E8"/>
    <w:rsid w:val="533B0181"/>
    <w:rsid w:val="534D2E72"/>
    <w:rsid w:val="5354761B"/>
    <w:rsid w:val="536757FA"/>
    <w:rsid w:val="537C4359"/>
    <w:rsid w:val="537C5160"/>
    <w:rsid w:val="53840E06"/>
    <w:rsid w:val="53881E20"/>
    <w:rsid w:val="538C5762"/>
    <w:rsid w:val="53960711"/>
    <w:rsid w:val="53971CA9"/>
    <w:rsid w:val="539922E5"/>
    <w:rsid w:val="53DC13FC"/>
    <w:rsid w:val="53DE4BA0"/>
    <w:rsid w:val="53F808B0"/>
    <w:rsid w:val="54015B08"/>
    <w:rsid w:val="540E16EA"/>
    <w:rsid w:val="5412776E"/>
    <w:rsid w:val="541331FD"/>
    <w:rsid w:val="541E5727"/>
    <w:rsid w:val="542414FE"/>
    <w:rsid w:val="544766FB"/>
    <w:rsid w:val="54675CE9"/>
    <w:rsid w:val="548060F4"/>
    <w:rsid w:val="54814995"/>
    <w:rsid w:val="54826C49"/>
    <w:rsid w:val="54A53FA9"/>
    <w:rsid w:val="54AC30A7"/>
    <w:rsid w:val="54AE099F"/>
    <w:rsid w:val="54B249F7"/>
    <w:rsid w:val="54C423CE"/>
    <w:rsid w:val="54D674EB"/>
    <w:rsid w:val="54E95258"/>
    <w:rsid w:val="54ED5D03"/>
    <w:rsid w:val="55020C34"/>
    <w:rsid w:val="551E4C6C"/>
    <w:rsid w:val="55584F11"/>
    <w:rsid w:val="55741F07"/>
    <w:rsid w:val="55827FFA"/>
    <w:rsid w:val="5589194C"/>
    <w:rsid w:val="55923E6E"/>
    <w:rsid w:val="559773D3"/>
    <w:rsid w:val="55A532C3"/>
    <w:rsid w:val="55A72B38"/>
    <w:rsid w:val="55A757D5"/>
    <w:rsid w:val="55CE26F5"/>
    <w:rsid w:val="55D4681F"/>
    <w:rsid w:val="55E24B06"/>
    <w:rsid w:val="55EA4B83"/>
    <w:rsid w:val="562F4167"/>
    <w:rsid w:val="56451B8A"/>
    <w:rsid w:val="56462E8B"/>
    <w:rsid w:val="565D34BC"/>
    <w:rsid w:val="5667073E"/>
    <w:rsid w:val="56732391"/>
    <w:rsid w:val="5679598C"/>
    <w:rsid w:val="56870DBA"/>
    <w:rsid w:val="56B124D4"/>
    <w:rsid w:val="56B90370"/>
    <w:rsid w:val="56BB0F25"/>
    <w:rsid w:val="56C20B0D"/>
    <w:rsid w:val="56E32768"/>
    <w:rsid w:val="56EA7FB2"/>
    <w:rsid w:val="572629E7"/>
    <w:rsid w:val="57282DF8"/>
    <w:rsid w:val="57634EFB"/>
    <w:rsid w:val="577240BB"/>
    <w:rsid w:val="57773E8A"/>
    <w:rsid w:val="577B32D0"/>
    <w:rsid w:val="577C4040"/>
    <w:rsid w:val="577C567C"/>
    <w:rsid w:val="57817EFF"/>
    <w:rsid w:val="578F3B26"/>
    <w:rsid w:val="57965801"/>
    <w:rsid w:val="57986352"/>
    <w:rsid w:val="57CC46E2"/>
    <w:rsid w:val="58172B39"/>
    <w:rsid w:val="58197A20"/>
    <w:rsid w:val="58297644"/>
    <w:rsid w:val="584414E5"/>
    <w:rsid w:val="584F2C0B"/>
    <w:rsid w:val="58500898"/>
    <w:rsid w:val="589049E2"/>
    <w:rsid w:val="589B7524"/>
    <w:rsid w:val="58A16AE8"/>
    <w:rsid w:val="58AF5A95"/>
    <w:rsid w:val="58DD6052"/>
    <w:rsid w:val="58DF48B7"/>
    <w:rsid w:val="590D1404"/>
    <w:rsid w:val="59172160"/>
    <w:rsid w:val="593B3A6B"/>
    <w:rsid w:val="595717F6"/>
    <w:rsid w:val="595840AD"/>
    <w:rsid w:val="59662EC3"/>
    <w:rsid w:val="5970796C"/>
    <w:rsid w:val="59853497"/>
    <w:rsid w:val="59A76DC5"/>
    <w:rsid w:val="59A81446"/>
    <w:rsid w:val="59AC0FA8"/>
    <w:rsid w:val="59E611EA"/>
    <w:rsid w:val="5A072D86"/>
    <w:rsid w:val="5A2A37D2"/>
    <w:rsid w:val="5A373013"/>
    <w:rsid w:val="5A375996"/>
    <w:rsid w:val="5A551D11"/>
    <w:rsid w:val="5A6C1A15"/>
    <w:rsid w:val="5A7567FB"/>
    <w:rsid w:val="5A930F54"/>
    <w:rsid w:val="5ACC45E5"/>
    <w:rsid w:val="5AF41D9C"/>
    <w:rsid w:val="5AFC1C26"/>
    <w:rsid w:val="5B0E28E9"/>
    <w:rsid w:val="5B180D16"/>
    <w:rsid w:val="5B234DD2"/>
    <w:rsid w:val="5B5E1F19"/>
    <w:rsid w:val="5B5E4DA1"/>
    <w:rsid w:val="5B673F24"/>
    <w:rsid w:val="5B680157"/>
    <w:rsid w:val="5B683CC7"/>
    <w:rsid w:val="5B6866D3"/>
    <w:rsid w:val="5B694743"/>
    <w:rsid w:val="5B945B30"/>
    <w:rsid w:val="5BAF1843"/>
    <w:rsid w:val="5BB54996"/>
    <w:rsid w:val="5BC87F99"/>
    <w:rsid w:val="5BDA6EE9"/>
    <w:rsid w:val="5BDB5F3F"/>
    <w:rsid w:val="5BE07375"/>
    <w:rsid w:val="5BE32EB5"/>
    <w:rsid w:val="5BE5599F"/>
    <w:rsid w:val="5BE842B6"/>
    <w:rsid w:val="5BEB010F"/>
    <w:rsid w:val="5BF941DC"/>
    <w:rsid w:val="5BFE63F0"/>
    <w:rsid w:val="5C045F25"/>
    <w:rsid w:val="5C0508F6"/>
    <w:rsid w:val="5C1141BA"/>
    <w:rsid w:val="5C263C7A"/>
    <w:rsid w:val="5C48669F"/>
    <w:rsid w:val="5C547284"/>
    <w:rsid w:val="5C564119"/>
    <w:rsid w:val="5C85716C"/>
    <w:rsid w:val="5C86631B"/>
    <w:rsid w:val="5C897C6C"/>
    <w:rsid w:val="5CA77586"/>
    <w:rsid w:val="5CAC2A0E"/>
    <w:rsid w:val="5CB44FA8"/>
    <w:rsid w:val="5CB45F05"/>
    <w:rsid w:val="5CE57138"/>
    <w:rsid w:val="5CE92E71"/>
    <w:rsid w:val="5CEC5B15"/>
    <w:rsid w:val="5D045232"/>
    <w:rsid w:val="5D07673E"/>
    <w:rsid w:val="5D160E93"/>
    <w:rsid w:val="5D320432"/>
    <w:rsid w:val="5D677F83"/>
    <w:rsid w:val="5D6E44F5"/>
    <w:rsid w:val="5D6E7D1D"/>
    <w:rsid w:val="5D765E11"/>
    <w:rsid w:val="5D802D6E"/>
    <w:rsid w:val="5D957A63"/>
    <w:rsid w:val="5DC55994"/>
    <w:rsid w:val="5DC93B5E"/>
    <w:rsid w:val="5DCD0195"/>
    <w:rsid w:val="5DD419ED"/>
    <w:rsid w:val="5DE076AA"/>
    <w:rsid w:val="5DE7163A"/>
    <w:rsid w:val="5DEF189B"/>
    <w:rsid w:val="5DFB2D47"/>
    <w:rsid w:val="5E024F03"/>
    <w:rsid w:val="5E04598C"/>
    <w:rsid w:val="5E0505A3"/>
    <w:rsid w:val="5E166BB3"/>
    <w:rsid w:val="5E235A81"/>
    <w:rsid w:val="5E251952"/>
    <w:rsid w:val="5E2870D7"/>
    <w:rsid w:val="5E327337"/>
    <w:rsid w:val="5E4C7A1D"/>
    <w:rsid w:val="5E707376"/>
    <w:rsid w:val="5E7A5247"/>
    <w:rsid w:val="5E8D5C87"/>
    <w:rsid w:val="5EA25831"/>
    <w:rsid w:val="5EAA04D1"/>
    <w:rsid w:val="5EB24E3F"/>
    <w:rsid w:val="5EB26DBF"/>
    <w:rsid w:val="5ED4130F"/>
    <w:rsid w:val="5EE35E66"/>
    <w:rsid w:val="5EFF1716"/>
    <w:rsid w:val="5F004D0B"/>
    <w:rsid w:val="5F043A6D"/>
    <w:rsid w:val="5F0A0EB9"/>
    <w:rsid w:val="5F0B615B"/>
    <w:rsid w:val="5F151C04"/>
    <w:rsid w:val="5F1C1056"/>
    <w:rsid w:val="5F2341ED"/>
    <w:rsid w:val="5F281A52"/>
    <w:rsid w:val="5F495256"/>
    <w:rsid w:val="5F4F72B0"/>
    <w:rsid w:val="5F516467"/>
    <w:rsid w:val="5F5838BF"/>
    <w:rsid w:val="5F6360AA"/>
    <w:rsid w:val="5F6D4BB9"/>
    <w:rsid w:val="5F70593D"/>
    <w:rsid w:val="5F855D94"/>
    <w:rsid w:val="5F861153"/>
    <w:rsid w:val="5F9204BA"/>
    <w:rsid w:val="5FA8147C"/>
    <w:rsid w:val="5FA876EC"/>
    <w:rsid w:val="5FA96D0A"/>
    <w:rsid w:val="5FBD6ED2"/>
    <w:rsid w:val="5FE66913"/>
    <w:rsid w:val="5FE97F07"/>
    <w:rsid w:val="5FF003EC"/>
    <w:rsid w:val="60151AA6"/>
    <w:rsid w:val="602120EB"/>
    <w:rsid w:val="603E3F36"/>
    <w:rsid w:val="60592C2A"/>
    <w:rsid w:val="605971F7"/>
    <w:rsid w:val="605D5C5C"/>
    <w:rsid w:val="606C1473"/>
    <w:rsid w:val="60773E29"/>
    <w:rsid w:val="6088154E"/>
    <w:rsid w:val="608C2941"/>
    <w:rsid w:val="60947E05"/>
    <w:rsid w:val="60960E90"/>
    <w:rsid w:val="609954F5"/>
    <w:rsid w:val="60A26D2E"/>
    <w:rsid w:val="60EC10A9"/>
    <w:rsid w:val="60EC6B18"/>
    <w:rsid w:val="60FA0AB6"/>
    <w:rsid w:val="61070953"/>
    <w:rsid w:val="610E276C"/>
    <w:rsid w:val="61106003"/>
    <w:rsid w:val="611271C7"/>
    <w:rsid w:val="61215746"/>
    <w:rsid w:val="612402E7"/>
    <w:rsid w:val="612E0E3D"/>
    <w:rsid w:val="612E22AD"/>
    <w:rsid w:val="6140768D"/>
    <w:rsid w:val="617D3627"/>
    <w:rsid w:val="61896B41"/>
    <w:rsid w:val="619625D8"/>
    <w:rsid w:val="61991B4F"/>
    <w:rsid w:val="619B1D51"/>
    <w:rsid w:val="619D40C4"/>
    <w:rsid w:val="61A26CFF"/>
    <w:rsid w:val="61A344F5"/>
    <w:rsid w:val="61CB0D95"/>
    <w:rsid w:val="61DF25B9"/>
    <w:rsid w:val="61E53C5A"/>
    <w:rsid w:val="620D669B"/>
    <w:rsid w:val="620E2A51"/>
    <w:rsid w:val="621064E2"/>
    <w:rsid w:val="6257673B"/>
    <w:rsid w:val="6265786C"/>
    <w:rsid w:val="627622F6"/>
    <w:rsid w:val="62804E1B"/>
    <w:rsid w:val="628A4A81"/>
    <w:rsid w:val="628C247A"/>
    <w:rsid w:val="629E01FD"/>
    <w:rsid w:val="62AC331B"/>
    <w:rsid w:val="62AE7BEE"/>
    <w:rsid w:val="62BA36A2"/>
    <w:rsid w:val="62CF2EAA"/>
    <w:rsid w:val="63136613"/>
    <w:rsid w:val="632716F0"/>
    <w:rsid w:val="633953A7"/>
    <w:rsid w:val="633D54D4"/>
    <w:rsid w:val="63486A20"/>
    <w:rsid w:val="635658A9"/>
    <w:rsid w:val="63607003"/>
    <w:rsid w:val="6373181B"/>
    <w:rsid w:val="63844BA4"/>
    <w:rsid w:val="639242E9"/>
    <w:rsid w:val="63B53D27"/>
    <w:rsid w:val="63C3473D"/>
    <w:rsid w:val="63E93326"/>
    <w:rsid w:val="642566B3"/>
    <w:rsid w:val="643C492E"/>
    <w:rsid w:val="64436596"/>
    <w:rsid w:val="645E6059"/>
    <w:rsid w:val="64656AAB"/>
    <w:rsid w:val="64676503"/>
    <w:rsid w:val="647D3FD4"/>
    <w:rsid w:val="6480679B"/>
    <w:rsid w:val="649B6586"/>
    <w:rsid w:val="64AA4377"/>
    <w:rsid w:val="64D7487C"/>
    <w:rsid w:val="64D94115"/>
    <w:rsid w:val="64DB66C2"/>
    <w:rsid w:val="64ED0CBE"/>
    <w:rsid w:val="650C61F4"/>
    <w:rsid w:val="651C73C4"/>
    <w:rsid w:val="652B579B"/>
    <w:rsid w:val="652E0580"/>
    <w:rsid w:val="653D2EBD"/>
    <w:rsid w:val="6551679B"/>
    <w:rsid w:val="655419EC"/>
    <w:rsid w:val="655937A9"/>
    <w:rsid w:val="655B599C"/>
    <w:rsid w:val="65660F33"/>
    <w:rsid w:val="65697462"/>
    <w:rsid w:val="65C764E0"/>
    <w:rsid w:val="65CD3607"/>
    <w:rsid w:val="65D277A3"/>
    <w:rsid w:val="65DF0FB5"/>
    <w:rsid w:val="65E965C2"/>
    <w:rsid w:val="65F6559B"/>
    <w:rsid w:val="66083ADD"/>
    <w:rsid w:val="660D52DC"/>
    <w:rsid w:val="6643182D"/>
    <w:rsid w:val="664E5D6D"/>
    <w:rsid w:val="66576985"/>
    <w:rsid w:val="6667458E"/>
    <w:rsid w:val="667C3221"/>
    <w:rsid w:val="66842CB9"/>
    <w:rsid w:val="66986249"/>
    <w:rsid w:val="66A86E9D"/>
    <w:rsid w:val="66B56F82"/>
    <w:rsid w:val="66D5752A"/>
    <w:rsid w:val="66E1233A"/>
    <w:rsid w:val="66E96748"/>
    <w:rsid w:val="67001831"/>
    <w:rsid w:val="670C7851"/>
    <w:rsid w:val="670F584B"/>
    <w:rsid w:val="67285DBB"/>
    <w:rsid w:val="67316B7E"/>
    <w:rsid w:val="673C6269"/>
    <w:rsid w:val="67572615"/>
    <w:rsid w:val="675A6EFE"/>
    <w:rsid w:val="676A6DFA"/>
    <w:rsid w:val="677009B7"/>
    <w:rsid w:val="677A1B15"/>
    <w:rsid w:val="677B5EA8"/>
    <w:rsid w:val="6781618A"/>
    <w:rsid w:val="678545BE"/>
    <w:rsid w:val="679526EC"/>
    <w:rsid w:val="67993A3F"/>
    <w:rsid w:val="67ED1A8D"/>
    <w:rsid w:val="680E19AC"/>
    <w:rsid w:val="681A0DEB"/>
    <w:rsid w:val="681E0EA1"/>
    <w:rsid w:val="682D6533"/>
    <w:rsid w:val="682D7C3C"/>
    <w:rsid w:val="68467C84"/>
    <w:rsid w:val="684B0BAF"/>
    <w:rsid w:val="684C4AC4"/>
    <w:rsid w:val="6858003E"/>
    <w:rsid w:val="68627688"/>
    <w:rsid w:val="688D78F5"/>
    <w:rsid w:val="689103FE"/>
    <w:rsid w:val="68AC1A5D"/>
    <w:rsid w:val="68B85DD2"/>
    <w:rsid w:val="68C55E79"/>
    <w:rsid w:val="68CF126F"/>
    <w:rsid w:val="68CF6425"/>
    <w:rsid w:val="68D00F8A"/>
    <w:rsid w:val="68D17411"/>
    <w:rsid w:val="69233CF6"/>
    <w:rsid w:val="69243DDD"/>
    <w:rsid w:val="69291E96"/>
    <w:rsid w:val="692D4752"/>
    <w:rsid w:val="693B4414"/>
    <w:rsid w:val="69422D36"/>
    <w:rsid w:val="69462B2E"/>
    <w:rsid w:val="69520810"/>
    <w:rsid w:val="698B6FB9"/>
    <w:rsid w:val="698D750F"/>
    <w:rsid w:val="69BA1E21"/>
    <w:rsid w:val="69F03A69"/>
    <w:rsid w:val="69F20232"/>
    <w:rsid w:val="69F3178F"/>
    <w:rsid w:val="6A1073DD"/>
    <w:rsid w:val="6A2A4DED"/>
    <w:rsid w:val="6A5D7A38"/>
    <w:rsid w:val="6A8629D6"/>
    <w:rsid w:val="6A933E94"/>
    <w:rsid w:val="6AA765C6"/>
    <w:rsid w:val="6B00502B"/>
    <w:rsid w:val="6B174636"/>
    <w:rsid w:val="6B1D3B34"/>
    <w:rsid w:val="6B1F3BB0"/>
    <w:rsid w:val="6B2D0211"/>
    <w:rsid w:val="6B4902F3"/>
    <w:rsid w:val="6B5C3165"/>
    <w:rsid w:val="6B631D3E"/>
    <w:rsid w:val="6B74757C"/>
    <w:rsid w:val="6B853777"/>
    <w:rsid w:val="6B8A6102"/>
    <w:rsid w:val="6B990192"/>
    <w:rsid w:val="6BAE1E98"/>
    <w:rsid w:val="6BAE2E1D"/>
    <w:rsid w:val="6BE3581E"/>
    <w:rsid w:val="6BF43DB9"/>
    <w:rsid w:val="6C0A75CD"/>
    <w:rsid w:val="6C0E1A0F"/>
    <w:rsid w:val="6C101ADA"/>
    <w:rsid w:val="6C3B78DA"/>
    <w:rsid w:val="6C3D1954"/>
    <w:rsid w:val="6C430945"/>
    <w:rsid w:val="6C440881"/>
    <w:rsid w:val="6C527308"/>
    <w:rsid w:val="6C5446E8"/>
    <w:rsid w:val="6C5E6845"/>
    <w:rsid w:val="6CAD33C9"/>
    <w:rsid w:val="6CBF77E4"/>
    <w:rsid w:val="6CC901EE"/>
    <w:rsid w:val="6CDE05E4"/>
    <w:rsid w:val="6CE76BAB"/>
    <w:rsid w:val="6CE93BE7"/>
    <w:rsid w:val="6CEF2355"/>
    <w:rsid w:val="6D180CA5"/>
    <w:rsid w:val="6D1907FD"/>
    <w:rsid w:val="6D1D2C17"/>
    <w:rsid w:val="6D381EF6"/>
    <w:rsid w:val="6D663BED"/>
    <w:rsid w:val="6D761557"/>
    <w:rsid w:val="6D776AE6"/>
    <w:rsid w:val="6D8C789F"/>
    <w:rsid w:val="6D97714B"/>
    <w:rsid w:val="6D9E62BB"/>
    <w:rsid w:val="6DB21648"/>
    <w:rsid w:val="6DB82611"/>
    <w:rsid w:val="6DC204E9"/>
    <w:rsid w:val="6DD41914"/>
    <w:rsid w:val="6DD54EA3"/>
    <w:rsid w:val="6DE95D7A"/>
    <w:rsid w:val="6DEB2978"/>
    <w:rsid w:val="6E031EE8"/>
    <w:rsid w:val="6E040C50"/>
    <w:rsid w:val="6E0E2D1F"/>
    <w:rsid w:val="6E745E14"/>
    <w:rsid w:val="6E8731E2"/>
    <w:rsid w:val="6E885A99"/>
    <w:rsid w:val="6E904A1F"/>
    <w:rsid w:val="6EA125E9"/>
    <w:rsid w:val="6EB46C4D"/>
    <w:rsid w:val="6ED01B28"/>
    <w:rsid w:val="6EEC3B28"/>
    <w:rsid w:val="6EED43FC"/>
    <w:rsid w:val="6EEF734F"/>
    <w:rsid w:val="6EF51E4C"/>
    <w:rsid w:val="6EFC3D36"/>
    <w:rsid w:val="6F016888"/>
    <w:rsid w:val="6F173773"/>
    <w:rsid w:val="6F321F76"/>
    <w:rsid w:val="6F3A74C8"/>
    <w:rsid w:val="6F50712B"/>
    <w:rsid w:val="6FAC7BA4"/>
    <w:rsid w:val="6FBC4D7C"/>
    <w:rsid w:val="6FBD0843"/>
    <w:rsid w:val="6FBF7DA4"/>
    <w:rsid w:val="6FD36618"/>
    <w:rsid w:val="6FFD4F73"/>
    <w:rsid w:val="701312AB"/>
    <w:rsid w:val="70134D53"/>
    <w:rsid w:val="7036697D"/>
    <w:rsid w:val="7038318F"/>
    <w:rsid w:val="703B0EC5"/>
    <w:rsid w:val="7071519B"/>
    <w:rsid w:val="707C0B03"/>
    <w:rsid w:val="707C1ABA"/>
    <w:rsid w:val="70C65B24"/>
    <w:rsid w:val="70C77EB4"/>
    <w:rsid w:val="70CC7781"/>
    <w:rsid w:val="70D62C5E"/>
    <w:rsid w:val="70E92BD1"/>
    <w:rsid w:val="70F13E20"/>
    <w:rsid w:val="70F27D00"/>
    <w:rsid w:val="70F86301"/>
    <w:rsid w:val="71100337"/>
    <w:rsid w:val="71123A6D"/>
    <w:rsid w:val="71285535"/>
    <w:rsid w:val="71290925"/>
    <w:rsid w:val="71340D05"/>
    <w:rsid w:val="713F380F"/>
    <w:rsid w:val="71625609"/>
    <w:rsid w:val="717057BD"/>
    <w:rsid w:val="7173716A"/>
    <w:rsid w:val="71882AE0"/>
    <w:rsid w:val="71A34684"/>
    <w:rsid w:val="71A45309"/>
    <w:rsid w:val="71AE1C4C"/>
    <w:rsid w:val="71D82A24"/>
    <w:rsid w:val="71E97B9B"/>
    <w:rsid w:val="71FB2A14"/>
    <w:rsid w:val="722C6BF2"/>
    <w:rsid w:val="7234447B"/>
    <w:rsid w:val="72443072"/>
    <w:rsid w:val="72495057"/>
    <w:rsid w:val="72615119"/>
    <w:rsid w:val="726D16A1"/>
    <w:rsid w:val="726F3A22"/>
    <w:rsid w:val="72707612"/>
    <w:rsid w:val="7280579A"/>
    <w:rsid w:val="728C2031"/>
    <w:rsid w:val="72980C6C"/>
    <w:rsid w:val="729E60B9"/>
    <w:rsid w:val="72A57E3B"/>
    <w:rsid w:val="72C701CE"/>
    <w:rsid w:val="72CD3ABA"/>
    <w:rsid w:val="72D24D2A"/>
    <w:rsid w:val="72DD183C"/>
    <w:rsid w:val="72DD6701"/>
    <w:rsid w:val="730A3B5B"/>
    <w:rsid w:val="730E3999"/>
    <w:rsid w:val="731C090A"/>
    <w:rsid w:val="73292937"/>
    <w:rsid w:val="732E60E2"/>
    <w:rsid w:val="735D2E9B"/>
    <w:rsid w:val="735F1E2E"/>
    <w:rsid w:val="73697A08"/>
    <w:rsid w:val="737E26AB"/>
    <w:rsid w:val="7382183B"/>
    <w:rsid w:val="738274CD"/>
    <w:rsid w:val="738E3D9B"/>
    <w:rsid w:val="738F216C"/>
    <w:rsid w:val="73983746"/>
    <w:rsid w:val="73A004C5"/>
    <w:rsid w:val="73C21499"/>
    <w:rsid w:val="73D53661"/>
    <w:rsid w:val="73E60092"/>
    <w:rsid w:val="73F24BCC"/>
    <w:rsid w:val="73F84649"/>
    <w:rsid w:val="73FA26A8"/>
    <w:rsid w:val="73FD2168"/>
    <w:rsid w:val="740013F5"/>
    <w:rsid w:val="7400510F"/>
    <w:rsid w:val="74093A5F"/>
    <w:rsid w:val="740962D9"/>
    <w:rsid w:val="742912D9"/>
    <w:rsid w:val="74481FC0"/>
    <w:rsid w:val="745003B4"/>
    <w:rsid w:val="74522B38"/>
    <w:rsid w:val="74595D24"/>
    <w:rsid w:val="745E3DAE"/>
    <w:rsid w:val="747140A1"/>
    <w:rsid w:val="74741D4C"/>
    <w:rsid w:val="748A3F57"/>
    <w:rsid w:val="7498174E"/>
    <w:rsid w:val="74AB08BE"/>
    <w:rsid w:val="74B81E5F"/>
    <w:rsid w:val="74C27FF3"/>
    <w:rsid w:val="74C30281"/>
    <w:rsid w:val="74C62CA6"/>
    <w:rsid w:val="74C718CE"/>
    <w:rsid w:val="74D63BDA"/>
    <w:rsid w:val="74E10B83"/>
    <w:rsid w:val="74F0567D"/>
    <w:rsid w:val="74F7793B"/>
    <w:rsid w:val="750D1B7B"/>
    <w:rsid w:val="751104AE"/>
    <w:rsid w:val="7519734D"/>
    <w:rsid w:val="752A1D39"/>
    <w:rsid w:val="753359BE"/>
    <w:rsid w:val="7538230A"/>
    <w:rsid w:val="75451E59"/>
    <w:rsid w:val="75475FFF"/>
    <w:rsid w:val="754A4EF4"/>
    <w:rsid w:val="75675C12"/>
    <w:rsid w:val="757C1F82"/>
    <w:rsid w:val="75913A61"/>
    <w:rsid w:val="75990EA3"/>
    <w:rsid w:val="75996D00"/>
    <w:rsid w:val="759C213F"/>
    <w:rsid w:val="75B12AF6"/>
    <w:rsid w:val="75B431A2"/>
    <w:rsid w:val="75B92839"/>
    <w:rsid w:val="75C242D0"/>
    <w:rsid w:val="75CB14CF"/>
    <w:rsid w:val="75CC4C88"/>
    <w:rsid w:val="75F61428"/>
    <w:rsid w:val="75FB4CAF"/>
    <w:rsid w:val="761F46D9"/>
    <w:rsid w:val="76330C5C"/>
    <w:rsid w:val="76450689"/>
    <w:rsid w:val="767D6B1A"/>
    <w:rsid w:val="767E2A16"/>
    <w:rsid w:val="76974025"/>
    <w:rsid w:val="76AD6156"/>
    <w:rsid w:val="76BE7A94"/>
    <w:rsid w:val="76C6486B"/>
    <w:rsid w:val="76C85732"/>
    <w:rsid w:val="76DE1908"/>
    <w:rsid w:val="76E40D2E"/>
    <w:rsid w:val="76E60829"/>
    <w:rsid w:val="76EA6C82"/>
    <w:rsid w:val="76FA2191"/>
    <w:rsid w:val="771A1264"/>
    <w:rsid w:val="771B5533"/>
    <w:rsid w:val="774C47C6"/>
    <w:rsid w:val="776E07AA"/>
    <w:rsid w:val="77753C81"/>
    <w:rsid w:val="77896FB3"/>
    <w:rsid w:val="77943AFE"/>
    <w:rsid w:val="77A37D14"/>
    <w:rsid w:val="77A83BB2"/>
    <w:rsid w:val="77AA1973"/>
    <w:rsid w:val="77AA7AEA"/>
    <w:rsid w:val="77B10BC2"/>
    <w:rsid w:val="77C00C78"/>
    <w:rsid w:val="77C613D1"/>
    <w:rsid w:val="77CF52F1"/>
    <w:rsid w:val="77E07510"/>
    <w:rsid w:val="77EB2FDF"/>
    <w:rsid w:val="77F737AB"/>
    <w:rsid w:val="77FD7184"/>
    <w:rsid w:val="78111F8D"/>
    <w:rsid w:val="7817632E"/>
    <w:rsid w:val="786D28FF"/>
    <w:rsid w:val="78A25822"/>
    <w:rsid w:val="78C0689F"/>
    <w:rsid w:val="78CA1885"/>
    <w:rsid w:val="78E877F6"/>
    <w:rsid w:val="79172283"/>
    <w:rsid w:val="791C2D94"/>
    <w:rsid w:val="792E5ED0"/>
    <w:rsid w:val="79364B20"/>
    <w:rsid w:val="79435E0A"/>
    <w:rsid w:val="795F5052"/>
    <w:rsid w:val="79684491"/>
    <w:rsid w:val="79875108"/>
    <w:rsid w:val="799836AB"/>
    <w:rsid w:val="79C460F3"/>
    <w:rsid w:val="79D37724"/>
    <w:rsid w:val="79DB4EFC"/>
    <w:rsid w:val="79E7706A"/>
    <w:rsid w:val="79F54E2B"/>
    <w:rsid w:val="79F91160"/>
    <w:rsid w:val="7A01388E"/>
    <w:rsid w:val="7A0D48C6"/>
    <w:rsid w:val="7A1169AF"/>
    <w:rsid w:val="7A3671A9"/>
    <w:rsid w:val="7A472083"/>
    <w:rsid w:val="7A4819A9"/>
    <w:rsid w:val="7A487A10"/>
    <w:rsid w:val="7A6679A1"/>
    <w:rsid w:val="7A891EB4"/>
    <w:rsid w:val="7AA56AA2"/>
    <w:rsid w:val="7AB41C67"/>
    <w:rsid w:val="7ABD6491"/>
    <w:rsid w:val="7AE90879"/>
    <w:rsid w:val="7B053593"/>
    <w:rsid w:val="7B127519"/>
    <w:rsid w:val="7B8A7A29"/>
    <w:rsid w:val="7BA73003"/>
    <w:rsid w:val="7BDA1D8D"/>
    <w:rsid w:val="7BDE2D10"/>
    <w:rsid w:val="7BE224B6"/>
    <w:rsid w:val="7BFE1229"/>
    <w:rsid w:val="7C012AAA"/>
    <w:rsid w:val="7C1F6AB4"/>
    <w:rsid w:val="7C244908"/>
    <w:rsid w:val="7C253ED0"/>
    <w:rsid w:val="7C2628F3"/>
    <w:rsid w:val="7C4E43C8"/>
    <w:rsid w:val="7C574C26"/>
    <w:rsid w:val="7C8147DE"/>
    <w:rsid w:val="7C847834"/>
    <w:rsid w:val="7C8533F5"/>
    <w:rsid w:val="7CAE3B49"/>
    <w:rsid w:val="7CE50ACC"/>
    <w:rsid w:val="7CED6E04"/>
    <w:rsid w:val="7CEF2B8F"/>
    <w:rsid w:val="7D01522B"/>
    <w:rsid w:val="7D017348"/>
    <w:rsid w:val="7D1642BE"/>
    <w:rsid w:val="7D1D15BD"/>
    <w:rsid w:val="7D2A2034"/>
    <w:rsid w:val="7D2A342D"/>
    <w:rsid w:val="7D526C20"/>
    <w:rsid w:val="7D532DB3"/>
    <w:rsid w:val="7D5E306F"/>
    <w:rsid w:val="7D6254BC"/>
    <w:rsid w:val="7D7A6568"/>
    <w:rsid w:val="7D8471BA"/>
    <w:rsid w:val="7D892E43"/>
    <w:rsid w:val="7D957370"/>
    <w:rsid w:val="7DB61634"/>
    <w:rsid w:val="7DB9124A"/>
    <w:rsid w:val="7DC00991"/>
    <w:rsid w:val="7DD77DFD"/>
    <w:rsid w:val="7DDF5BA6"/>
    <w:rsid w:val="7DE723A2"/>
    <w:rsid w:val="7DFB3A7B"/>
    <w:rsid w:val="7E1436CF"/>
    <w:rsid w:val="7E176204"/>
    <w:rsid w:val="7E2F55CC"/>
    <w:rsid w:val="7E5F60CB"/>
    <w:rsid w:val="7E76109E"/>
    <w:rsid w:val="7E782EE4"/>
    <w:rsid w:val="7E8C1BC4"/>
    <w:rsid w:val="7E952BCB"/>
    <w:rsid w:val="7E9962CB"/>
    <w:rsid w:val="7EA57CB5"/>
    <w:rsid w:val="7EA8486F"/>
    <w:rsid w:val="7EE0685C"/>
    <w:rsid w:val="7EF00968"/>
    <w:rsid w:val="7F0021F7"/>
    <w:rsid w:val="7F031BF5"/>
    <w:rsid w:val="7F093D93"/>
    <w:rsid w:val="7F1317EF"/>
    <w:rsid w:val="7F1322B3"/>
    <w:rsid w:val="7F1611C0"/>
    <w:rsid w:val="7F2F1B5F"/>
    <w:rsid w:val="7F445619"/>
    <w:rsid w:val="7F4D3CB1"/>
    <w:rsid w:val="7F904ABF"/>
    <w:rsid w:val="7F9F5938"/>
    <w:rsid w:val="7FB178F9"/>
    <w:rsid w:val="7FBC1584"/>
    <w:rsid w:val="7FBE1F99"/>
    <w:rsid w:val="7FCD20AF"/>
    <w:rsid w:val="7FEA5238"/>
    <w:rsid w:val="7FF05007"/>
    <w:rsid w:val="7FF057A7"/>
    <w:rsid w:val="7FFB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rPr>
      <w:rFonts w:ascii="Times New Roman" w:hAnsi="Times New Roman" w:eastAsia="宋体" w:cs="Times New Roman"/>
    </w:rPr>
  </w:style>
  <w:style w:type="paragraph" w:customStyle="1" w:styleId="8">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2024-09-13T00:35:00Z</dcterms:created>
  <dc:creator>陈明涵</dc:creator>
  <cp:lastModifiedBy>陈明涵</cp:lastModifiedBy>
  <dcterms:modified xsi:type="dcterms:W3CDTF">2025-03-25T03:41:17Z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