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default"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附件</w:t>
      </w:r>
      <w:bookmarkStart w:id="6" w:name="_GoBack"/>
      <w:bookmarkEnd w:id="6"/>
    </w:p>
    <w:p>
      <w:pPr>
        <w:pStyle w:val="6"/>
        <w:rPr>
          <w:rFonts w:hint="eastAsia"/>
        </w:rPr>
      </w:pPr>
    </w:p>
    <w:p>
      <w:pPr>
        <w:spacing w:line="7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云浮市工程建设领域农民工工资专用账户</w:t>
      </w:r>
    </w:p>
    <w:p>
      <w:pPr>
        <w:spacing w:line="7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管理实施细则</w:t>
      </w:r>
    </w:p>
    <w:p>
      <w:pPr>
        <w:jc w:val="center"/>
        <w:rPr>
          <w:color w:val="auto"/>
        </w:rPr>
      </w:pPr>
      <w:r>
        <w:rPr>
          <w:rFonts w:hint="eastAsia"/>
          <w:color w:val="auto"/>
        </w:rPr>
        <w:t>（</w:t>
      </w:r>
      <w:r>
        <w:rPr>
          <w:rFonts w:hint="eastAsia"/>
          <w:color w:val="auto"/>
          <w:lang w:val="en-US" w:eastAsia="zh-CN"/>
        </w:rPr>
        <w:t>第二次</w:t>
      </w:r>
      <w:r>
        <w:rPr>
          <w:rFonts w:hint="eastAsia"/>
          <w:color w:val="auto"/>
        </w:rPr>
        <w:t>征求意见稿）</w:t>
      </w:r>
    </w:p>
    <w:p>
      <w:pPr>
        <w:jc w:val="center"/>
        <w:rPr>
          <w:color w:val="auto"/>
        </w:rPr>
      </w:pPr>
    </w:p>
    <w:p>
      <w:pPr>
        <w:pStyle w:val="2"/>
        <w:widowControl/>
        <w:jc w:val="center"/>
        <w:rPr>
          <w:rFonts w:ascii="黑体" w:hAnsi="黑体" w:eastAsia="黑体" w:cs="黑体"/>
          <w:b w:val="0"/>
          <w:bCs/>
          <w:color w:val="auto"/>
        </w:rPr>
      </w:pPr>
      <w:r>
        <w:rPr>
          <w:rFonts w:hint="eastAsia" w:ascii="黑体" w:hAnsi="黑体" w:eastAsia="黑体" w:cs="黑体"/>
          <w:b w:val="0"/>
          <w:bCs/>
          <w:color w:val="auto"/>
        </w:rPr>
        <w:t>第一章　总则</w:t>
      </w:r>
    </w:p>
    <w:p>
      <w:pPr>
        <w:ind w:firstLine="632" w:firstLineChars="200"/>
        <w:rPr>
          <w:color w:val="auto"/>
        </w:rPr>
      </w:pPr>
      <w:r>
        <w:rPr>
          <w:rFonts w:hint="eastAsia"/>
          <w:b/>
          <w:bCs/>
          <w:color w:val="auto"/>
        </w:rPr>
        <w:t>第一条【制定目的】</w:t>
      </w:r>
      <w:r>
        <w:rPr>
          <w:rFonts w:hint="eastAsia"/>
          <w:color w:val="auto"/>
        </w:rPr>
        <w:t xml:space="preserve"> 为根治工程建设领域拖欠农民工工资问题，规范农民工工资专用账户管理，切实维护农民工劳动报酬权益，根据《保障农民工工资支付条例》《工程建设领域农民工工资专用账户管理暂行办法》《云浮市建筑市场信用管理办法》等有关法规政策规定，制定本实施细则。</w:t>
      </w:r>
    </w:p>
    <w:p>
      <w:pPr>
        <w:ind w:firstLine="632" w:firstLineChars="200"/>
        <w:rPr>
          <w:color w:val="auto"/>
        </w:rPr>
      </w:pPr>
      <w:r>
        <w:rPr>
          <w:rFonts w:hint="eastAsia"/>
          <w:b/>
          <w:bCs/>
          <w:color w:val="auto"/>
        </w:rPr>
        <w:t>第二条【专用账户和人工费用的定义】</w:t>
      </w:r>
      <w:r>
        <w:rPr>
          <w:rFonts w:hint="eastAsia"/>
          <w:color w:val="auto"/>
        </w:rPr>
        <w:t xml:space="preserve"> 本实施细则所称农民工工资专用账户（以下简称专用账户）是指施工总承包单位（以下简称总包单位）在工程建设项目所在地银行业金融机构（以下简称银行）开立的，专项用于支付农民工工资的专用存款账户。人工费用是指建设单位向总包单位专用账户拨付的专项用于支付农民工工资的工程款。</w:t>
      </w:r>
    </w:p>
    <w:p>
      <w:pPr>
        <w:ind w:firstLine="632" w:firstLineChars="200"/>
        <w:rPr>
          <w:color w:val="auto"/>
        </w:rPr>
      </w:pPr>
      <w:r>
        <w:rPr>
          <w:rFonts w:hint="eastAsia"/>
          <w:b/>
          <w:bCs/>
          <w:color w:val="auto"/>
        </w:rPr>
        <w:t>第三条【建设单位、总包单位、分包单位、监理单位及行业主管部门的定义】</w:t>
      </w:r>
      <w:r>
        <w:rPr>
          <w:rFonts w:hint="eastAsia"/>
          <w:color w:val="auto"/>
        </w:rPr>
        <w:t xml:space="preserve"> 本实施细则所称建设单位是指工程建设项目的项目法人或负有建设管理责任的相关单位；总包单位是指从建设单位承包施工任务，具有施工承包资质的企业，包括工程总承包单位、施工总承包企业、直接承包建设单位发包工程的专业承包企业；分包单位是指承包总包单位发包的专业工程或者劳务作业，具有相应资质的企业；监理单位是指受建设单位委托依法执行工程监理任务，取得监理资质证书，具有法人资格的监理公司等单位。</w:t>
      </w:r>
    </w:p>
    <w:p>
      <w:pPr>
        <w:ind w:firstLine="632" w:firstLineChars="200"/>
        <w:rPr>
          <w:color w:val="auto"/>
        </w:rPr>
      </w:pPr>
      <w:r>
        <w:rPr>
          <w:rFonts w:hint="eastAsia"/>
          <w:color w:val="auto"/>
        </w:rPr>
        <w:t>本实施细则所称相关行业工程建设主管部门是指各级住房和城乡建设、交通运输、水利、铁路、民航等工程建设项目的行政主管部门。</w:t>
      </w:r>
    </w:p>
    <w:p>
      <w:pPr>
        <w:ind w:firstLine="632" w:firstLineChars="200"/>
        <w:rPr>
          <w:color w:val="auto"/>
        </w:rPr>
      </w:pPr>
      <w:r>
        <w:rPr>
          <w:rFonts w:hint="eastAsia"/>
          <w:b/>
          <w:bCs/>
          <w:color w:val="auto"/>
        </w:rPr>
        <w:t>第四条【适用范围】</w:t>
      </w:r>
      <w:r>
        <w:rPr>
          <w:rFonts w:hint="eastAsia"/>
          <w:color w:val="auto"/>
        </w:rPr>
        <w:t xml:space="preserve"> 本实施细则适用于本市行政区域内房屋建筑、市政、交通运输、水利及基础设施建设的建筑工程、线路管道、设备安装、工程装饰装修、城市园林绿化等各种新建、扩建、改建工程建设项目。</w:t>
      </w:r>
    </w:p>
    <w:p>
      <w:pPr>
        <w:pStyle w:val="2"/>
        <w:widowControl/>
        <w:jc w:val="center"/>
        <w:rPr>
          <w:rFonts w:ascii="方正黑体_GBK" w:hAnsi="方正黑体_GBK" w:eastAsia="方正黑体_GBK" w:cs="方正黑体_GBK"/>
          <w:b w:val="0"/>
          <w:bCs/>
          <w:color w:val="auto"/>
        </w:rPr>
      </w:pPr>
      <w:r>
        <w:rPr>
          <w:rFonts w:hint="eastAsia" w:ascii="黑体" w:hAnsi="黑体" w:eastAsia="黑体" w:cs="黑体"/>
          <w:b w:val="0"/>
          <w:bCs/>
          <w:color w:val="auto"/>
        </w:rPr>
        <w:t>第二章 专用账户的开立、撤销</w:t>
      </w:r>
    </w:p>
    <w:p>
      <w:pPr>
        <w:ind w:firstLine="632" w:firstLineChars="200"/>
        <w:rPr>
          <w:color w:val="auto"/>
        </w:rPr>
      </w:pPr>
      <w:r>
        <w:rPr>
          <w:rFonts w:hint="eastAsia"/>
          <w:b/>
          <w:bCs/>
          <w:color w:val="auto"/>
        </w:rPr>
        <w:t>第五条【工程施工合同中的有关约定】</w:t>
      </w:r>
      <w:r>
        <w:rPr>
          <w:rFonts w:hint="eastAsia"/>
          <w:color w:val="auto"/>
        </w:rPr>
        <w:t xml:space="preserve"> 建设单位与总包单位订立书面工程施工合同时，应当约定以下事项，建设单位负责监督总包单位的工人工资支付情况，协调建设项目的工人工资支付事宜。</w:t>
      </w:r>
    </w:p>
    <w:p>
      <w:pPr>
        <w:ind w:firstLine="632" w:firstLineChars="200"/>
        <w:rPr>
          <w:color w:val="auto"/>
        </w:rPr>
      </w:pPr>
      <w:r>
        <w:rPr>
          <w:rFonts w:hint="eastAsia"/>
          <w:color w:val="auto"/>
        </w:rPr>
        <w:t>（一）工程款计量周期和工程款进度结算办法；</w:t>
      </w:r>
    </w:p>
    <w:p>
      <w:pPr>
        <w:ind w:firstLine="632" w:firstLineChars="200"/>
        <w:rPr>
          <w:color w:val="auto"/>
        </w:rPr>
      </w:pPr>
      <w:r>
        <w:rPr>
          <w:rFonts w:hint="eastAsia"/>
          <w:color w:val="auto"/>
        </w:rPr>
        <w:t>（二）建设单位拨付人工费用的周期和拨付日期；</w:t>
      </w:r>
    </w:p>
    <w:p>
      <w:pPr>
        <w:ind w:firstLine="632" w:firstLineChars="200"/>
        <w:rPr>
          <w:color w:val="auto"/>
        </w:rPr>
      </w:pPr>
      <w:r>
        <w:rPr>
          <w:rFonts w:hint="eastAsia"/>
          <w:color w:val="auto"/>
        </w:rPr>
        <w:t>（三）人工费用的数额或者占工程款的比例等。</w:t>
      </w:r>
    </w:p>
    <w:p>
      <w:pPr>
        <w:ind w:firstLine="632" w:firstLineChars="200"/>
        <w:rPr>
          <w:b/>
          <w:bCs/>
          <w:color w:val="auto"/>
        </w:rPr>
      </w:pPr>
      <w:r>
        <w:rPr>
          <w:rFonts w:hint="eastAsia"/>
          <w:color w:val="auto"/>
        </w:rPr>
        <w:t>前款第三项应当满足农民工工资按时足额支付的要求。</w:t>
      </w:r>
    </w:p>
    <w:p>
      <w:pPr>
        <w:ind w:firstLine="632" w:firstLineChars="200"/>
        <w:rPr>
          <w:b/>
          <w:bCs/>
          <w:color w:val="auto"/>
        </w:rPr>
      </w:pPr>
      <w:r>
        <w:rPr>
          <w:rFonts w:hint="eastAsia"/>
          <w:b/>
          <w:bCs/>
          <w:color w:val="auto"/>
        </w:rPr>
        <w:t>第六条 【专用账户的开设】</w:t>
      </w:r>
      <w:r>
        <w:rPr>
          <w:rFonts w:hint="eastAsia"/>
          <w:color w:val="auto"/>
        </w:rPr>
        <w:t xml:space="preserve"> 专用账户按工程建设项目开立。总包单位应当在工程施工合同签订之日起30日内开立专用账户，并与建设单位、开户银行、属地</w:t>
      </w:r>
      <w:r>
        <w:rPr>
          <w:rFonts w:hint="eastAsia"/>
          <w:color w:val="auto"/>
          <w:lang w:val="en-US" w:eastAsia="zh-CN"/>
        </w:rPr>
        <w:t>人社部门</w:t>
      </w:r>
      <w:r>
        <w:rPr>
          <w:rFonts w:hint="eastAsia"/>
          <w:color w:val="auto"/>
        </w:rPr>
        <w:t>、行业主管部门签订《工程建设领域农民工工资专用账户管理协议》（见附件1,以下简称《五方协议》）。</w:t>
      </w:r>
    </w:p>
    <w:p>
      <w:pPr>
        <w:ind w:firstLine="632" w:firstLineChars="200"/>
        <w:rPr>
          <w:rFonts w:hint="eastAsia"/>
          <w:color w:val="auto"/>
        </w:rPr>
      </w:pPr>
      <w:r>
        <w:rPr>
          <w:rFonts w:hint="eastAsia"/>
          <w:color w:val="auto"/>
        </w:rPr>
        <w:t>专用账户名称为总包单位名称加工程建设项目名称后加“农民工工资专用账户”。工程建设项目名称</w:t>
      </w:r>
      <w:r>
        <w:rPr>
          <w:rFonts w:hint="eastAsia"/>
          <w:color w:val="auto"/>
          <w:lang w:eastAsia="zh-CN"/>
        </w:rPr>
        <w:t>过长的，可在《五方协议》中约定规范的简称。</w:t>
      </w:r>
      <w:r>
        <w:rPr>
          <w:rFonts w:hint="eastAsia"/>
          <w:color w:val="auto"/>
        </w:rPr>
        <w:t>专用账户开立后，受属地</w:t>
      </w:r>
      <w:r>
        <w:rPr>
          <w:rFonts w:hint="eastAsia"/>
          <w:color w:val="auto"/>
          <w:lang w:val="en-US" w:eastAsia="zh-CN"/>
        </w:rPr>
        <w:t>人社</w:t>
      </w:r>
      <w:r>
        <w:rPr>
          <w:rFonts w:hint="eastAsia"/>
          <w:color w:val="auto"/>
        </w:rPr>
        <w:t>部门、行业主管部门的监管。</w:t>
      </w:r>
    </w:p>
    <w:p>
      <w:pPr>
        <w:ind w:firstLine="632" w:firstLineChars="200"/>
        <w:rPr>
          <w:color w:val="auto"/>
        </w:rPr>
      </w:pPr>
      <w:r>
        <w:rPr>
          <w:rFonts w:hint="eastAsia"/>
          <w:color w:val="auto"/>
        </w:rPr>
        <w:t>工程建设项目没有明确行业主管部门的,《五方协议》可容缺行业主管部门方签订。</w:t>
      </w:r>
    </w:p>
    <w:p>
      <w:pPr>
        <w:ind w:firstLine="632" w:firstLineChars="200"/>
        <w:rPr>
          <w:color w:val="auto"/>
        </w:rPr>
      </w:pPr>
      <w:r>
        <w:rPr>
          <w:rFonts w:hint="eastAsia"/>
          <w:color w:val="auto"/>
        </w:rPr>
        <w:t>总包单位有2个及以上工程建设项目的，可开立新的专用账户，已有专用账户在本行政区域银行开立的，可在</w:t>
      </w:r>
      <w:bookmarkStart w:id="0" w:name="_Hlk152434096"/>
      <w:r>
        <w:rPr>
          <w:rFonts w:hint="eastAsia"/>
          <w:color w:val="auto"/>
        </w:rPr>
        <w:t>已有专用账户</w:t>
      </w:r>
      <w:bookmarkEnd w:id="0"/>
      <w:r>
        <w:rPr>
          <w:rFonts w:hint="eastAsia"/>
          <w:color w:val="auto"/>
        </w:rPr>
        <w:t>下按项目分别管理。</w:t>
      </w:r>
    </w:p>
    <w:p>
      <w:pPr>
        <w:ind w:firstLine="632" w:firstLineChars="200"/>
        <w:rPr>
          <w:color w:val="auto"/>
        </w:rPr>
      </w:pPr>
      <w:r>
        <w:rPr>
          <w:rFonts w:hint="eastAsia"/>
          <w:color w:val="auto"/>
        </w:rPr>
        <w:t>已纳入实名制监管平台管理的工程建设项目，总包单位应当在专用账户开立后5日内将专用账户信息上传至实名制监管平台。未纳入实名制监管平台管理的工程建设项目，总包单位应当在专用账户开立后30日内报项目属地</w:t>
      </w:r>
      <w:r>
        <w:rPr>
          <w:rFonts w:hint="eastAsia"/>
          <w:color w:val="auto"/>
          <w:lang w:val="en-US" w:eastAsia="zh-CN"/>
        </w:rPr>
        <w:t>人社部门</w:t>
      </w:r>
      <w:r>
        <w:rPr>
          <w:rFonts w:hint="eastAsia"/>
          <w:color w:val="auto"/>
        </w:rPr>
        <w:t>和行业主管部门备案。</w:t>
      </w:r>
    </w:p>
    <w:p>
      <w:pPr>
        <w:ind w:firstLine="632" w:firstLineChars="200"/>
        <w:rPr>
          <w:color w:val="auto"/>
        </w:rPr>
      </w:pPr>
      <w:r>
        <w:rPr>
          <w:rFonts w:hint="eastAsia"/>
          <w:color w:val="auto"/>
        </w:rPr>
        <w:t>以联合体方式承包的工程建设项目，联合体单位合并核算的，专用账户应该由牵头单位开立，成员单位应当与牵头单位签订农民工工资委托支付协议；联合</w:t>
      </w:r>
      <w:r>
        <w:rPr>
          <w:rFonts w:hint="eastAsia"/>
          <w:color w:val="auto"/>
          <w:lang w:val="en-US" w:eastAsia="zh-CN"/>
        </w:rPr>
        <w:t>体</w:t>
      </w:r>
      <w:r>
        <w:rPr>
          <w:rFonts w:hint="eastAsia"/>
          <w:color w:val="auto"/>
        </w:rPr>
        <w:t>单位平行独立核算的，可分别开立专用账户。</w:t>
      </w:r>
    </w:p>
    <w:p>
      <w:pPr>
        <w:ind w:firstLine="632" w:firstLineChars="200"/>
        <w:rPr>
          <w:color w:val="auto"/>
        </w:rPr>
      </w:pPr>
      <w:r>
        <w:rPr>
          <w:rFonts w:hint="eastAsia"/>
          <w:b/>
          <w:bCs/>
          <w:color w:val="auto"/>
        </w:rPr>
        <w:t>第七条【专用账户资金的约定】</w:t>
      </w:r>
      <w:r>
        <w:rPr>
          <w:color w:val="auto"/>
        </w:rPr>
        <w:t xml:space="preserve"> </w:t>
      </w:r>
      <w:r>
        <w:rPr>
          <w:rFonts w:hint="eastAsia"/>
          <w:color w:val="auto"/>
        </w:rPr>
        <w:t>签订工程施工合同时，建设单位与</w:t>
      </w:r>
      <w:r>
        <w:rPr>
          <w:rFonts w:hint="eastAsia"/>
          <w:color w:val="auto"/>
          <w:lang w:val="en-US" w:eastAsia="zh-CN"/>
        </w:rPr>
        <w:t>总包</w:t>
      </w:r>
      <w:r>
        <w:rPr>
          <w:rFonts w:hint="eastAsia"/>
          <w:color w:val="auto"/>
        </w:rPr>
        <w:t>单位原则上</w:t>
      </w:r>
      <w:r>
        <w:rPr>
          <w:color w:val="auto"/>
        </w:rPr>
        <w:t>按照以下比例</w:t>
      </w:r>
      <w:r>
        <w:rPr>
          <w:rFonts w:hint="eastAsia"/>
          <w:color w:val="auto"/>
        </w:rPr>
        <w:t>约定工程款中的</w:t>
      </w:r>
      <w:r>
        <w:rPr>
          <w:color w:val="auto"/>
        </w:rPr>
        <w:t>人工费用</w:t>
      </w:r>
      <w:r>
        <w:rPr>
          <w:rFonts w:hint="eastAsia"/>
          <w:color w:val="auto"/>
        </w:rPr>
        <w:t>，</w:t>
      </w:r>
      <w:r>
        <w:rPr>
          <w:rFonts w:hint="eastAsia"/>
          <w:color w:val="auto"/>
          <w:lang w:eastAsia="zh-CN"/>
        </w:rPr>
        <w:t>《</w:t>
      </w:r>
      <w:r>
        <w:rPr>
          <w:rFonts w:hint="eastAsia"/>
          <w:color w:val="auto"/>
        </w:rPr>
        <w:t>五方协议</w:t>
      </w:r>
      <w:r>
        <w:rPr>
          <w:rFonts w:hint="eastAsia"/>
          <w:color w:val="auto"/>
          <w:lang w:eastAsia="zh-CN"/>
        </w:rPr>
        <w:t>》</w:t>
      </w:r>
      <w:r>
        <w:rPr>
          <w:rFonts w:hint="eastAsia"/>
          <w:color w:val="auto"/>
        </w:rPr>
        <w:t>约定的拨付比例应与此比例相一致</w:t>
      </w:r>
      <w:r>
        <w:rPr>
          <w:color w:val="auto"/>
        </w:rPr>
        <w:t>：</w:t>
      </w:r>
    </w:p>
    <w:p>
      <w:pPr>
        <w:ind w:firstLine="632" w:firstLineChars="200"/>
        <w:rPr>
          <w:color w:val="auto"/>
        </w:rPr>
      </w:pPr>
      <w:r>
        <w:rPr>
          <w:rFonts w:hint="eastAsia"/>
          <w:color w:val="auto"/>
        </w:rPr>
        <w:t>（一）建设单位</w:t>
      </w:r>
      <w:r>
        <w:rPr>
          <w:color w:val="auto"/>
        </w:rPr>
        <w:t>预付款</w:t>
      </w:r>
      <w:r>
        <w:rPr>
          <w:rFonts w:hint="eastAsia"/>
          <w:color w:val="auto"/>
        </w:rPr>
        <w:t>在项目开工前，按照不低于施工合同总价</w:t>
      </w:r>
      <w:r>
        <w:rPr>
          <w:color w:val="auto"/>
        </w:rPr>
        <w:t>10%的比例拨付，其中人工费用预付款</w:t>
      </w:r>
      <w:r>
        <w:rPr>
          <w:rFonts w:hint="eastAsia"/>
          <w:color w:val="auto"/>
        </w:rPr>
        <w:t>按以下标准拨付：</w:t>
      </w:r>
    </w:p>
    <w:p>
      <w:pPr>
        <w:ind w:firstLine="632" w:firstLineChars="200"/>
        <w:rPr>
          <w:color w:val="auto"/>
        </w:rPr>
      </w:pPr>
      <w:r>
        <w:rPr>
          <w:rFonts w:hint="eastAsia"/>
          <w:color w:val="auto"/>
        </w:rPr>
        <w:t>1.施工合同总金额在5亿元（不含本数）以下的，人工费用按照</w:t>
      </w:r>
      <w:r>
        <w:rPr>
          <w:color w:val="auto"/>
        </w:rPr>
        <w:t>不低于施工合同总价1%的金额作为人工费用预付款一次性拨付到</w:t>
      </w:r>
      <w:r>
        <w:rPr>
          <w:rFonts w:hint="eastAsia"/>
          <w:color w:val="auto"/>
        </w:rPr>
        <w:t>农民工</w:t>
      </w:r>
      <w:r>
        <w:rPr>
          <w:color w:val="auto"/>
        </w:rPr>
        <w:t>工资支付专用账户</w:t>
      </w:r>
      <w:r>
        <w:rPr>
          <w:rFonts w:hint="eastAsia"/>
          <w:color w:val="auto"/>
        </w:rPr>
        <w:t>；</w:t>
      </w:r>
    </w:p>
    <w:p>
      <w:pPr>
        <w:ind w:firstLine="632" w:firstLineChars="200"/>
        <w:rPr>
          <w:rFonts w:hint="eastAsia" w:hAnsi="宋体" w:eastAsia="仿宋_GB2312" w:cs="宋体"/>
          <w:color w:val="auto"/>
          <w:lang w:eastAsia="zh-CN"/>
        </w:rPr>
      </w:pPr>
      <w:r>
        <w:rPr>
          <w:rFonts w:hint="eastAsia" w:hAnsi="宋体" w:cs="宋体"/>
          <w:color w:val="auto"/>
        </w:rPr>
        <w:t>2.施工合同总金额5亿元（含本数）以上的，人工费用可按照500万元（含本数）以上至施工合同总价1%（含本数）以下的金额约定拨付。建设单位与</w:t>
      </w:r>
      <w:r>
        <w:rPr>
          <w:rFonts w:hint="eastAsia" w:hAnsi="宋体" w:cs="宋体"/>
          <w:color w:val="auto"/>
          <w:lang w:val="en-US" w:eastAsia="zh-CN"/>
        </w:rPr>
        <w:t>总包单位</w:t>
      </w:r>
      <w:r>
        <w:rPr>
          <w:rFonts w:hint="eastAsia" w:hAnsi="宋体" w:cs="宋体"/>
          <w:color w:val="auto"/>
        </w:rPr>
        <w:t>协商一致并签订</w:t>
      </w:r>
      <w:r>
        <w:rPr>
          <w:rFonts w:hint="eastAsia" w:hAnsi="宋体" w:cs="宋体"/>
          <w:color w:val="auto"/>
          <w:lang w:eastAsia="zh-CN"/>
        </w:rPr>
        <w:t>《</w:t>
      </w:r>
      <w:r>
        <w:rPr>
          <w:rFonts w:hint="eastAsia" w:hAnsi="宋体" w:cs="宋体"/>
          <w:color w:val="auto"/>
        </w:rPr>
        <w:t>五方协议</w:t>
      </w:r>
      <w:r>
        <w:rPr>
          <w:rFonts w:hint="eastAsia" w:hAnsi="宋体" w:cs="宋体"/>
          <w:color w:val="auto"/>
          <w:lang w:eastAsia="zh-CN"/>
        </w:rPr>
        <w:t>》</w:t>
      </w:r>
      <w:r>
        <w:rPr>
          <w:rFonts w:hint="eastAsia" w:hAnsi="宋体" w:cs="宋体"/>
          <w:color w:val="auto"/>
        </w:rPr>
        <w:t>后，将人工费用一次性拨付到农民工工资支付专用账户。需要招标的工程项目，建设单位应当在招标文件中按本规定合理确定人工费用具体金额</w:t>
      </w:r>
      <w:r>
        <w:rPr>
          <w:rFonts w:hint="eastAsia" w:hAnsi="宋体" w:cs="宋体"/>
          <w:color w:val="auto"/>
          <w:lang w:eastAsia="zh-CN"/>
        </w:rPr>
        <w:t>。</w:t>
      </w:r>
    </w:p>
    <w:p>
      <w:pPr>
        <w:ind w:firstLine="632" w:firstLineChars="200"/>
        <w:rPr>
          <w:color w:val="auto"/>
        </w:rPr>
      </w:pPr>
      <w:r>
        <w:rPr>
          <w:rFonts w:hint="eastAsia"/>
          <w:color w:val="auto"/>
        </w:rPr>
        <w:t>（二）</w:t>
      </w:r>
      <w:bookmarkStart w:id="1" w:name="_Hlk167052153"/>
      <w:r>
        <w:rPr>
          <w:rFonts w:hint="eastAsia"/>
          <w:color w:val="auto"/>
        </w:rPr>
        <w:t>房屋建筑类工程项目</w:t>
      </w:r>
      <w:bookmarkEnd w:id="1"/>
      <w:r>
        <w:rPr>
          <w:rFonts w:hint="eastAsia"/>
          <w:color w:val="auto"/>
        </w:rPr>
        <w:t>进度款中的人工费用，由</w:t>
      </w:r>
      <w:r>
        <w:rPr>
          <w:rFonts w:hint="eastAsia"/>
          <w:color w:val="auto"/>
          <w:lang w:val="en-US" w:eastAsia="zh-CN"/>
        </w:rPr>
        <w:t>总</w:t>
      </w:r>
      <w:r>
        <w:rPr>
          <w:rFonts w:hint="eastAsia" w:hAnsi="宋体" w:cs="宋体"/>
          <w:color w:val="auto"/>
          <w:lang w:val="en-US" w:eastAsia="zh-CN"/>
        </w:rPr>
        <w:t>包单位</w:t>
      </w:r>
      <w:r>
        <w:rPr>
          <w:rFonts w:hint="eastAsia"/>
          <w:color w:val="auto"/>
        </w:rPr>
        <w:t>递交</w:t>
      </w:r>
      <w:bookmarkStart w:id="2" w:name="_Hlk167052303"/>
      <w:r>
        <w:rPr>
          <w:rFonts w:hint="eastAsia"/>
          <w:color w:val="auto"/>
        </w:rPr>
        <w:t>《房屋建筑和市政工程类项目施工单位信用情况核实和工程进度款人工费用拨付比例申请表》</w:t>
      </w:r>
      <w:bookmarkEnd w:id="2"/>
      <w:r>
        <w:rPr>
          <w:rFonts w:hint="eastAsia"/>
          <w:color w:val="auto"/>
        </w:rPr>
        <w:t>（见附件3，下同），经属地住建部门和人社部门核实，由建设单位根据</w:t>
      </w:r>
      <w:r>
        <w:rPr>
          <w:rFonts w:hint="eastAsia"/>
          <w:color w:val="auto"/>
          <w:lang w:val="en-US" w:eastAsia="zh-CN"/>
        </w:rPr>
        <w:t>总包单位</w:t>
      </w:r>
      <w:r>
        <w:rPr>
          <w:rFonts w:hint="eastAsia"/>
          <w:color w:val="auto"/>
        </w:rPr>
        <w:t>的信用情况，按照以下情形约定划拨：</w:t>
      </w:r>
    </w:p>
    <w:p>
      <w:pPr>
        <w:ind w:firstLine="632" w:firstLineChars="200"/>
        <w:rPr>
          <w:color w:val="auto"/>
        </w:rPr>
      </w:pPr>
      <w:r>
        <w:rPr>
          <w:rFonts w:hint="eastAsia"/>
          <w:color w:val="auto"/>
        </w:rPr>
        <w:t>1.</w:t>
      </w:r>
      <w:r>
        <w:rPr>
          <w:rFonts w:hint="eastAsia"/>
          <w:color w:val="auto"/>
          <w:lang w:val="en-US" w:eastAsia="zh-CN"/>
        </w:rPr>
        <w:t>总包单位</w:t>
      </w:r>
      <w:r>
        <w:rPr>
          <w:rFonts w:hint="eastAsia"/>
          <w:color w:val="auto"/>
        </w:rPr>
        <w:t>在本市行政区域内建筑市场信用等级为AAA，在建项目全面落实用工实名制，且两年内没有欠薪的，可按不低于工程进度款的15</w:t>
      </w:r>
      <w:r>
        <w:rPr>
          <w:color w:val="auto"/>
        </w:rPr>
        <w:t>%</w:t>
      </w:r>
      <w:r>
        <w:rPr>
          <w:rFonts w:hint="eastAsia"/>
          <w:color w:val="auto"/>
          <w:lang w:val="en-US" w:eastAsia="zh-CN"/>
        </w:rPr>
        <w:t>划拨</w:t>
      </w:r>
      <w:r>
        <w:rPr>
          <w:rFonts w:hint="eastAsia"/>
          <w:color w:val="auto"/>
        </w:rPr>
        <w:t>；</w:t>
      </w:r>
    </w:p>
    <w:p>
      <w:pPr>
        <w:ind w:firstLine="632" w:firstLineChars="200"/>
        <w:rPr>
          <w:color w:val="auto"/>
        </w:rPr>
      </w:pPr>
      <w:r>
        <w:rPr>
          <w:rFonts w:hint="eastAsia"/>
          <w:color w:val="auto"/>
        </w:rPr>
        <w:t>2.</w:t>
      </w:r>
      <w:r>
        <w:rPr>
          <w:rFonts w:hint="eastAsia"/>
          <w:color w:val="auto"/>
          <w:lang w:val="en-US" w:eastAsia="zh-CN"/>
        </w:rPr>
        <w:t>总包单位在本市行政区域内建筑市场信用等级为AA</w:t>
      </w:r>
      <w:r>
        <w:rPr>
          <w:rFonts w:hint="eastAsia"/>
          <w:color w:val="auto"/>
        </w:rPr>
        <w:t>，在建项目全面落实用工实名制，且两年内没有欠薪的，可按不低于工程进度款的20%</w:t>
      </w:r>
      <w:r>
        <w:rPr>
          <w:rFonts w:hint="eastAsia"/>
          <w:color w:val="auto"/>
          <w:lang w:val="en-US" w:eastAsia="zh-CN"/>
        </w:rPr>
        <w:t>划拨</w:t>
      </w:r>
      <w:r>
        <w:rPr>
          <w:rFonts w:hint="eastAsia"/>
          <w:color w:val="auto"/>
        </w:rPr>
        <w:t>；</w:t>
      </w:r>
    </w:p>
    <w:p>
      <w:pPr>
        <w:ind w:firstLine="632" w:firstLineChars="200"/>
        <w:rPr>
          <w:color w:val="auto"/>
        </w:rPr>
      </w:pPr>
      <w:r>
        <w:rPr>
          <w:rFonts w:hint="eastAsia"/>
          <w:color w:val="auto"/>
        </w:rPr>
        <w:t>3.</w:t>
      </w:r>
      <w:r>
        <w:rPr>
          <w:rFonts w:hint="eastAsia"/>
          <w:color w:val="auto"/>
          <w:lang w:val="en-US" w:eastAsia="zh-CN"/>
        </w:rPr>
        <w:t>总包单位在本市行政区域内建筑市场信用等级为A</w:t>
      </w:r>
      <w:r>
        <w:rPr>
          <w:rFonts w:hint="eastAsia"/>
          <w:color w:val="auto"/>
        </w:rPr>
        <w:t>，在建项目全面落实用工实名制，且两年内没有欠薪的，可按不低于工程进度款的22%</w:t>
      </w:r>
      <w:r>
        <w:rPr>
          <w:rFonts w:hint="eastAsia"/>
          <w:color w:val="auto"/>
          <w:lang w:val="en-US" w:eastAsia="zh-CN"/>
        </w:rPr>
        <w:t>划拨</w:t>
      </w:r>
      <w:r>
        <w:rPr>
          <w:rFonts w:hint="eastAsia"/>
          <w:color w:val="auto"/>
        </w:rPr>
        <w:t>；</w:t>
      </w:r>
    </w:p>
    <w:p>
      <w:pPr>
        <w:ind w:firstLine="632" w:firstLineChars="200"/>
        <w:rPr>
          <w:color w:val="auto"/>
        </w:rPr>
      </w:pPr>
      <w:r>
        <w:rPr>
          <w:rFonts w:hint="eastAsia"/>
          <w:color w:val="auto"/>
        </w:rPr>
        <w:t>4.</w:t>
      </w:r>
      <w:r>
        <w:rPr>
          <w:rFonts w:hint="eastAsia"/>
          <w:color w:val="auto"/>
          <w:lang w:val="en-US" w:eastAsia="zh-CN"/>
        </w:rPr>
        <w:t>除上述3种情形外的均按不低于工程进度款的25%划拨</w:t>
      </w:r>
      <w:r>
        <w:rPr>
          <w:rFonts w:hint="eastAsia"/>
          <w:color w:val="auto"/>
        </w:rPr>
        <w:t>。</w:t>
      </w:r>
    </w:p>
    <w:p>
      <w:pPr>
        <w:ind w:firstLine="632" w:firstLineChars="200"/>
        <w:rPr>
          <w:color w:val="auto"/>
        </w:rPr>
      </w:pPr>
      <w:r>
        <w:rPr>
          <w:rFonts w:hint="eastAsia"/>
          <w:color w:val="auto"/>
        </w:rPr>
        <w:t>（三）市政工程项目进度款中的人工费用，由</w:t>
      </w:r>
      <w:r>
        <w:rPr>
          <w:rFonts w:hint="eastAsia"/>
          <w:color w:val="auto"/>
          <w:lang w:val="en-US" w:eastAsia="zh-CN"/>
        </w:rPr>
        <w:t>总包</w:t>
      </w:r>
      <w:r>
        <w:rPr>
          <w:rFonts w:hint="eastAsia"/>
          <w:color w:val="auto"/>
        </w:rPr>
        <w:t>单位递交《房屋建筑和市政工程类项目施工单位信用情况核实和工程进度款人工费用拨付比例申请表》，经属地住建部门和人社部门核实，由建设单位根据</w:t>
      </w:r>
      <w:r>
        <w:rPr>
          <w:rFonts w:hint="eastAsia"/>
          <w:color w:val="auto"/>
          <w:lang w:val="en-US" w:eastAsia="zh-CN"/>
        </w:rPr>
        <w:t>总包</w:t>
      </w:r>
      <w:r>
        <w:rPr>
          <w:rFonts w:hint="eastAsia"/>
          <w:color w:val="auto"/>
        </w:rPr>
        <w:t>单位的信用情况，按照以下</w:t>
      </w:r>
      <w:r>
        <w:rPr>
          <w:rFonts w:hint="eastAsia"/>
          <w:color w:val="auto"/>
          <w:lang w:val="en-US" w:eastAsia="zh-CN"/>
        </w:rPr>
        <w:t>情形</w:t>
      </w:r>
      <w:r>
        <w:rPr>
          <w:rFonts w:hint="eastAsia"/>
          <w:color w:val="auto"/>
        </w:rPr>
        <w:t>约定划拨：</w:t>
      </w:r>
    </w:p>
    <w:p>
      <w:pPr>
        <w:ind w:firstLine="632" w:firstLineChars="200"/>
        <w:rPr>
          <w:color w:val="auto"/>
        </w:rPr>
      </w:pPr>
      <w:r>
        <w:rPr>
          <w:rFonts w:hint="eastAsia"/>
          <w:color w:val="auto"/>
        </w:rPr>
        <w:t>1.</w:t>
      </w:r>
      <w:r>
        <w:rPr>
          <w:rFonts w:hint="eastAsia"/>
          <w:color w:val="auto"/>
          <w:lang w:val="en-US" w:eastAsia="zh-CN"/>
        </w:rPr>
        <w:t>总包单位</w:t>
      </w:r>
      <w:r>
        <w:rPr>
          <w:rFonts w:hint="eastAsia"/>
          <w:color w:val="auto"/>
        </w:rPr>
        <w:t>在本市行政区域内建筑市场信用等级为AAA，在建项目全面落实用工实名制，且两年内没有欠薪的，可按不低于工程进度款的10</w:t>
      </w:r>
      <w:r>
        <w:rPr>
          <w:color w:val="auto"/>
        </w:rPr>
        <w:t>%</w:t>
      </w:r>
      <w:r>
        <w:rPr>
          <w:rFonts w:hint="eastAsia"/>
          <w:color w:val="auto"/>
          <w:lang w:val="en-US" w:eastAsia="zh-CN"/>
        </w:rPr>
        <w:t>划拨</w:t>
      </w:r>
      <w:r>
        <w:rPr>
          <w:rFonts w:hint="eastAsia"/>
          <w:color w:val="auto"/>
        </w:rPr>
        <w:t>；</w:t>
      </w:r>
    </w:p>
    <w:p>
      <w:pPr>
        <w:ind w:firstLine="632" w:firstLineChars="200"/>
        <w:rPr>
          <w:color w:val="auto"/>
        </w:rPr>
      </w:pPr>
      <w:r>
        <w:rPr>
          <w:rFonts w:hint="eastAsia"/>
          <w:color w:val="auto"/>
        </w:rPr>
        <w:t>2.</w:t>
      </w:r>
      <w:r>
        <w:rPr>
          <w:rFonts w:hint="eastAsia"/>
          <w:color w:val="auto"/>
          <w:lang w:val="en-US" w:eastAsia="zh-CN"/>
        </w:rPr>
        <w:t>总包单位</w:t>
      </w:r>
      <w:r>
        <w:rPr>
          <w:rFonts w:hint="eastAsia"/>
          <w:color w:val="auto"/>
        </w:rPr>
        <w:t>在本市行政区域内建筑市场信用等级为AA，在建项目全面落实用工实名制，且两年内没有欠薪的，可按不低于工程进度款的12%</w:t>
      </w:r>
      <w:r>
        <w:rPr>
          <w:rFonts w:hint="eastAsia"/>
          <w:color w:val="auto"/>
          <w:lang w:val="en-US" w:eastAsia="zh-CN"/>
        </w:rPr>
        <w:t>划拨</w:t>
      </w:r>
      <w:r>
        <w:rPr>
          <w:rFonts w:hint="eastAsia"/>
          <w:color w:val="auto"/>
        </w:rPr>
        <w:t>；</w:t>
      </w:r>
    </w:p>
    <w:p>
      <w:pPr>
        <w:ind w:firstLine="632" w:firstLineChars="200"/>
        <w:rPr>
          <w:color w:val="auto"/>
        </w:rPr>
      </w:pPr>
      <w:r>
        <w:rPr>
          <w:rFonts w:hint="eastAsia"/>
          <w:color w:val="auto"/>
        </w:rPr>
        <w:t>3.</w:t>
      </w:r>
      <w:r>
        <w:rPr>
          <w:rFonts w:hint="eastAsia"/>
          <w:color w:val="auto"/>
          <w:lang w:val="en-US" w:eastAsia="zh-CN"/>
        </w:rPr>
        <w:t>总包单位</w:t>
      </w:r>
      <w:r>
        <w:rPr>
          <w:rFonts w:hint="eastAsia"/>
          <w:color w:val="auto"/>
        </w:rPr>
        <w:t>在本市行政区域内建筑市场信用等级为A，在建项目全面落实用工实名制，且两年内没有欠薪的，可按不低于工程进度款的13%</w:t>
      </w:r>
      <w:r>
        <w:rPr>
          <w:rFonts w:hint="eastAsia"/>
          <w:color w:val="auto"/>
          <w:lang w:val="en-US" w:eastAsia="zh-CN"/>
        </w:rPr>
        <w:t>划拨</w:t>
      </w:r>
      <w:r>
        <w:rPr>
          <w:rFonts w:hint="eastAsia"/>
          <w:color w:val="auto"/>
        </w:rPr>
        <w:t>；</w:t>
      </w:r>
    </w:p>
    <w:p>
      <w:pPr>
        <w:ind w:firstLine="632" w:firstLineChars="200"/>
        <w:rPr>
          <w:color w:val="auto"/>
        </w:rPr>
      </w:pPr>
      <w:r>
        <w:rPr>
          <w:rFonts w:hint="eastAsia"/>
          <w:color w:val="auto"/>
        </w:rPr>
        <w:t>4.</w:t>
      </w:r>
      <w:r>
        <w:rPr>
          <w:rFonts w:hint="eastAsia"/>
          <w:color w:val="auto"/>
          <w:lang w:val="en-US" w:eastAsia="zh-CN"/>
        </w:rPr>
        <w:t>除上述3种情形外的均按不低于工程进度款的15%划拨</w:t>
      </w:r>
      <w:r>
        <w:rPr>
          <w:rFonts w:hint="eastAsia"/>
          <w:color w:val="auto"/>
        </w:rPr>
        <w:t>。</w:t>
      </w:r>
    </w:p>
    <w:p>
      <w:pPr>
        <w:ind w:firstLine="632" w:firstLineChars="200"/>
        <w:rPr>
          <w:color w:val="auto"/>
        </w:rPr>
      </w:pPr>
      <w:r>
        <w:rPr>
          <w:rFonts w:hint="eastAsia"/>
          <w:color w:val="auto"/>
        </w:rPr>
        <w:t>（四）交通、水利等其他类工程项目进度款中，按照进度款15%</w:t>
      </w:r>
      <w:r>
        <w:rPr>
          <w:rFonts w:hint="eastAsia"/>
          <w:color w:val="auto"/>
          <w:lang w:val="en-US" w:eastAsia="zh-CN"/>
        </w:rPr>
        <w:t>的</w:t>
      </w:r>
      <w:r>
        <w:rPr>
          <w:rFonts w:hint="eastAsia"/>
          <w:strike w:val="0"/>
          <w:dstrike w:val="0"/>
          <w:color w:val="auto"/>
        </w:rPr>
        <w:t>比例</w:t>
      </w:r>
      <w:r>
        <w:rPr>
          <w:rFonts w:hint="eastAsia"/>
          <w:color w:val="auto"/>
        </w:rPr>
        <w:t>约定划拨人工费用。</w:t>
      </w:r>
    </w:p>
    <w:p>
      <w:pPr>
        <w:ind w:firstLine="632" w:firstLineChars="200"/>
        <w:rPr>
          <w:b/>
          <w:bCs/>
          <w:color w:val="auto"/>
        </w:rPr>
      </w:pPr>
      <w:r>
        <w:rPr>
          <w:rFonts w:hint="eastAsia"/>
          <w:color w:val="auto"/>
        </w:rPr>
        <w:t>工程建设项目施工后，前款第（二）（三）（四）项工程项目的实际人工费用</w:t>
      </w:r>
      <w:r>
        <w:rPr>
          <w:rFonts w:hint="eastAsia"/>
          <w:color w:val="auto"/>
          <w:lang w:val="en-US" w:eastAsia="zh-CN"/>
        </w:rPr>
        <w:t>在</w:t>
      </w:r>
      <w:r>
        <w:rPr>
          <w:rFonts w:hint="eastAsia"/>
          <w:color w:val="auto"/>
        </w:rPr>
        <w:t>三个及三个以上支付节点的期限内，高于或低原约定比例</w:t>
      </w:r>
      <w:r>
        <w:rPr>
          <w:color w:val="auto"/>
        </w:rPr>
        <w:t>的，</w:t>
      </w:r>
      <w:r>
        <w:rPr>
          <w:rFonts w:hint="eastAsia"/>
          <w:color w:val="auto"/>
        </w:rPr>
        <w:t>可由</w:t>
      </w:r>
      <w:r>
        <w:rPr>
          <w:color w:val="auto"/>
        </w:rPr>
        <w:t>建设单位填写《工程</w:t>
      </w:r>
      <w:r>
        <w:rPr>
          <w:rFonts w:hint="eastAsia"/>
          <w:color w:val="auto"/>
        </w:rPr>
        <w:t>建设</w:t>
      </w:r>
      <w:r>
        <w:rPr>
          <w:color w:val="auto"/>
        </w:rPr>
        <w:t>项目资金使用情况明细表》</w:t>
      </w:r>
      <w:r>
        <w:rPr>
          <w:rFonts w:hint="eastAsia"/>
          <w:color w:val="auto"/>
        </w:rPr>
        <w:t>（见附件</w:t>
      </w:r>
      <w:r>
        <w:rPr>
          <w:rFonts w:hint="eastAsia"/>
          <w:color w:val="auto"/>
          <w:lang w:val="en-US" w:eastAsia="zh-CN"/>
        </w:rPr>
        <w:t>4</w:t>
      </w:r>
      <w:r>
        <w:rPr>
          <w:rFonts w:hint="eastAsia"/>
          <w:color w:val="auto"/>
        </w:rPr>
        <w:t>）</w:t>
      </w:r>
      <w:r>
        <w:rPr>
          <w:color w:val="auto"/>
        </w:rPr>
        <w:t>递交行业主管部门</w:t>
      </w:r>
      <w:r>
        <w:rPr>
          <w:rFonts w:hint="eastAsia"/>
          <w:color w:val="auto"/>
        </w:rPr>
        <w:t>和人社部门</w:t>
      </w:r>
      <w:r>
        <w:rPr>
          <w:color w:val="auto"/>
        </w:rPr>
        <w:t>核实</w:t>
      </w:r>
      <w:r>
        <w:rPr>
          <w:rFonts w:hint="eastAsia"/>
          <w:color w:val="auto"/>
        </w:rPr>
        <w:t>后，会其他原参与签订协议方单位签订补充协议。</w:t>
      </w:r>
    </w:p>
    <w:p>
      <w:pPr>
        <w:ind w:firstLine="632" w:firstLineChars="200"/>
        <w:rPr>
          <w:color w:val="auto"/>
        </w:rPr>
      </w:pPr>
      <w:r>
        <w:rPr>
          <w:rFonts w:hint="eastAsia"/>
          <w:b/>
          <w:bCs/>
          <w:color w:val="auto"/>
        </w:rPr>
        <w:t>第八条</w:t>
      </w:r>
      <w:r>
        <w:rPr>
          <w:rFonts w:hint="eastAsia" w:ascii="楷体" w:hAnsi="楷体" w:eastAsia="楷体"/>
          <w:b/>
          <w:color w:val="auto"/>
          <w:shd w:val="clear" w:color="auto" w:fill="FFFFFF"/>
        </w:rPr>
        <w:t>【规范优化开设服务流程】</w:t>
      </w:r>
      <w:r>
        <w:rPr>
          <w:rFonts w:hint="eastAsia"/>
          <w:color w:val="auto"/>
        </w:rPr>
        <w:t xml:space="preserve"> 开户银行应当规范优化农民工工资专用账户开立服务流程，配合总包单位及时做好专用账户开立和管理工作，在业务系统中对账户进行特殊标识。</w:t>
      </w:r>
    </w:p>
    <w:p>
      <w:pPr>
        <w:ind w:firstLine="632" w:firstLineChars="200"/>
        <w:rPr>
          <w:color w:val="auto"/>
        </w:rPr>
      </w:pPr>
      <w:r>
        <w:rPr>
          <w:rFonts w:hint="eastAsia"/>
          <w:color w:val="auto"/>
        </w:rPr>
        <w:t>开户银行不得将专用账户资金转入除本项目农民工本人银行账户以外的账户，不得为专用账户提供现金支取和其他转账结算服务。</w:t>
      </w:r>
    </w:p>
    <w:p>
      <w:pPr>
        <w:pStyle w:val="12"/>
        <w:spacing w:line="600" w:lineRule="exact"/>
        <w:ind w:firstLine="632"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开户银行应当履行以下义务：</w:t>
      </w:r>
    </w:p>
    <w:p>
      <w:pPr>
        <w:pStyle w:val="12"/>
        <w:spacing w:line="600" w:lineRule="exact"/>
        <w:ind w:firstLine="632"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（一）遵守本办法关于农民工工资支付专用账户管理的有关规定，对所提供的服务进行公开承诺。</w:t>
      </w:r>
    </w:p>
    <w:p>
      <w:pPr>
        <w:pStyle w:val="12"/>
        <w:spacing w:line="600" w:lineRule="exact"/>
        <w:ind w:firstLine="632"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（二）向所在地</w:t>
      </w:r>
      <w:r>
        <w:rPr>
          <w:rFonts w:hint="eastAsia" w:ascii="仿宋_GB2312" w:hAnsi="仿宋_GB2312" w:eastAsia="仿宋_GB2312"/>
          <w:color w:val="auto"/>
          <w:sz w:val="32"/>
          <w:szCs w:val="32"/>
          <w:lang w:val="en-US" w:eastAsia="zh-CN"/>
        </w:rPr>
        <w:t>人社部门和相关行业主管部门</w:t>
      </w:r>
      <w:r>
        <w:rPr>
          <w:rFonts w:hint="eastAsia" w:ascii="仿宋_GB2312" w:hAnsi="仿宋_GB2312" w:eastAsia="仿宋_GB2312"/>
          <w:color w:val="auto"/>
          <w:sz w:val="32"/>
          <w:szCs w:val="32"/>
        </w:rPr>
        <w:t>实时反馈农民工工资支付专用账户相关信息，包括账户开立、变更、注销、流水、划账进度以及异常信息。</w:t>
      </w:r>
    </w:p>
    <w:p>
      <w:pPr>
        <w:ind w:firstLine="632" w:firstLineChars="200"/>
        <w:rPr>
          <w:b/>
          <w:bCs/>
          <w:color w:val="auto"/>
        </w:rPr>
      </w:pPr>
      <w:r>
        <w:rPr>
          <w:rFonts w:hint="eastAsia"/>
          <w:color w:val="auto"/>
        </w:rPr>
        <w:t>（三）根据所在地</w:t>
      </w:r>
      <w:r>
        <w:rPr>
          <w:rFonts w:hint="eastAsia" w:ascii="仿宋_GB2312" w:hAnsi="仿宋_GB2312" w:eastAsia="仿宋_GB2312"/>
          <w:color w:val="auto"/>
          <w:sz w:val="32"/>
          <w:szCs w:val="32"/>
          <w:lang w:val="en-US" w:eastAsia="zh-CN"/>
        </w:rPr>
        <w:t>人社部门和相关行业主管部门</w:t>
      </w:r>
      <w:r>
        <w:rPr>
          <w:rFonts w:hint="eastAsia"/>
          <w:color w:val="auto"/>
        </w:rPr>
        <w:t>的管理需要，依法协助提供农民工工资支付专用账户的其他相关信息。</w:t>
      </w:r>
    </w:p>
    <w:p>
      <w:pPr>
        <w:ind w:firstLine="632" w:firstLineChars="200"/>
        <w:rPr>
          <w:color w:val="auto"/>
        </w:rPr>
      </w:pPr>
      <w:r>
        <w:rPr>
          <w:rFonts w:hint="eastAsia"/>
          <w:b/>
          <w:bCs/>
          <w:color w:val="auto"/>
        </w:rPr>
        <w:t>第九条【专款专用】</w:t>
      </w:r>
      <w:r>
        <w:rPr>
          <w:rFonts w:hint="eastAsia"/>
          <w:color w:val="auto"/>
        </w:rPr>
        <w:t xml:space="preserve"> 除法律另有规定外，专用账户资金不得因支付为本项目提供劳动的农民工工资之外的原因被查封、冻结或者划拨。</w:t>
      </w:r>
    </w:p>
    <w:p>
      <w:pPr>
        <w:ind w:firstLine="632" w:firstLineChars="200"/>
        <w:rPr>
          <w:color w:val="auto"/>
        </w:rPr>
      </w:pPr>
      <w:r>
        <w:rPr>
          <w:rFonts w:hint="eastAsia"/>
          <w:color w:val="auto"/>
        </w:rPr>
        <w:t>农民工工资支付专用账户监管期间出现被司法、行政机关查封、冻结、扣划时，开户银行应依法按相关程序处理，同时应在2个工作日内书面通知农民工工资支付专用账户的建设单位、总包单位、所在地</w:t>
      </w:r>
      <w:r>
        <w:rPr>
          <w:rFonts w:hint="eastAsia" w:ascii="仿宋_GB2312" w:hAnsi="仿宋_GB2312" w:eastAsia="仿宋_GB2312"/>
          <w:color w:val="auto"/>
          <w:sz w:val="32"/>
          <w:szCs w:val="32"/>
          <w:lang w:val="en-US" w:eastAsia="zh-CN"/>
        </w:rPr>
        <w:t>人社部门和相关行业主管部门</w:t>
      </w:r>
      <w:r>
        <w:rPr>
          <w:rFonts w:hint="eastAsia"/>
          <w:color w:val="auto"/>
        </w:rPr>
        <w:t>。</w:t>
      </w:r>
    </w:p>
    <w:p>
      <w:pPr>
        <w:ind w:firstLine="632" w:firstLineChars="200"/>
        <w:rPr>
          <w:rFonts w:hint="eastAsia" w:eastAsia="仿宋_GB2312"/>
          <w:color w:val="auto"/>
          <w:lang w:val="en-US" w:eastAsia="zh-CN"/>
        </w:rPr>
      </w:pPr>
      <w:r>
        <w:rPr>
          <w:rFonts w:hint="eastAsia"/>
          <w:b/>
          <w:bCs/>
          <w:color w:val="auto"/>
        </w:rPr>
        <w:t>第十条【专用账户的注销】</w:t>
      </w:r>
      <w:r>
        <w:rPr>
          <w:rFonts w:hint="eastAsia"/>
          <w:color w:val="auto"/>
        </w:rPr>
        <w:t xml:space="preserve"> 工程完工、总包单位或者开户银行发生变更需要撤销专用账户的，总包单位</w:t>
      </w:r>
      <w:r>
        <w:rPr>
          <w:rFonts w:hint="eastAsia" w:ascii="仿宋_GB2312" w:hAnsi="仿宋_GB2312" w:eastAsia="仿宋_GB2312"/>
          <w:color w:val="auto"/>
          <w:sz w:val="32"/>
          <w:szCs w:val="32"/>
          <w:lang w:val="en-US" w:eastAsia="zh-CN"/>
        </w:rPr>
        <w:t>需</w:t>
      </w:r>
      <w:r>
        <w:rPr>
          <w:rFonts w:hint="eastAsia"/>
          <w:color w:val="auto"/>
        </w:rPr>
        <w:t>将本工程建设项目无拖欠农民工工资情况公示30日，</w:t>
      </w:r>
      <w:r>
        <w:rPr>
          <w:rFonts w:hint="eastAsia"/>
          <w:color w:val="auto"/>
          <w:lang w:val="en-US" w:eastAsia="zh-CN"/>
        </w:rPr>
        <w:t>取得建设单位出具的无拖欠农民工工资或已结清工人工资的确认意见。填写《注销农民工工资支付专用账户申请表》（附件5），</w:t>
      </w:r>
      <w:r>
        <w:rPr>
          <w:rFonts w:hint="eastAsia"/>
          <w:color w:val="auto"/>
        </w:rPr>
        <w:t>向项目所在地</w:t>
      </w:r>
      <w:r>
        <w:rPr>
          <w:rFonts w:hint="eastAsia"/>
          <w:color w:val="auto"/>
          <w:lang w:val="en-US" w:eastAsia="zh-CN"/>
        </w:rPr>
        <w:t>人社部门</w:t>
      </w:r>
      <w:r>
        <w:rPr>
          <w:rFonts w:hint="eastAsia"/>
          <w:color w:val="auto"/>
        </w:rPr>
        <w:t>、相关</w:t>
      </w:r>
      <w:r>
        <w:rPr>
          <w:rFonts w:hint="eastAsia"/>
          <w:color w:val="auto"/>
          <w:lang w:val="en-US" w:eastAsia="zh-CN"/>
        </w:rPr>
        <w:t>行业主管部门提出申请，并</w:t>
      </w:r>
      <w:r>
        <w:rPr>
          <w:rFonts w:hint="eastAsia"/>
          <w:color w:val="auto"/>
        </w:rPr>
        <w:t>出具无拖欠农民工工资承诺书</w:t>
      </w:r>
      <w:r>
        <w:rPr>
          <w:rFonts w:hint="eastAsia"/>
          <w:color w:val="auto"/>
          <w:lang w:eastAsia="zh-CN"/>
        </w:rPr>
        <w:t>。</w:t>
      </w:r>
    </w:p>
    <w:p>
      <w:pPr>
        <w:ind w:firstLine="632" w:firstLineChars="200"/>
        <w:rPr>
          <w:color w:val="auto"/>
        </w:rPr>
      </w:pPr>
      <w:r>
        <w:rPr>
          <w:rFonts w:hint="eastAsia"/>
          <w:color w:val="auto"/>
        </w:rPr>
        <w:t>开户银行依据专用账户监管部门通知取消账户特殊标识，按程序办理专用账户撤销手续，专用账户余额归总包单位所有。总包单位或者开户银行发生变更,撤销账户后可按照第六条规定开立新的专用账户。</w:t>
      </w:r>
    </w:p>
    <w:p>
      <w:pPr>
        <w:ind w:firstLine="632" w:firstLineChars="200"/>
        <w:rPr>
          <w:color w:val="auto"/>
        </w:rPr>
      </w:pPr>
      <w:r>
        <w:rPr>
          <w:rFonts w:hint="eastAsia"/>
          <w:b/>
          <w:bCs/>
          <w:color w:val="auto"/>
        </w:rPr>
        <w:t>第十一条【不得申请注销的情况】</w:t>
      </w:r>
      <w:r>
        <w:rPr>
          <w:rFonts w:hint="eastAsia"/>
          <w:color w:val="auto"/>
        </w:rPr>
        <w:t xml:space="preserve"> 工程建设项目存在以下情况，总包单位不得向开户银行申请撤销专用账户：</w:t>
      </w:r>
    </w:p>
    <w:p>
      <w:pPr>
        <w:ind w:firstLine="632" w:firstLineChars="200"/>
        <w:rPr>
          <w:color w:val="auto"/>
        </w:rPr>
      </w:pPr>
      <w:r>
        <w:rPr>
          <w:rFonts w:hint="eastAsia"/>
          <w:color w:val="auto"/>
        </w:rPr>
        <w:t>（一）尚有拖欠农民工工资案件正在处理的；</w:t>
      </w:r>
    </w:p>
    <w:p>
      <w:pPr>
        <w:ind w:firstLine="632" w:firstLineChars="200"/>
        <w:rPr>
          <w:color w:val="auto"/>
        </w:rPr>
      </w:pPr>
      <w:r>
        <w:rPr>
          <w:rFonts w:hint="eastAsia"/>
          <w:color w:val="auto"/>
        </w:rPr>
        <w:t>（二）农民工因工资支付问题正在申请劳动争议仲裁或者向人民法院提起诉讼的；</w:t>
      </w:r>
    </w:p>
    <w:p>
      <w:pPr>
        <w:ind w:firstLine="632" w:firstLineChars="200"/>
        <w:rPr>
          <w:color w:val="auto"/>
        </w:rPr>
      </w:pPr>
      <w:r>
        <w:rPr>
          <w:rFonts w:hint="eastAsia"/>
          <w:color w:val="auto"/>
        </w:rPr>
        <w:t>（三）其他拖欠农民工工资的情形。</w:t>
      </w:r>
    </w:p>
    <w:p>
      <w:pPr>
        <w:ind w:firstLine="632" w:firstLineChars="200"/>
        <w:rPr>
          <w:color w:val="auto"/>
        </w:rPr>
      </w:pPr>
      <w:r>
        <w:rPr>
          <w:rFonts w:hint="eastAsia"/>
          <w:b/>
          <w:bCs/>
          <w:color w:val="auto"/>
        </w:rPr>
        <w:t>第十二条【建设单位的责任】</w:t>
      </w:r>
      <w:r>
        <w:rPr>
          <w:rFonts w:hint="eastAsia"/>
          <w:color w:val="auto"/>
        </w:rPr>
        <w:t xml:space="preserve"> 建设单位应当加强对总包单位开立、撤销专用账户情况的监督。总包单位依法办理账户撤销手续，建设单位无故不出具已结清工人工资确认意见的，相关行业工程建设主管部门按不良行为记录诚信档案。</w:t>
      </w:r>
    </w:p>
    <w:p>
      <w:pPr>
        <w:pStyle w:val="2"/>
        <w:widowControl/>
        <w:jc w:val="center"/>
        <w:rPr>
          <w:rFonts w:ascii="方正黑体_GBK" w:hAnsi="方正黑体_GBK" w:eastAsia="方正黑体_GBK" w:cs="方正黑体_GBK"/>
          <w:b w:val="0"/>
          <w:bCs/>
          <w:color w:val="auto"/>
        </w:rPr>
      </w:pPr>
      <w:r>
        <w:rPr>
          <w:rFonts w:hint="eastAsia" w:ascii="黑体" w:hAnsi="黑体" w:eastAsia="黑体" w:cs="黑体"/>
          <w:b w:val="0"/>
          <w:bCs/>
          <w:color w:val="auto"/>
        </w:rPr>
        <w:t>第三章 人工费用的拨付</w:t>
      </w:r>
    </w:p>
    <w:p>
      <w:pPr>
        <w:ind w:firstLine="632" w:firstLineChars="200"/>
        <w:rPr>
          <w:color w:val="auto"/>
        </w:rPr>
      </w:pPr>
      <w:r>
        <w:rPr>
          <w:rFonts w:hint="eastAsia"/>
          <w:b/>
          <w:bCs/>
          <w:color w:val="auto"/>
        </w:rPr>
        <w:t>第十三条【未拨付人工费用的报告和预警】</w:t>
      </w:r>
      <w:r>
        <w:rPr>
          <w:rFonts w:hint="eastAsia"/>
          <w:color w:val="auto"/>
        </w:rPr>
        <w:t xml:space="preserve"> 建设单位应当按工程施工合同约定的数额或者比例等，按时将人工费用拨付到总包单位专用账户。人工费用拨付周期不得超过1个月，超过1个月未拨付，进入预警状态。</w:t>
      </w:r>
    </w:p>
    <w:p>
      <w:pPr>
        <w:ind w:firstLine="632" w:firstLineChars="200"/>
        <w:rPr>
          <w:color w:val="auto"/>
        </w:rPr>
      </w:pPr>
      <w:r>
        <w:rPr>
          <w:rFonts w:hint="eastAsia"/>
          <w:color w:val="auto"/>
        </w:rPr>
        <w:t>开户银行应当做好专用账户日常管理工作。出现未按约定拨付人工费用等情况的，开户银行应当通知总包单位，由总包单位报告项目所在地</w:t>
      </w:r>
      <w:r>
        <w:rPr>
          <w:rFonts w:hint="eastAsia"/>
          <w:color w:val="auto"/>
          <w:lang w:val="en-US" w:eastAsia="zh-CN"/>
        </w:rPr>
        <w:t>人社部门和相关行业主管部门</w:t>
      </w:r>
      <w:r>
        <w:rPr>
          <w:rFonts w:hint="eastAsia"/>
          <w:color w:val="auto"/>
        </w:rPr>
        <w:t>，相关部门应当纳入欠薪预警并及时进行处置。</w:t>
      </w:r>
    </w:p>
    <w:p>
      <w:pPr>
        <w:ind w:firstLine="632" w:firstLineChars="200"/>
        <w:rPr>
          <w:color w:val="auto"/>
        </w:rPr>
      </w:pPr>
      <w:r>
        <w:rPr>
          <w:rFonts w:hint="eastAsia"/>
          <w:color w:val="auto"/>
        </w:rPr>
        <w:t>建设单位已经按约定足额向专用账户拨付资金，但总包单位依然拖欠农民工工资的，建设单位应及时报告有关部门。</w:t>
      </w:r>
    </w:p>
    <w:p>
      <w:pPr>
        <w:ind w:firstLine="632" w:firstLineChars="200"/>
        <w:rPr>
          <w:strike/>
          <w:color w:val="auto"/>
        </w:rPr>
      </w:pPr>
      <w:r>
        <w:rPr>
          <w:rFonts w:hint="eastAsia"/>
          <w:b/>
          <w:bCs/>
          <w:color w:val="auto"/>
        </w:rPr>
        <w:t>第十四条</w:t>
      </w:r>
      <w:r>
        <w:rPr>
          <w:rFonts w:hint="eastAsia"/>
          <w:color w:val="auto"/>
        </w:rPr>
        <w:t xml:space="preserve"> </w:t>
      </w:r>
      <w:r>
        <w:rPr>
          <w:rFonts w:hint="eastAsia"/>
          <w:b/>
          <w:bCs/>
          <w:color w:val="auto"/>
        </w:rPr>
        <w:t>【专用账户资金不足时的处置】</w:t>
      </w:r>
      <w:r>
        <w:rPr>
          <w:rFonts w:hint="eastAsia"/>
          <w:color w:val="auto"/>
        </w:rPr>
        <w:t>因用工量增加等原因导致专用账户余额不足以按时足额支付农民工工资时，总包单位提出需增加的人工费用数额，由建设单位核准后及时追加拨付。建设单位未及时足额拨付人工费用的，由所在地</w:t>
      </w:r>
      <w:r>
        <w:rPr>
          <w:rFonts w:hint="eastAsia"/>
          <w:color w:val="auto"/>
          <w:lang w:val="en-US" w:eastAsia="zh-CN"/>
        </w:rPr>
        <w:t>人社部门和相关行业主管部门</w:t>
      </w:r>
      <w:r>
        <w:rPr>
          <w:rFonts w:hint="eastAsia"/>
          <w:color w:val="auto"/>
        </w:rPr>
        <w:t>按照《保障农民工工资</w:t>
      </w:r>
      <w:r>
        <w:rPr>
          <w:rFonts w:hint="eastAsia"/>
          <w:color w:val="auto"/>
          <w:lang w:val="en-US" w:eastAsia="zh-CN"/>
        </w:rPr>
        <w:t>支付</w:t>
      </w:r>
      <w:r>
        <w:rPr>
          <w:rFonts w:hint="eastAsia"/>
          <w:color w:val="auto"/>
        </w:rPr>
        <w:t>条例》有关规定处理。</w:t>
      </w:r>
    </w:p>
    <w:p>
      <w:pPr>
        <w:pStyle w:val="2"/>
        <w:widowControl/>
        <w:jc w:val="center"/>
        <w:rPr>
          <w:rFonts w:ascii="方正黑体_GBK" w:hAnsi="方正黑体_GBK" w:eastAsia="方正黑体_GBK" w:cs="方正黑体_GBK"/>
          <w:b w:val="0"/>
          <w:bCs/>
          <w:color w:val="auto"/>
        </w:rPr>
      </w:pPr>
      <w:r>
        <w:rPr>
          <w:rFonts w:hint="eastAsia" w:ascii="黑体" w:hAnsi="黑体" w:eastAsia="黑体"/>
          <w:b w:val="0"/>
          <w:bCs/>
          <w:color w:val="auto"/>
        </w:rPr>
        <w:t>第四章 农民工工资的支付</w:t>
      </w:r>
    </w:p>
    <w:p>
      <w:pPr>
        <w:ind w:firstLine="632" w:firstLineChars="200"/>
        <w:rPr>
          <w:color w:val="auto"/>
        </w:rPr>
      </w:pPr>
      <w:r>
        <w:rPr>
          <w:rFonts w:hint="eastAsia"/>
          <w:b/>
          <w:bCs/>
          <w:color w:val="auto"/>
        </w:rPr>
        <w:t>第十五条【总包代发制度】</w:t>
      </w:r>
      <w:r>
        <w:rPr>
          <w:rFonts w:hint="eastAsia"/>
          <w:color w:val="auto"/>
        </w:rPr>
        <w:t xml:space="preserve"> 工程建设领域总包单位对农民工工资支付负总责，推行分包单位农民工工资委托总包单位代发制度（以下简称总包代发制度）。</w:t>
      </w:r>
    </w:p>
    <w:p>
      <w:pPr>
        <w:ind w:firstLine="632" w:firstLineChars="200"/>
        <w:rPr>
          <w:color w:val="auto"/>
        </w:rPr>
      </w:pPr>
      <w:r>
        <w:rPr>
          <w:rFonts w:hint="eastAsia"/>
          <w:color w:val="auto"/>
        </w:rPr>
        <w:t>工程建设项目</w:t>
      </w:r>
      <w:r>
        <w:rPr>
          <w:rFonts w:hint="eastAsia"/>
          <w:color w:val="auto"/>
          <w:lang w:val="en-US" w:eastAsia="zh-CN"/>
        </w:rPr>
        <w:t>实行</w:t>
      </w:r>
      <w:r>
        <w:rPr>
          <w:rFonts w:hint="eastAsia"/>
          <w:color w:val="auto"/>
        </w:rPr>
        <w:t xml:space="preserve">总包代发制度的，总包单位与分包单位签订委托工资支付协议。 </w:t>
      </w:r>
    </w:p>
    <w:p>
      <w:pPr>
        <w:ind w:firstLine="632" w:firstLineChars="200"/>
        <w:rPr>
          <w:color w:val="auto"/>
        </w:rPr>
      </w:pPr>
      <w:r>
        <w:rPr>
          <w:rFonts w:hint="eastAsia"/>
          <w:b/>
          <w:bCs/>
          <w:color w:val="auto"/>
        </w:rPr>
        <w:t>第十六条【农民工实名制管理】</w:t>
      </w:r>
      <w:r>
        <w:rPr>
          <w:rFonts w:hint="eastAsia"/>
          <w:color w:val="auto"/>
        </w:rPr>
        <w:t xml:space="preserve"> 总包单位或者分包单位应当按照相关</w:t>
      </w:r>
      <w:r>
        <w:rPr>
          <w:rFonts w:hint="eastAsia"/>
          <w:color w:val="auto"/>
          <w:lang w:val="en-US" w:eastAsia="zh-CN"/>
        </w:rPr>
        <w:t>行业主管部门</w:t>
      </w:r>
      <w:r>
        <w:rPr>
          <w:rFonts w:hint="eastAsia"/>
          <w:color w:val="auto"/>
        </w:rPr>
        <w:t>的要求开展农民工实名制管理工作，依法与所招用的农民工订立劳动合同并进行用工实名登记。总包单位和分包单位对农民工实名制基本信息进行采集、核实、更新，建立实名制管理台账。工程建设项目应结合行业特点配备农民工实名制管理所必需的软硬件设施设备。</w:t>
      </w:r>
    </w:p>
    <w:p>
      <w:pPr>
        <w:ind w:firstLine="632" w:firstLineChars="200"/>
        <w:rPr>
          <w:color w:val="auto"/>
        </w:rPr>
      </w:pPr>
      <w:r>
        <w:rPr>
          <w:rFonts w:hint="eastAsia"/>
          <w:color w:val="auto"/>
        </w:rPr>
        <w:t>房屋市政工程项目，在建工程项目前端硬件设施设备采集考勤数据后不经第三方平台直接上传“云浮市智慧建筑管理服务平台”用工实名制管理系统，确保真实有效实行房屋市政工程项目利用实名制平台推送考勤数据对接银行部门发放工人工资。</w:t>
      </w:r>
    </w:p>
    <w:p>
      <w:pPr>
        <w:ind w:firstLine="632" w:firstLineChars="200"/>
        <w:rPr>
          <w:b/>
          <w:bCs/>
          <w:color w:val="auto"/>
        </w:rPr>
      </w:pPr>
      <w:r>
        <w:rPr>
          <w:rFonts w:hint="eastAsia"/>
          <w:color w:val="auto"/>
        </w:rPr>
        <w:t>交通、水利等其他类工程项目在条件成熟时，可参照房屋市政工程项目利用实名制平台推送考勤数据对接银行部门发放工人工资。</w:t>
      </w:r>
    </w:p>
    <w:p>
      <w:pPr>
        <w:ind w:firstLine="632" w:firstLineChars="200"/>
        <w:rPr>
          <w:color w:val="auto"/>
        </w:rPr>
      </w:pPr>
      <w:r>
        <w:rPr>
          <w:rFonts w:hint="eastAsia"/>
          <w:color w:val="auto"/>
        </w:rPr>
        <w:t>未与总包单位或者分包单位订立劳动合同并进行用工实名登记的人员，不得进入项目现场施工。</w:t>
      </w:r>
    </w:p>
    <w:p>
      <w:pPr>
        <w:ind w:firstLine="632" w:firstLineChars="200"/>
        <w:rPr>
          <w:color w:val="auto"/>
        </w:rPr>
      </w:pPr>
      <w:r>
        <w:rPr>
          <w:rFonts w:hint="eastAsia"/>
          <w:b/>
          <w:bCs/>
          <w:color w:val="auto"/>
        </w:rPr>
        <w:t>第十七条【编制和审核工资支付表】</w:t>
      </w:r>
      <w:r>
        <w:rPr>
          <w:rFonts w:hint="eastAsia"/>
          <w:color w:val="auto"/>
        </w:rPr>
        <w:t xml:space="preserve"> </w:t>
      </w:r>
      <w:r>
        <w:rPr>
          <w:rFonts w:hint="eastAsia"/>
          <w:color w:val="auto"/>
          <w:lang w:val="en-US" w:eastAsia="zh-CN"/>
        </w:rPr>
        <w:t>实</w:t>
      </w:r>
      <w:r>
        <w:rPr>
          <w:rFonts w:hint="eastAsia"/>
          <w:color w:val="auto"/>
        </w:rPr>
        <w:t>行总包代发制度的，分包单位以实名制管理信息为基础，按月考核农民工工作量并编制工资支付表，经农民工本人签字确认后，与农民工考勤表、当月工程进度等情况一并交总包单位，并协助总包单位做好农民工工资支付工作。</w:t>
      </w:r>
    </w:p>
    <w:p>
      <w:pPr>
        <w:ind w:firstLine="632" w:firstLineChars="200"/>
        <w:rPr>
          <w:rFonts w:hint="eastAsia"/>
          <w:color w:val="auto"/>
        </w:rPr>
      </w:pPr>
      <w:r>
        <w:rPr>
          <w:rFonts w:hint="eastAsia"/>
          <w:color w:val="auto"/>
        </w:rPr>
        <w:t>总包单位应当在工程建设项目部配备劳资专管员，对分包单位劳动用工实施监督管理，审核分包单位编制的农民工考勤表、工资支付表等工资发放资料</w:t>
      </w:r>
      <w:r>
        <w:rPr>
          <w:rFonts w:hint="eastAsia"/>
          <w:color w:val="auto"/>
          <w:lang w:eastAsia="zh-CN"/>
        </w:rPr>
        <w:t>，</w:t>
      </w:r>
      <w:r>
        <w:rPr>
          <w:rFonts w:hint="eastAsia"/>
          <w:color w:val="auto"/>
          <w:lang w:val="en-US" w:eastAsia="zh-CN"/>
        </w:rPr>
        <w:t>参与欠薪隐患的排查，组织劳资纠纷调解工作等工作</w:t>
      </w:r>
      <w:r>
        <w:rPr>
          <w:rFonts w:hint="eastAsia"/>
          <w:color w:val="auto"/>
        </w:rPr>
        <w:t>。</w:t>
      </w:r>
    </w:p>
    <w:p>
      <w:pPr>
        <w:ind w:firstLine="632" w:firstLineChars="200"/>
        <w:rPr>
          <w:color w:val="auto"/>
        </w:rPr>
      </w:pPr>
      <w:r>
        <w:rPr>
          <w:rFonts w:hint="eastAsia"/>
          <w:b/>
          <w:bCs/>
          <w:color w:val="auto"/>
        </w:rPr>
        <w:t>第十八条【工资支付】</w:t>
      </w:r>
      <w:r>
        <w:rPr>
          <w:rFonts w:hint="eastAsia"/>
          <w:color w:val="auto"/>
        </w:rPr>
        <w:t xml:space="preserve"> 总包单位应当按时将审核后的工资支付表等工资发放资料报送开户银行，开户银行应当及时将工资通过专用账户直接支付到农民工本人的银行账户，并由总包单位向分包单位提供代发工资凭证。</w:t>
      </w:r>
    </w:p>
    <w:p>
      <w:pPr>
        <w:ind w:firstLine="632" w:firstLineChars="200"/>
        <w:rPr>
          <w:color w:val="auto"/>
        </w:rPr>
      </w:pPr>
      <w:r>
        <w:rPr>
          <w:rFonts w:hint="eastAsia"/>
          <w:b/>
          <w:bCs/>
          <w:color w:val="auto"/>
        </w:rPr>
        <w:t>第十九条【工资卡】</w:t>
      </w:r>
      <w:r>
        <w:rPr>
          <w:rFonts w:hint="eastAsia"/>
          <w:color w:val="auto"/>
        </w:rPr>
        <w:t xml:space="preserve"> 农民工工资卡实行一人一卡、本人持卡，用人单位或者其他人员不得以任何理由扣押或者变相扣押。</w:t>
      </w:r>
    </w:p>
    <w:p>
      <w:pPr>
        <w:ind w:firstLine="632" w:firstLineChars="200"/>
        <w:rPr>
          <w:color w:val="auto"/>
        </w:rPr>
      </w:pPr>
      <w:r>
        <w:rPr>
          <w:rFonts w:hint="eastAsia"/>
          <w:color w:val="auto"/>
        </w:rPr>
        <w:t>开户银行应采取有效措施，积极防范本机构农民工工资卡被用于出租、出售、洗钱、赌博、诈骗和其他非法活动。</w:t>
      </w:r>
    </w:p>
    <w:p>
      <w:pPr>
        <w:ind w:firstLine="632" w:firstLineChars="200"/>
        <w:rPr>
          <w:rFonts w:hint="eastAsia" w:eastAsia="仿宋_GB2312"/>
          <w:color w:val="auto"/>
          <w:lang w:eastAsia="zh-CN"/>
        </w:rPr>
      </w:pPr>
      <w:r>
        <w:rPr>
          <w:rFonts w:hint="eastAsia"/>
          <w:b/>
          <w:bCs/>
          <w:color w:val="auto"/>
        </w:rPr>
        <w:t>第二十条【支持跨行异地】</w:t>
      </w:r>
      <w:r>
        <w:rPr>
          <w:rFonts w:hint="eastAsia"/>
          <w:color w:val="auto"/>
        </w:rPr>
        <w:t xml:space="preserve"> 开户银行支持农民工使用本人的具有金融功能的社会保障卡或者现有银行卡领取工资，不得拒绝其使用他行社会保障卡银行账户或他行银行卡。任何单位和个人不得强制要求农民工重新办理工资卡。农民工使用他行社会保障卡银行账户或他行银行卡的，鼓励执行优惠的跨行代发工资手续费率。</w:t>
      </w:r>
    </w:p>
    <w:p>
      <w:pPr>
        <w:ind w:firstLine="632" w:firstLineChars="200"/>
        <w:rPr>
          <w:color w:val="auto"/>
        </w:rPr>
      </w:pPr>
      <w:r>
        <w:rPr>
          <w:rFonts w:hint="eastAsia"/>
          <w:color w:val="auto"/>
        </w:rPr>
        <w:t>农民工本人确需办理新工资卡的，优先办理具有金融功能的社会保障卡，鼓励开户银行提供便利化服务，上门办理。</w:t>
      </w:r>
    </w:p>
    <w:p>
      <w:pPr>
        <w:ind w:firstLine="632" w:firstLineChars="200"/>
        <w:rPr>
          <w:color w:val="auto"/>
        </w:rPr>
      </w:pPr>
      <w:r>
        <w:rPr>
          <w:rFonts w:hint="eastAsia"/>
          <w:b/>
          <w:bCs/>
          <w:color w:val="auto"/>
        </w:rPr>
        <w:t>第二十一条【资料的存档备查】</w:t>
      </w:r>
      <w:r>
        <w:rPr>
          <w:rFonts w:hint="eastAsia"/>
          <w:color w:val="auto"/>
        </w:rPr>
        <w:t xml:space="preserve"> 总包单位应当将专用账户有关资料、用工管理台账等妥善保存，至少保存至工程完工且工资全部结清后3年。</w:t>
      </w:r>
    </w:p>
    <w:p>
      <w:pPr>
        <w:ind w:firstLine="632" w:firstLineChars="200"/>
        <w:rPr>
          <w:color w:val="auto"/>
        </w:rPr>
      </w:pPr>
      <w:r>
        <w:rPr>
          <w:rFonts w:hint="eastAsia"/>
          <w:b/>
          <w:bCs/>
          <w:color w:val="auto"/>
        </w:rPr>
        <w:t>第二十二条【监理单位的监督】</w:t>
      </w:r>
      <w:r>
        <w:rPr>
          <w:rFonts w:hint="eastAsia"/>
          <w:color w:val="auto"/>
        </w:rPr>
        <w:t xml:space="preserve"> 建设单位在签订工程监理合同时，可通过协商委托监理单位实施农民工工资支付审核及监督。</w:t>
      </w:r>
    </w:p>
    <w:p>
      <w:pPr>
        <w:pStyle w:val="2"/>
        <w:widowControl/>
        <w:jc w:val="center"/>
        <w:rPr>
          <w:rFonts w:ascii="方正黑体_GBK" w:hAnsi="方正黑体_GBK" w:eastAsia="方正黑体_GBK" w:cs="方正黑体_GBK"/>
          <w:b w:val="0"/>
          <w:bCs/>
          <w:color w:val="auto"/>
        </w:rPr>
      </w:pPr>
      <w:r>
        <w:rPr>
          <w:rFonts w:hint="eastAsia" w:ascii="黑体" w:hAnsi="黑体" w:eastAsia="黑体"/>
          <w:b w:val="0"/>
          <w:bCs/>
          <w:color w:val="auto"/>
        </w:rPr>
        <w:t>第五章 工资支付监控预警平台建设</w:t>
      </w:r>
    </w:p>
    <w:p>
      <w:pPr>
        <w:ind w:firstLine="632" w:firstLineChars="200"/>
        <w:rPr>
          <w:color w:val="auto"/>
        </w:rPr>
      </w:pPr>
      <w:r>
        <w:rPr>
          <w:rFonts w:hint="eastAsia"/>
          <w:b/>
          <w:bCs/>
          <w:color w:val="auto"/>
        </w:rPr>
        <w:t>第二十三条【工资支付监控预警平台】</w:t>
      </w:r>
      <w:r>
        <w:rPr>
          <w:rFonts w:hint="eastAsia"/>
          <w:color w:val="auto"/>
        </w:rPr>
        <w:t xml:space="preserve"> 人力资源社会保障</w:t>
      </w:r>
      <w:r>
        <w:rPr>
          <w:rFonts w:hint="eastAsia"/>
          <w:color w:val="auto"/>
          <w:lang w:val="en-US" w:eastAsia="zh-CN"/>
        </w:rPr>
        <w:t>部门</w:t>
      </w:r>
      <w:r>
        <w:rPr>
          <w:rFonts w:hint="eastAsia"/>
          <w:color w:val="auto"/>
        </w:rPr>
        <w:t>会同相关部门统筹做好农民工工资支付监控预警平台的规划和建设工作。</w:t>
      </w:r>
    </w:p>
    <w:p>
      <w:pPr>
        <w:ind w:firstLine="632" w:firstLineChars="200"/>
        <w:rPr>
          <w:color w:val="auto"/>
        </w:rPr>
      </w:pPr>
      <w:r>
        <w:rPr>
          <w:rFonts w:hint="eastAsia"/>
          <w:color w:val="auto"/>
        </w:rPr>
        <w:t>建立完善农民工工资支付监控预警平台，市、县两级依托农民工工资支付监控预警平台开展农民工工资支付监控预警。同时，按照网络安全和信息化有关要求，做好平台安全保障工作。</w:t>
      </w:r>
    </w:p>
    <w:p>
      <w:pPr>
        <w:ind w:firstLine="632" w:firstLineChars="200"/>
        <w:rPr>
          <w:color w:val="auto"/>
        </w:rPr>
      </w:pPr>
      <w:r>
        <w:rPr>
          <w:rFonts w:hint="eastAsia"/>
          <w:strike w:val="0"/>
          <w:dstrike w:val="0"/>
          <w:color w:val="auto"/>
          <w:lang w:eastAsia="zh-CN"/>
        </w:rPr>
        <w:t>做好</w:t>
      </w:r>
      <w:r>
        <w:rPr>
          <w:rFonts w:hint="eastAsia"/>
          <w:color w:val="auto"/>
        </w:rPr>
        <w:t>农民工工资支付监控预警数据信息</w:t>
      </w:r>
      <w:r>
        <w:rPr>
          <w:rFonts w:hint="eastAsia"/>
          <w:strike w:val="0"/>
          <w:dstrike w:val="0"/>
          <w:color w:val="auto"/>
          <w:sz w:val="32"/>
        </w:rPr>
        <w:t>与省平台的互联互通，</w:t>
      </w:r>
      <w:r>
        <w:rPr>
          <w:rFonts w:hint="eastAsia"/>
          <w:strike w:val="0"/>
          <w:dstrike w:val="0"/>
          <w:color w:val="auto"/>
          <w:sz w:val="32"/>
          <w:lang w:eastAsia="zh-CN"/>
        </w:rPr>
        <w:t>及时排除疑点数据。</w:t>
      </w:r>
      <w:r>
        <w:rPr>
          <w:rFonts w:hint="eastAsia"/>
          <w:color w:val="auto"/>
        </w:rPr>
        <w:t>与建筑工人管理服务、投资项目在线审批监管、全市信用信息共享等信息平台对接，实现信息比对、分析预警等功能。</w:t>
      </w:r>
    </w:p>
    <w:p>
      <w:pPr>
        <w:ind w:firstLine="632" w:firstLineChars="200"/>
        <w:rPr>
          <w:color w:val="auto"/>
        </w:rPr>
      </w:pPr>
      <w:r>
        <w:rPr>
          <w:rFonts w:hint="eastAsia"/>
          <w:b/>
          <w:bCs/>
          <w:color w:val="auto"/>
        </w:rPr>
        <w:t>第二十四条【监管信息的归集和预警】</w:t>
      </w:r>
      <w:r>
        <w:rPr>
          <w:rFonts w:hint="eastAsia"/>
          <w:color w:val="auto"/>
        </w:rPr>
        <w:t xml:space="preserve"> 相关单位应当依法将工程施工合同中有关专用账户和工资支付的内容及修改情况、专用账户开立和撤销情况、劳动合同签订情况、实名制管理信息、考勤表信息、工资支付表信息、工资支付信息等实时上传农民工工资支付监控预警平台。</w:t>
      </w:r>
    </w:p>
    <w:p>
      <w:pPr>
        <w:ind w:firstLine="632" w:firstLineChars="200"/>
        <w:rPr>
          <w:color w:val="auto"/>
        </w:rPr>
      </w:pPr>
      <w:r>
        <w:rPr>
          <w:rFonts w:hint="eastAsia"/>
          <w:b/>
          <w:bCs/>
          <w:color w:val="auto"/>
        </w:rPr>
        <w:t>第二十五条【农民工工资查询功能】</w:t>
      </w:r>
      <w:r>
        <w:rPr>
          <w:rFonts w:hint="eastAsia"/>
          <w:color w:val="auto"/>
        </w:rPr>
        <w:t xml:space="preserve"> 市、县两级人力资源社会保障、发展改革、财政、住房城乡建设、交通运输、水利等部门应当加强工程建设项目审批、资金落实、施工许可、劳动用工、工资支付等信息的及时共享，依托农民工工资支付监控预警平台开展多部门协同监管。</w:t>
      </w:r>
    </w:p>
    <w:p>
      <w:pPr>
        <w:ind w:firstLine="632" w:firstLineChars="200"/>
        <w:rPr>
          <w:color w:val="auto"/>
        </w:rPr>
      </w:pPr>
      <w:r>
        <w:rPr>
          <w:rFonts w:hint="eastAsia"/>
          <w:color w:val="auto"/>
        </w:rPr>
        <w:t>各地要统筹做好农民工工资支付监控预警平台与工程建设领域其他信息化平台的数据信息共享，避免企业重复采集、重复上传相关信息。</w:t>
      </w:r>
    </w:p>
    <w:p>
      <w:pPr>
        <w:ind w:firstLine="632" w:firstLineChars="200"/>
        <w:rPr>
          <w:color w:val="auto"/>
        </w:rPr>
      </w:pPr>
      <w:r>
        <w:rPr>
          <w:rFonts w:hint="eastAsia"/>
          <w:b/>
          <w:bCs/>
          <w:color w:val="auto"/>
        </w:rPr>
        <w:t>第二十六条【相关单位信息的上传】</w:t>
      </w:r>
      <w:r>
        <w:rPr>
          <w:rFonts w:hint="eastAsia"/>
          <w:color w:val="auto"/>
        </w:rPr>
        <w:t xml:space="preserve"> 农民工工资支付监控预警平台依法归集专用账户管理、实名制管理和工资支付等方面信息，对违反专用账户管理、人工费用拨付、工资支付规定的情况及时进行预警，逐步实现工程建设项目农民工工资支付全过程动态监管。</w:t>
      </w:r>
    </w:p>
    <w:p>
      <w:pPr>
        <w:ind w:firstLine="632" w:firstLineChars="200"/>
        <w:rPr>
          <w:strike/>
          <w:color w:val="auto"/>
        </w:rPr>
      </w:pPr>
      <w:r>
        <w:rPr>
          <w:rFonts w:hint="eastAsia"/>
          <w:b/>
          <w:bCs/>
          <w:color w:val="auto"/>
        </w:rPr>
        <w:t>第二十七条【相关行政部门信息的共享】</w:t>
      </w:r>
      <w:r>
        <w:rPr>
          <w:rFonts w:hint="eastAsia"/>
          <w:color w:val="auto"/>
        </w:rPr>
        <w:t xml:space="preserve"> 加强劳动保障监察相关系统与农民工工资支付监控预警平台的协同共享和有效衔接，开通工资支付通知、查询功能和拖欠工资的举报投诉功能，方便农民工及时掌握本人工资支付情况，依法维护劳动报酬权益。</w:t>
      </w:r>
    </w:p>
    <w:p>
      <w:pPr>
        <w:pStyle w:val="2"/>
        <w:widowControl/>
        <w:jc w:val="center"/>
        <w:rPr>
          <w:rFonts w:ascii="方正黑体_GBK" w:hAnsi="方正黑体_GBK" w:eastAsia="方正黑体_GBK" w:cs="方正黑体_GBK"/>
          <w:b w:val="0"/>
          <w:bCs/>
          <w:color w:val="auto"/>
        </w:rPr>
      </w:pPr>
      <w:r>
        <w:rPr>
          <w:rFonts w:hint="eastAsia" w:ascii="黑体" w:hAnsi="黑体" w:eastAsia="黑体"/>
          <w:b w:val="0"/>
          <w:bCs/>
          <w:color w:val="auto"/>
        </w:rPr>
        <w:t>第六章 监督管理</w:t>
      </w:r>
    </w:p>
    <w:p>
      <w:pPr>
        <w:ind w:firstLine="632" w:firstLineChars="200"/>
        <w:rPr>
          <w:color w:val="auto"/>
        </w:rPr>
      </w:pPr>
      <w:r>
        <w:rPr>
          <w:rFonts w:hint="eastAsia"/>
          <w:b/>
          <w:bCs/>
          <w:color w:val="auto"/>
        </w:rPr>
        <w:t>第二十八条【完善工资支付保障制度体系】</w:t>
      </w:r>
      <w:r>
        <w:rPr>
          <w:rFonts w:hint="eastAsia"/>
          <w:color w:val="auto"/>
        </w:rPr>
        <w:t xml:space="preserve"> 完善工程建设领域农民工工资支付保障制度体系，坚持市场主体负责、政府依法监管、社会协同监督，按照源头治理、预防为主、防治结合、标本兼治的要求，依法根治工程建设领域拖欠农民工工资问题。</w:t>
      </w:r>
    </w:p>
    <w:p>
      <w:pPr>
        <w:ind w:firstLine="632" w:firstLineChars="200"/>
        <w:rPr>
          <w:rFonts w:hint="eastAsia"/>
          <w:color w:val="auto"/>
        </w:rPr>
      </w:pPr>
      <w:r>
        <w:rPr>
          <w:rFonts w:hint="eastAsia"/>
          <w:b/>
          <w:bCs/>
          <w:color w:val="auto"/>
        </w:rPr>
        <w:t>第二十九条【人社部门</w:t>
      </w:r>
      <w:r>
        <w:rPr>
          <w:rFonts w:hint="eastAsia"/>
          <w:b/>
          <w:bCs/>
          <w:color w:val="auto"/>
          <w:lang w:eastAsia="zh-CN"/>
        </w:rPr>
        <w:t>、</w:t>
      </w:r>
      <w:r>
        <w:rPr>
          <w:rFonts w:hint="eastAsia"/>
          <w:b/>
          <w:bCs/>
          <w:color w:val="auto"/>
        </w:rPr>
        <w:t>行业主管部门</w:t>
      </w:r>
      <w:r>
        <w:rPr>
          <w:rFonts w:hint="eastAsia"/>
          <w:b/>
          <w:bCs/>
          <w:color w:val="auto"/>
          <w:lang w:val="en-US" w:eastAsia="zh-CN"/>
        </w:rPr>
        <w:t>和属地镇（街）</w:t>
      </w:r>
      <w:r>
        <w:rPr>
          <w:rFonts w:hint="eastAsia"/>
          <w:b/>
          <w:bCs/>
          <w:color w:val="auto"/>
        </w:rPr>
        <w:t>的责任】</w:t>
      </w:r>
      <w:r>
        <w:rPr>
          <w:rFonts w:hint="eastAsia"/>
          <w:color w:val="auto"/>
        </w:rPr>
        <w:t xml:space="preserve"> 市、县两级</w:t>
      </w:r>
      <w:r>
        <w:rPr>
          <w:rFonts w:hint="eastAsia"/>
          <w:color w:val="auto"/>
          <w:lang w:val="en-US" w:eastAsia="zh-CN"/>
        </w:rPr>
        <w:t>人社部门和相关行业</w:t>
      </w:r>
      <w:r>
        <w:rPr>
          <w:rFonts w:hint="eastAsia"/>
          <w:color w:val="auto"/>
        </w:rPr>
        <w:t>主管部门应当按职责对工程建设项目专用账户管理、人工费用拨付、农民工工资支付等情况进行监督检查，并及时处理有关投诉、举报、报告。</w:t>
      </w:r>
    </w:p>
    <w:p>
      <w:pPr>
        <w:ind w:firstLine="632" w:firstLineChars="200"/>
        <w:rPr>
          <w:rFonts w:hint="eastAsia"/>
          <w:color w:val="auto"/>
          <w:lang w:eastAsia="zh-CN"/>
        </w:rPr>
      </w:pPr>
      <w:r>
        <w:rPr>
          <w:rFonts w:hint="eastAsia"/>
          <w:color w:val="auto"/>
          <w:lang w:val="en-US" w:eastAsia="zh-CN"/>
        </w:rPr>
        <w:t>属地</w:t>
      </w:r>
      <w:r>
        <w:rPr>
          <w:rFonts w:hint="eastAsia"/>
          <w:color w:val="auto"/>
        </w:rPr>
        <w:t>镇（街）对辖区内在建工程项目强化日常巡查检查，对新开工项目的企业负责人和劳资管理人员在一周内开展法律宣讲培训，在一个月内进行工资支付保障制度落实情况实地检查并建立台账</w:t>
      </w:r>
      <w:r>
        <w:rPr>
          <w:rFonts w:hint="eastAsia"/>
          <w:color w:val="auto"/>
          <w:lang w:eastAsia="zh-CN"/>
        </w:rPr>
        <w:t>。</w:t>
      </w:r>
    </w:p>
    <w:p>
      <w:pPr>
        <w:ind w:firstLine="632" w:firstLineChars="200"/>
        <w:rPr>
          <w:rFonts w:hint="eastAsia" w:eastAsia="仿宋_GB2312"/>
          <w:color w:val="auto"/>
          <w:lang w:eastAsia="zh-CN"/>
        </w:rPr>
      </w:pPr>
      <w:r>
        <w:rPr>
          <w:rFonts w:hint="eastAsia"/>
          <w:b/>
          <w:bCs/>
          <w:color w:val="auto"/>
        </w:rPr>
        <w:t>第三十条【人民银行及其分支机构、银保监会及其派出机构的责任】</w:t>
      </w:r>
      <w:r>
        <w:rPr>
          <w:rFonts w:hint="eastAsia"/>
          <w:color w:val="auto"/>
        </w:rPr>
        <w:t xml:space="preserve"> </w:t>
      </w:r>
      <w:r>
        <w:rPr>
          <w:rFonts w:hint="eastAsia"/>
          <w:color w:val="auto"/>
          <w:lang w:eastAsia="zh-CN"/>
        </w:rPr>
        <w:t>中国</w:t>
      </w:r>
      <w:r>
        <w:rPr>
          <w:rFonts w:hint="eastAsia"/>
          <w:color w:val="auto"/>
        </w:rPr>
        <w:t>人民银行</w:t>
      </w:r>
      <w:r>
        <w:rPr>
          <w:rFonts w:hint="eastAsia"/>
          <w:color w:val="auto"/>
          <w:lang w:eastAsia="zh-CN"/>
        </w:rPr>
        <w:t>云浮市分行</w:t>
      </w:r>
      <w:r>
        <w:rPr>
          <w:rFonts w:hint="eastAsia"/>
          <w:color w:val="auto"/>
        </w:rPr>
        <w:t>、</w:t>
      </w:r>
      <w:r>
        <w:rPr>
          <w:rFonts w:hint="eastAsia"/>
          <w:color w:val="auto"/>
          <w:lang w:eastAsia="zh-CN"/>
        </w:rPr>
        <w:t>国家金融监督管理总局云浮监管分局</w:t>
      </w:r>
      <w:r>
        <w:rPr>
          <w:rFonts w:hint="eastAsia"/>
          <w:color w:val="auto"/>
        </w:rPr>
        <w:t>应当采取必要措施支持银行为专用账户管理提供便利化服务。</w:t>
      </w:r>
    </w:p>
    <w:p>
      <w:pPr>
        <w:ind w:firstLine="632" w:firstLineChars="200"/>
        <w:rPr>
          <w:color w:val="auto"/>
        </w:rPr>
      </w:pPr>
      <w:r>
        <w:rPr>
          <w:rFonts w:hint="eastAsia"/>
          <w:b/>
          <w:bCs/>
          <w:color w:val="auto"/>
        </w:rPr>
        <w:t>第三十一条【人社部门和行业主管部门的禁止】</w:t>
      </w:r>
      <w:r>
        <w:rPr>
          <w:rFonts w:hint="eastAsia"/>
          <w:color w:val="auto"/>
        </w:rPr>
        <w:t xml:space="preserve"> 市、县两级</w:t>
      </w:r>
      <w:r>
        <w:rPr>
          <w:rFonts w:hint="eastAsia"/>
          <w:color w:val="auto"/>
          <w:lang w:val="en-US" w:eastAsia="zh-CN"/>
        </w:rPr>
        <w:t>人社部门和相关行业</w:t>
      </w:r>
      <w:r>
        <w:rPr>
          <w:rFonts w:hint="eastAsia"/>
          <w:color w:val="auto"/>
        </w:rPr>
        <w:t>主管部门不得借推行专用账户制度的名义，指定开户银行和农民工工资卡办卡银行；不得巧立名目收取费用，增加企业负担。</w:t>
      </w:r>
    </w:p>
    <w:p>
      <w:pPr>
        <w:pStyle w:val="2"/>
        <w:widowControl/>
        <w:jc w:val="center"/>
        <w:rPr>
          <w:rFonts w:ascii="方正黑体_GBK" w:hAnsi="方正黑体_GBK" w:eastAsia="方正黑体_GBK" w:cs="方正黑体_GBK"/>
          <w:b w:val="0"/>
          <w:bCs/>
          <w:color w:val="auto"/>
        </w:rPr>
      </w:pPr>
      <w:r>
        <w:rPr>
          <w:rFonts w:hint="eastAsia" w:ascii="黑体" w:hAnsi="黑体" w:eastAsia="黑体"/>
          <w:b w:val="0"/>
          <w:bCs/>
          <w:color w:val="auto"/>
        </w:rPr>
        <w:t>第七章 附 则</w:t>
      </w:r>
    </w:p>
    <w:p>
      <w:pPr>
        <w:ind w:firstLine="632" w:firstLineChars="200"/>
        <w:rPr>
          <w:color w:val="auto"/>
        </w:rPr>
      </w:pPr>
      <w:r>
        <w:rPr>
          <w:rFonts w:hint="eastAsia"/>
          <w:b/>
          <w:bCs/>
          <w:color w:val="auto"/>
        </w:rPr>
        <w:t>第三十二条【关于管辖】</w:t>
      </w:r>
      <w:r>
        <w:rPr>
          <w:rFonts w:hint="eastAsia"/>
          <w:color w:val="auto"/>
        </w:rPr>
        <w:t xml:space="preserve"> 同一工程建设项目发生管辖争议的，由共同的上一级</w:t>
      </w:r>
      <w:r>
        <w:rPr>
          <w:rFonts w:hint="eastAsia"/>
          <w:color w:val="auto"/>
          <w:lang w:val="en-US" w:eastAsia="zh-CN"/>
        </w:rPr>
        <w:t>人社部门会同相关行业</w:t>
      </w:r>
      <w:r>
        <w:rPr>
          <w:rFonts w:hint="eastAsia"/>
          <w:color w:val="auto"/>
        </w:rPr>
        <w:t>主管部门指定管辖。</w:t>
      </w:r>
    </w:p>
    <w:p>
      <w:pPr>
        <w:ind w:firstLine="632" w:firstLineChars="200"/>
        <w:rPr>
          <w:color w:val="auto"/>
        </w:rPr>
      </w:pPr>
      <w:r>
        <w:rPr>
          <w:rFonts w:hint="eastAsia"/>
          <w:b/>
          <w:bCs/>
          <w:color w:val="auto"/>
        </w:rPr>
        <w:t>第三十三条【施行时间】</w:t>
      </w:r>
      <w:r>
        <w:rPr>
          <w:rFonts w:hint="eastAsia"/>
          <w:color w:val="auto"/>
        </w:rPr>
        <w:t xml:space="preserve"> 本暂行实施细则自印发之日起施行。实施细则施行前已开立的专用账户，可继续保留使用。</w:t>
      </w:r>
    </w:p>
    <w:p>
      <w:pPr>
        <w:ind w:firstLine="632" w:firstLineChars="200"/>
        <w:rPr>
          <w:color w:val="auto"/>
        </w:rPr>
      </w:pP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color w:val="auto"/>
          <w:spacing w:val="-6"/>
          <w:w w:val="99"/>
        </w:rPr>
      </w:pPr>
      <w:r>
        <w:rPr>
          <w:rFonts w:hint="eastAsia"/>
          <w:color w:val="auto"/>
        </w:rPr>
        <w:t>附件：</w:t>
      </w:r>
      <w:r>
        <w:rPr>
          <w:color w:val="auto"/>
          <w:spacing w:val="-6"/>
          <w:w w:val="99"/>
        </w:rPr>
        <w:t>1.</w:t>
      </w:r>
      <w:r>
        <w:rPr>
          <w:rFonts w:hint="eastAsia"/>
          <w:color w:val="auto"/>
          <w:spacing w:val="-6"/>
          <w:w w:val="99"/>
        </w:rPr>
        <w:t>工程建设领域农民工工资专用账户管理协议</w:t>
      </w:r>
      <w:r>
        <w:rPr>
          <w:color w:val="auto"/>
          <w:spacing w:val="-6"/>
          <w:w w:val="99"/>
        </w:rPr>
        <w:t>（式样）</w:t>
      </w:r>
    </w:p>
    <w:p>
      <w:pPr>
        <w:keepNext w:val="0"/>
        <w:keepLines w:val="0"/>
        <w:pageBreakBefore w:val="0"/>
        <w:widowControl w:val="0"/>
        <w:kinsoku/>
        <w:wordWrap/>
        <w:overflowPunct/>
        <w:topLinePunct w:val="0"/>
        <w:autoSpaceDE/>
        <w:autoSpaceDN/>
        <w:bidi w:val="0"/>
        <w:adjustRightInd/>
        <w:spacing w:line="240" w:lineRule="auto"/>
        <w:ind w:firstLine="1580" w:firstLineChars="500"/>
        <w:textAlignment w:val="auto"/>
        <w:rPr>
          <w:color w:val="auto"/>
        </w:rPr>
      </w:pPr>
      <w:r>
        <w:rPr>
          <w:color w:val="auto"/>
        </w:rPr>
        <w:t>2.</w:t>
      </w:r>
      <w:r>
        <w:rPr>
          <w:rFonts w:hint="eastAsia"/>
          <w:color w:val="auto"/>
        </w:rPr>
        <w:t>农民工</w:t>
      </w:r>
      <w:r>
        <w:rPr>
          <w:color w:val="auto"/>
        </w:rPr>
        <w:t>工资支付专用账户授权书（式样）</w:t>
      </w:r>
    </w:p>
    <w:p>
      <w:pPr>
        <w:keepNext w:val="0"/>
        <w:keepLines w:val="0"/>
        <w:pageBreakBefore w:val="0"/>
        <w:widowControl w:val="0"/>
        <w:kinsoku/>
        <w:wordWrap/>
        <w:overflowPunct/>
        <w:topLinePunct w:val="0"/>
        <w:autoSpaceDE/>
        <w:autoSpaceDN/>
        <w:bidi w:val="0"/>
        <w:adjustRightInd/>
        <w:snapToGrid/>
        <w:ind w:left="1896" w:leftChars="500" w:hanging="316" w:hangingChars="100"/>
        <w:textAlignment w:val="auto"/>
        <w:rPr>
          <w:color w:val="auto"/>
          <w:lang w:val="en-US" w:eastAsia="zh-CN"/>
        </w:rPr>
      </w:pPr>
      <w:r>
        <w:rPr>
          <w:rFonts w:hint="eastAsia"/>
          <w:color w:val="auto"/>
          <w:lang w:val="en-US" w:eastAsia="zh-CN"/>
        </w:rPr>
        <w:t>3.</w:t>
      </w:r>
      <w:bookmarkStart w:id="3" w:name="_Hlk167052398"/>
      <w:r>
        <w:rPr>
          <w:rFonts w:hint="eastAsia"/>
          <w:color w:val="auto"/>
          <w:lang w:val="en-US" w:eastAsia="zh-CN"/>
        </w:rPr>
        <w:t>房屋建筑和市政工程类项目</w:t>
      </w:r>
      <w:bookmarkEnd w:id="3"/>
      <w:r>
        <w:rPr>
          <w:rFonts w:hint="eastAsia"/>
          <w:color w:val="auto"/>
          <w:lang w:val="en-US" w:eastAsia="zh-CN"/>
        </w:rPr>
        <w:t>施工单位信用情况核实和工程进度款人工费用拨付比例申请表（式样）</w:t>
      </w:r>
    </w:p>
    <w:p>
      <w:pPr>
        <w:keepNext w:val="0"/>
        <w:keepLines w:val="0"/>
        <w:pageBreakBefore w:val="0"/>
        <w:widowControl w:val="0"/>
        <w:kinsoku/>
        <w:wordWrap/>
        <w:overflowPunct/>
        <w:topLinePunct w:val="0"/>
        <w:autoSpaceDE/>
        <w:autoSpaceDN/>
        <w:bidi w:val="0"/>
        <w:adjustRightInd/>
        <w:spacing w:line="240" w:lineRule="auto"/>
        <w:ind w:firstLine="1580" w:firstLineChars="500"/>
        <w:textAlignment w:val="auto"/>
        <w:rPr>
          <w:color w:val="auto"/>
        </w:rPr>
      </w:pPr>
      <w:r>
        <w:rPr>
          <w:rFonts w:hint="eastAsia"/>
          <w:color w:val="auto"/>
          <w:lang w:val="en-US" w:eastAsia="zh-CN"/>
        </w:rPr>
        <w:t>4</w:t>
      </w:r>
      <w:r>
        <w:rPr>
          <w:color w:val="auto"/>
        </w:rPr>
        <w:t>.工程</w:t>
      </w:r>
      <w:r>
        <w:rPr>
          <w:rFonts w:hint="eastAsia"/>
          <w:color w:val="auto"/>
        </w:rPr>
        <w:t>建设</w:t>
      </w:r>
      <w:r>
        <w:rPr>
          <w:color w:val="auto"/>
        </w:rPr>
        <w:t>项目资金使用情况明细表（式样）</w:t>
      </w:r>
    </w:p>
    <w:p>
      <w:pPr>
        <w:keepNext w:val="0"/>
        <w:keepLines w:val="0"/>
        <w:pageBreakBefore w:val="0"/>
        <w:widowControl w:val="0"/>
        <w:kinsoku/>
        <w:wordWrap/>
        <w:overflowPunct/>
        <w:topLinePunct w:val="0"/>
        <w:autoSpaceDE/>
        <w:autoSpaceDN/>
        <w:bidi w:val="0"/>
        <w:adjustRightInd/>
        <w:spacing w:line="240" w:lineRule="auto"/>
        <w:ind w:firstLine="1580" w:firstLineChars="500"/>
        <w:textAlignment w:val="auto"/>
        <w:rPr>
          <w:color w:val="auto"/>
        </w:rPr>
      </w:pPr>
      <w:r>
        <w:rPr>
          <w:rFonts w:hint="eastAsia"/>
          <w:color w:val="auto"/>
          <w:lang w:val="en-US" w:eastAsia="zh-CN"/>
        </w:rPr>
        <w:t>5</w:t>
      </w:r>
      <w:r>
        <w:rPr>
          <w:color w:val="auto"/>
        </w:rPr>
        <w:t>.注销</w:t>
      </w:r>
      <w:r>
        <w:rPr>
          <w:rFonts w:hint="eastAsia"/>
          <w:color w:val="auto"/>
        </w:rPr>
        <w:t>农民工</w:t>
      </w:r>
      <w:r>
        <w:rPr>
          <w:color w:val="auto"/>
        </w:rPr>
        <w:t>工资支付专用账户申请表（式样）</w:t>
      </w:r>
    </w:p>
    <w:p>
      <w:pPr>
        <w:keepNext w:val="0"/>
        <w:keepLines w:val="0"/>
        <w:pageBreakBefore w:val="0"/>
        <w:widowControl w:val="0"/>
        <w:kinsoku/>
        <w:wordWrap/>
        <w:overflowPunct/>
        <w:topLinePunct w:val="0"/>
        <w:autoSpaceDE/>
        <w:autoSpaceDN/>
        <w:bidi w:val="0"/>
        <w:adjustRightInd/>
        <w:spacing w:line="240" w:lineRule="auto"/>
        <w:ind w:firstLine="1580" w:firstLineChars="500"/>
        <w:textAlignment w:val="auto"/>
        <w:rPr>
          <w:color w:val="auto"/>
        </w:rPr>
      </w:pPr>
    </w:p>
    <w:p>
      <w:pPr>
        <w:widowControl/>
        <w:jc w:val="left"/>
        <w:rPr>
          <w:color w:val="auto"/>
        </w:rPr>
      </w:pPr>
      <w:r>
        <w:rPr>
          <w:color w:val="auto"/>
        </w:rPr>
        <w:br w:type="page"/>
      </w:r>
      <w:r>
        <w:rPr>
          <w:rFonts w:hint="eastAsia" w:cs="黑体"/>
          <w:color w:val="auto"/>
        </w:rPr>
        <w:t>附件1</w:t>
      </w:r>
    </w:p>
    <w:p>
      <w:pPr>
        <w:pStyle w:val="12"/>
        <w:spacing w:line="600" w:lineRule="exact"/>
        <w:jc w:val="center"/>
        <w:rPr>
          <w:rFonts w:ascii="仿宋_GB2312" w:eastAsia="仿宋_GB2312"/>
          <w:color w:val="auto"/>
          <w:sz w:val="32"/>
          <w:szCs w:val="32"/>
        </w:rPr>
      </w:pPr>
    </w:p>
    <w:p>
      <w:pPr>
        <w:pStyle w:val="14"/>
        <w:adjustRightInd w:val="0"/>
        <w:snapToGrid w:val="0"/>
        <w:spacing w:line="600" w:lineRule="exact"/>
        <w:jc w:val="center"/>
        <w:rPr>
          <w:rFonts w:ascii="方正小标宋简体" w:hAnsi="宋体" w:eastAsia="方正小标宋简体" w:cs="黑体"/>
          <w:color w:val="auto"/>
          <w:sz w:val="44"/>
          <w:szCs w:val="44"/>
        </w:rPr>
      </w:pPr>
      <w:r>
        <w:rPr>
          <w:rFonts w:hint="eastAsia" w:ascii="方正小标宋简体" w:hAnsi="宋体" w:eastAsia="方正小标宋简体" w:cs="黑体"/>
          <w:color w:val="auto"/>
          <w:sz w:val="44"/>
          <w:szCs w:val="44"/>
        </w:rPr>
        <w:t>建设领域工人工资支付专用账户管理协议书</w:t>
      </w:r>
    </w:p>
    <w:p>
      <w:pPr>
        <w:pStyle w:val="12"/>
        <w:spacing w:line="60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（式样）</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甲方（建设单位或业主）：</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乙方（施工总承包企业）：</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丙方（开户银行）：</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丁方（人社部门）：</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戊方（行业主管部门）：</w:t>
      </w:r>
    </w:p>
    <w:p>
      <w:pPr>
        <w:pStyle w:val="12"/>
        <w:spacing w:line="600" w:lineRule="exact"/>
        <w:ind w:firstLine="632" w:firstLineChars="200"/>
        <w:rPr>
          <w:rFonts w:ascii="仿宋_GB2312" w:eastAsia="仿宋_GB2312"/>
          <w:color w:val="auto"/>
          <w:sz w:val="32"/>
          <w:szCs w:val="32"/>
        </w:rPr>
      </w:pP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为规范我市建设领域工人工资支付行为，预防和解决建设领域用人单位拖欠或克扣工人工资问题，维护劳动者合法权益，根据《保障农民工工资支付条例》《工程建设领域农民工工资专用账户管理暂行办法》和《云浮市工程建设领域农民工工资专用账户管理实施细则》的有关规定，现甲、乙、丙、丁、戊五方就甲方位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的</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工程项目的工人工资支付专用账户开户及监管等事项签订如下协议书，并承诺严格遵守，全面履行责任。</w:t>
      </w:r>
    </w:p>
    <w:p>
      <w:pPr>
        <w:pStyle w:val="12"/>
        <w:spacing w:line="600" w:lineRule="exact"/>
        <w:ind w:firstLine="632" w:firstLineChars="200"/>
        <w:rPr>
          <w:rFonts w:ascii="黑体" w:hAnsi="黑体" w:eastAsia="黑体"/>
          <w:color w:val="auto"/>
          <w:sz w:val="32"/>
          <w:szCs w:val="32"/>
        </w:rPr>
      </w:pPr>
      <w:r>
        <w:rPr>
          <w:rFonts w:hint="eastAsia" w:ascii="黑体" w:hAnsi="黑体" w:eastAsia="黑体"/>
          <w:color w:val="auto"/>
          <w:sz w:val="32"/>
          <w:szCs w:val="32"/>
        </w:rPr>
        <w:t>一、账户开立</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（一）乙方以工程项目为单位，在丙方开立建设领域工人工资支付专用账户（简称：工资专户）用于支付工人工资，账户接受丁方、戊方的监管。</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 xml:space="preserve">（二）工资专户对应的工程施工合同信息如下： </w:t>
      </w:r>
    </w:p>
    <w:p>
      <w:pPr>
        <w:pStyle w:val="12"/>
        <w:spacing w:line="600" w:lineRule="exact"/>
        <w:ind w:firstLine="632" w:firstLineChars="200"/>
        <w:rPr>
          <w:rFonts w:ascii="仿宋_GB2312" w:eastAsia="仿宋_GB2312"/>
          <w:color w:val="auto"/>
          <w:sz w:val="32"/>
          <w:szCs w:val="32"/>
          <w:u w:val="single"/>
        </w:rPr>
      </w:pPr>
      <w:r>
        <w:rPr>
          <w:rFonts w:hint="eastAsia" w:ascii="仿宋_GB2312" w:eastAsia="仿宋_GB2312"/>
          <w:color w:val="auto"/>
          <w:sz w:val="32"/>
          <w:szCs w:val="32"/>
        </w:rPr>
        <w:t>工程名称：</w:t>
      </w:r>
      <w:r>
        <w:rPr>
          <w:rFonts w:hint="eastAsia" w:ascii="仿宋_GB2312" w:eastAsia="仿宋_GB2312"/>
          <w:color w:val="auto"/>
          <w:sz w:val="32"/>
          <w:szCs w:val="32"/>
          <w:u w:val="single"/>
        </w:rPr>
        <w:t xml:space="preserve">                                  </w:t>
      </w:r>
    </w:p>
    <w:p>
      <w:pPr>
        <w:pStyle w:val="12"/>
        <w:spacing w:line="600" w:lineRule="exact"/>
        <w:ind w:firstLine="632" w:firstLineChars="200"/>
        <w:rPr>
          <w:rFonts w:ascii="仿宋_GB2312" w:eastAsia="仿宋_GB2312"/>
          <w:color w:val="auto"/>
          <w:sz w:val="32"/>
          <w:szCs w:val="32"/>
          <w:u w:val="single"/>
        </w:rPr>
      </w:pPr>
      <w:r>
        <w:rPr>
          <w:rFonts w:hint="eastAsia" w:ascii="仿宋_GB2312" w:eastAsia="仿宋_GB2312"/>
          <w:color w:val="auto"/>
          <w:sz w:val="32"/>
          <w:szCs w:val="32"/>
        </w:rPr>
        <w:t>工程地址：</w:t>
      </w:r>
      <w:r>
        <w:rPr>
          <w:rFonts w:hint="eastAsia" w:ascii="仿宋_GB2312" w:eastAsia="仿宋_GB2312"/>
          <w:color w:val="auto"/>
          <w:sz w:val="32"/>
          <w:szCs w:val="32"/>
          <w:u w:val="single"/>
        </w:rPr>
        <w:t xml:space="preserve">                                  </w:t>
      </w:r>
    </w:p>
    <w:p>
      <w:pPr>
        <w:pStyle w:val="12"/>
        <w:spacing w:line="600" w:lineRule="exact"/>
        <w:ind w:firstLine="632" w:firstLineChars="200"/>
        <w:rPr>
          <w:rFonts w:ascii="仿宋_GB2312" w:eastAsia="仿宋_GB2312"/>
          <w:color w:val="auto"/>
          <w:sz w:val="32"/>
          <w:szCs w:val="32"/>
          <w:u w:val="single"/>
        </w:rPr>
      </w:pPr>
      <w:r>
        <w:rPr>
          <w:rFonts w:hint="eastAsia" w:ascii="仿宋_GB2312" w:eastAsia="仿宋_GB2312"/>
          <w:color w:val="auto"/>
          <w:sz w:val="32"/>
          <w:szCs w:val="32"/>
        </w:rPr>
        <w:t>施工总包合同金额（单位：元）：</w:t>
      </w:r>
      <w:r>
        <w:rPr>
          <w:rFonts w:hint="eastAsia" w:ascii="仿宋_GB2312" w:eastAsia="仿宋_GB2312"/>
          <w:color w:val="auto"/>
          <w:sz w:val="32"/>
          <w:szCs w:val="32"/>
          <w:u w:val="single"/>
        </w:rPr>
        <w:t xml:space="preserve">               </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工资支付比例：</w:t>
      </w:r>
      <w:r>
        <w:rPr>
          <w:rFonts w:hint="eastAsia" w:ascii="仿宋_GB2312" w:eastAsia="仿宋_GB2312"/>
          <w:color w:val="auto"/>
          <w:sz w:val="32"/>
          <w:szCs w:val="32"/>
          <w:u w:val="single"/>
        </w:rPr>
        <w:t xml:space="preserve">                              </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工程类别：</w:t>
      </w:r>
      <w:r>
        <w:rPr>
          <w:rFonts w:hint="eastAsia" w:ascii="仿宋_GB2312" w:eastAsia="仿宋_GB2312"/>
          <w:color w:val="auto"/>
          <w:sz w:val="32"/>
          <w:szCs w:val="32"/>
          <w:u w:val="single"/>
        </w:rPr>
        <w:t xml:space="preserve">                                  </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（三）本账户的资金专项用于支付上述工程项目的工人工资。本专户开户信息如下：</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账户名称：</w:t>
      </w:r>
      <w:r>
        <w:rPr>
          <w:rFonts w:hint="eastAsia" w:ascii="仿宋_GB2312" w:eastAsia="仿宋_GB2312"/>
          <w:color w:val="auto"/>
          <w:sz w:val="32"/>
          <w:szCs w:val="32"/>
          <w:u w:val="single"/>
        </w:rPr>
        <w:t xml:space="preserve">                                 </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账号：</w:t>
      </w:r>
      <w:r>
        <w:rPr>
          <w:rFonts w:hint="eastAsia" w:ascii="仿宋_GB2312" w:eastAsia="仿宋_GB2312"/>
          <w:color w:val="auto"/>
          <w:sz w:val="32"/>
          <w:szCs w:val="32"/>
          <w:u w:val="single"/>
        </w:rPr>
        <w:t xml:space="preserve">                                     </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开户银行名称：</w:t>
      </w:r>
      <w:r>
        <w:rPr>
          <w:rFonts w:hint="eastAsia" w:ascii="仿宋_GB2312" w:eastAsia="仿宋_GB2312"/>
          <w:color w:val="auto"/>
          <w:sz w:val="32"/>
          <w:szCs w:val="32"/>
          <w:u w:val="single"/>
        </w:rPr>
        <w:t xml:space="preserve">                             </w:t>
      </w:r>
    </w:p>
    <w:p>
      <w:pPr>
        <w:pStyle w:val="12"/>
        <w:spacing w:line="600" w:lineRule="exact"/>
        <w:ind w:firstLine="632" w:firstLineChars="200"/>
        <w:rPr>
          <w:rFonts w:ascii="黑体" w:hAnsi="黑体" w:eastAsia="黑体"/>
          <w:color w:val="auto"/>
          <w:sz w:val="32"/>
          <w:szCs w:val="32"/>
        </w:rPr>
      </w:pPr>
      <w:r>
        <w:rPr>
          <w:rFonts w:hint="eastAsia" w:ascii="黑体" w:hAnsi="黑体" w:eastAsia="黑体"/>
          <w:color w:val="auto"/>
          <w:sz w:val="32"/>
          <w:szCs w:val="32"/>
        </w:rPr>
        <w:t>二、账户资金收入</w:t>
      </w:r>
    </w:p>
    <w:p>
      <w:pPr>
        <w:ind w:firstLine="632" w:firstLineChars="200"/>
        <w:rPr>
          <w:color w:val="auto"/>
        </w:rPr>
      </w:pPr>
      <w:r>
        <w:rPr>
          <w:rFonts w:hint="eastAsia"/>
          <w:color w:val="auto"/>
        </w:rPr>
        <w:t>本项目施工总包合同价      元人民币。在账户开立后，甲方按照施工总包合同及相关补充协议，预付款和进度款中的</w:t>
      </w:r>
      <w:r>
        <w:rPr>
          <w:color w:val="auto"/>
        </w:rPr>
        <w:t>人工费用预付款</w:t>
      </w:r>
      <w:r>
        <w:rPr>
          <w:rFonts w:hint="eastAsia"/>
          <w:color w:val="auto"/>
        </w:rPr>
        <w:t>按以下标准拨付：</w:t>
      </w:r>
    </w:p>
    <w:p>
      <w:pPr>
        <w:ind w:firstLine="632" w:firstLineChars="200"/>
        <w:rPr>
          <w:color w:val="auto"/>
        </w:rPr>
      </w:pPr>
      <w:r>
        <w:rPr>
          <w:rFonts w:hint="eastAsia"/>
          <w:color w:val="auto"/>
        </w:rPr>
        <w:t>（一）预付款中划入本专户的人工费用金额为</w:t>
      </w:r>
      <w:r>
        <w:rPr>
          <w:rFonts w:hint="eastAsia"/>
          <w:color w:val="auto"/>
          <w:u w:val="single"/>
        </w:rPr>
        <w:t xml:space="preserve">     </w:t>
      </w:r>
      <w:r>
        <w:rPr>
          <w:rFonts w:hint="eastAsia"/>
          <w:color w:val="auto"/>
        </w:rPr>
        <w:t>万元；</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（二）进度款中人工费用划入本专户的比例为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%（根据</w:t>
      </w:r>
      <w:r>
        <w:rPr>
          <w:rFonts w:hint="eastAsia" w:ascii="仿宋_GB2312" w:eastAsia="仿宋_GB2312"/>
          <w:color w:val="auto"/>
          <w:sz w:val="32"/>
          <w:szCs w:val="32"/>
          <w:lang w:val="en-US" w:eastAsia="zh-CN"/>
        </w:rPr>
        <w:t>施工总承包企业</w:t>
      </w:r>
      <w:r>
        <w:rPr>
          <w:rFonts w:hint="eastAsia" w:ascii="仿宋_GB2312" w:eastAsia="仿宋_GB2312"/>
          <w:color w:val="auto"/>
          <w:sz w:val="32"/>
          <w:szCs w:val="32"/>
        </w:rPr>
        <w:t>在本市行政区域内建筑市场信用等级，按照对应的工程类别标准执行）。</w:t>
      </w:r>
    </w:p>
    <w:p>
      <w:pPr>
        <w:pStyle w:val="12"/>
        <w:spacing w:line="600" w:lineRule="exact"/>
        <w:ind w:firstLine="632" w:firstLineChars="200"/>
        <w:rPr>
          <w:rFonts w:ascii="黑体" w:hAnsi="黑体" w:eastAsia="黑体"/>
          <w:color w:val="auto"/>
          <w:sz w:val="32"/>
          <w:szCs w:val="32"/>
        </w:rPr>
      </w:pPr>
      <w:r>
        <w:rPr>
          <w:rFonts w:hint="eastAsia" w:ascii="黑体" w:hAnsi="黑体" w:eastAsia="黑体"/>
          <w:color w:val="auto"/>
          <w:sz w:val="32"/>
          <w:szCs w:val="32"/>
        </w:rPr>
        <w:t>三、账户资金支出</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（一）本专户资金只能用于发放工人工资。</w:t>
      </w:r>
    </w:p>
    <w:p>
      <w:pPr>
        <w:pStyle w:val="12"/>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二）丙方从本专户向工人个人账户发放工资时，应根据乙方和丙方共同签订的《代发工资协议》要求，由乙方向丙方提交加盖预留印鉴的代发工资汇总表（发放批次、总笔数、总金额）和经加密的工资明细表电子文件，丙方核验乙方提交的纸质文件与电子文件的批次、笔数、金额一致后，按乙方提交的工资明细表电子文件2个工作日内办理代发工资。</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（三）分包单位委托乙方代发分包单位工人工资的，还应提交分包单位与乙方签订的《代发工资委托书》。</w:t>
      </w:r>
    </w:p>
    <w:p>
      <w:pPr>
        <w:pStyle w:val="12"/>
        <w:spacing w:line="600" w:lineRule="exact"/>
        <w:ind w:firstLine="632" w:firstLineChars="200"/>
        <w:rPr>
          <w:rFonts w:ascii="黑体" w:hAnsi="黑体" w:eastAsia="黑体"/>
          <w:color w:val="auto"/>
          <w:sz w:val="32"/>
          <w:szCs w:val="32"/>
        </w:rPr>
      </w:pPr>
      <w:r>
        <w:rPr>
          <w:rFonts w:hint="eastAsia" w:ascii="黑体" w:hAnsi="黑体" w:eastAsia="黑体"/>
          <w:color w:val="auto"/>
          <w:sz w:val="32"/>
          <w:szCs w:val="32"/>
        </w:rPr>
        <w:t>四、资金安全与账户监管</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（一）丁方、戊方同意丙方作为乙方设立专用账户指定的银行。</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（二）本专户不得提取现金，</w:t>
      </w:r>
      <w:r>
        <w:rPr>
          <w:rFonts w:hint="eastAsia" w:ascii="仿宋_GB2312" w:hAnsi="仿宋_GB2312" w:eastAsia="仿宋_GB2312" w:cs="仿宋_GB2312"/>
          <w:bCs/>
          <w:color w:val="auto"/>
          <w:sz w:val="32"/>
          <w:szCs w:val="32"/>
        </w:rPr>
        <w:t>但</w:t>
      </w:r>
      <w:r>
        <w:rPr>
          <w:rFonts w:hint="eastAsia" w:ascii="仿宋_GB2312" w:hAnsi="仿宋_GB2312" w:eastAsia="仿宋_GB2312"/>
          <w:color w:val="auto"/>
          <w:sz w:val="32"/>
        </w:rPr>
        <w:t>可以根据实际情况采取线上、线下两种方式办理工人工资支付服务。</w:t>
      </w:r>
      <w:r>
        <w:rPr>
          <w:rFonts w:hint="eastAsia" w:ascii="仿宋_GB2312" w:eastAsia="仿宋_GB2312"/>
          <w:color w:val="auto"/>
          <w:sz w:val="32"/>
          <w:szCs w:val="32"/>
        </w:rPr>
        <w:t>除了转账划入施工项目对应分包单位的工资专户外，不出售支票等结算凭证。</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（三）乙方不得使用本专户资金向没有纳入实名登记范围的工人发放工人工资。</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（四）丙方向乙方支付的利息、违约金等必须划至本专户，不得划入其他账户。</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（五）乙方授权丙方向县级以上人社部门、行业主管部门提供本专户相关信息，包括账户开立、变更、注销、流水、划账进度、异常信息以及</w:t>
      </w:r>
      <w:r>
        <w:rPr>
          <w:rFonts w:hint="eastAsia" w:ascii="仿宋_GB2312" w:eastAsia="仿宋_GB2312"/>
          <w:color w:val="auto"/>
          <w:sz w:val="32"/>
          <w:szCs w:val="32"/>
          <w:lang w:val="en-US" w:eastAsia="zh-CN"/>
        </w:rPr>
        <w:t>行业</w:t>
      </w:r>
      <w:r>
        <w:rPr>
          <w:rFonts w:hint="eastAsia" w:ascii="仿宋_GB2312" w:eastAsia="仿宋_GB2312"/>
          <w:color w:val="auto"/>
          <w:sz w:val="32"/>
          <w:szCs w:val="32"/>
        </w:rPr>
        <w:t>主管部门要求的其他信息。</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（六）丙方做好工人工资专用账户资金的管理工作，防止任何单位或个人擅自挪用。因过错导致</w:t>
      </w:r>
      <w:r>
        <w:rPr>
          <w:rFonts w:hint="eastAsia" w:ascii="仿宋_GB2312" w:eastAsia="仿宋_GB2312"/>
          <w:color w:val="auto"/>
          <w:sz w:val="32"/>
          <w:szCs w:val="32"/>
          <w:lang w:val="en-US" w:eastAsia="zh-CN"/>
        </w:rPr>
        <w:t>专用账户资金</w:t>
      </w:r>
      <w:r>
        <w:rPr>
          <w:rFonts w:hint="eastAsia" w:ascii="仿宋_GB2312" w:eastAsia="仿宋_GB2312"/>
          <w:color w:val="auto"/>
          <w:sz w:val="32"/>
          <w:szCs w:val="32"/>
        </w:rPr>
        <w:t>流失的，依法承担相应的法律责任；</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（七）丁方、戊方查询专用账户资金情况时，丙方应当予以提供相应的服务；</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八）专用账户监管期间出现被司法行政机关等有关单位对该工人工资专用账户查封、冻结、扣划情况时，丙方按相关程序处理，同时必须立即书面通知甲、乙、丁、戊四方。如出现上述情况，由乙方承担一切法律责任。</w:t>
      </w:r>
    </w:p>
    <w:p>
      <w:pPr>
        <w:pStyle w:val="12"/>
        <w:spacing w:line="600" w:lineRule="exact"/>
        <w:ind w:firstLine="632" w:firstLineChars="200"/>
        <w:rPr>
          <w:rFonts w:ascii="黑体" w:hAnsi="黑体" w:eastAsia="黑体"/>
          <w:color w:val="auto"/>
          <w:sz w:val="32"/>
          <w:szCs w:val="32"/>
        </w:rPr>
      </w:pPr>
      <w:r>
        <w:rPr>
          <w:rFonts w:hint="eastAsia" w:ascii="黑体" w:hAnsi="黑体" w:eastAsia="黑体"/>
          <w:color w:val="auto"/>
          <w:sz w:val="32"/>
          <w:szCs w:val="32"/>
        </w:rPr>
        <w:t>六、账户注销</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（一）乙方办理工人工资支付专用账户注销手续的，应当取得甲方对工程完工且施工单位已结清工人工资的确认意见，并征得</w:t>
      </w:r>
      <w:r>
        <w:rPr>
          <w:rFonts w:hint="eastAsia" w:ascii="仿宋_GB2312" w:eastAsia="仿宋_GB2312"/>
          <w:color w:val="auto"/>
          <w:sz w:val="32"/>
          <w:szCs w:val="32"/>
          <w:lang w:val="en-US" w:eastAsia="zh-CN"/>
        </w:rPr>
        <w:t>人社部门</w:t>
      </w:r>
      <w:r>
        <w:rPr>
          <w:rFonts w:hint="eastAsia" w:ascii="仿宋_GB2312" w:eastAsia="仿宋_GB2312"/>
          <w:color w:val="auto"/>
          <w:sz w:val="32"/>
          <w:szCs w:val="32"/>
        </w:rPr>
        <w:t>、行业主管部门审批同意，并向丙方出具《注销农民工工资支付专用账户申请表》</w:t>
      </w:r>
      <w:r>
        <w:rPr>
          <w:rFonts w:hint="eastAsia" w:ascii="仿宋_GB2312" w:eastAsia="仿宋_GB2312"/>
          <w:color w:val="auto"/>
          <w:sz w:val="32"/>
          <w:szCs w:val="32"/>
          <w:lang w:eastAsia="zh-CN"/>
        </w:rPr>
        <w:t>和无拖欠农民工工资承诺书</w:t>
      </w:r>
      <w:r>
        <w:rPr>
          <w:rFonts w:hint="eastAsia" w:ascii="仿宋_GB2312" w:eastAsia="仿宋_GB2312"/>
          <w:color w:val="auto"/>
          <w:sz w:val="32"/>
          <w:szCs w:val="32"/>
        </w:rPr>
        <w:t>。</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（二）乙方本专户工程已完工（或甲方与乙方解除施工合同关系）、且从事本工程的工人工资已足额支付，乙方可以办理本专户注销手续。本专户被注销后，账内余额归乙方所有。</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（三）本协议终止的，乙方可办理本专户注销手续，丙方应当配合；本专户被注销时，丙方应当将账内余额归划转到乙方基本账户。</w:t>
      </w:r>
    </w:p>
    <w:p>
      <w:pPr>
        <w:pStyle w:val="12"/>
        <w:spacing w:line="600" w:lineRule="exact"/>
        <w:ind w:firstLine="632" w:firstLineChars="200"/>
        <w:rPr>
          <w:rFonts w:ascii="黑体" w:hAnsi="黑体" w:eastAsia="黑体"/>
          <w:color w:val="auto"/>
          <w:sz w:val="32"/>
          <w:szCs w:val="32"/>
        </w:rPr>
      </w:pPr>
      <w:r>
        <w:rPr>
          <w:rFonts w:hint="eastAsia" w:ascii="黑体" w:hAnsi="黑体" w:eastAsia="黑体"/>
          <w:color w:val="auto"/>
          <w:sz w:val="32"/>
          <w:szCs w:val="32"/>
        </w:rPr>
        <w:t>七、存款利率及计息规则</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一）存款利率依据中国人民银行公布的活期存款基准利率以及丙方有权审批部门审批同意的浮动幅度确定。如在本协议期内，人行调整活期存款基准利率，本协议基准利率同步调整；如遇国家实施存款利率市场化导致存款基准利率不存在的，本协议基准利率和浮动幅度由乙、丙双方重新协商确定。</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（二）起息日：起息日自资金到达本专户之日起计算，按月/季/半年/1年结息，付息日为   日。丙方应在付息日将利息款划付至本专户。</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（三）丙方在向乙方支付存款利息时，遵循中国人民银行关于人民币存款计息的规定办理。</w:t>
      </w:r>
    </w:p>
    <w:p>
      <w:pPr>
        <w:pStyle w:val="12"/>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本协议书一式五份，甲、乙、丙、丁、戊五方各执一份。</w:t>
      </w:r>
    </w:p>
    <w:p>
      <w:pPr>
        <w:pStyle w:val="12"/>
        <w:spacing w:line="600" w:lineRule="exact"/>
        <w:ind w:firstLine="632" w:firstLineChars="200"/>
        <w:rPr>
          <w:rFonts w:ascii="仿宋_GB2312" w:eastAsia="仿宋_GB2312"/>
          <w:color w:val="auto"/>
          <w:sz w:val="32"/>
          <w:szCs w:val="32"/>
        </w:rPr>
      </w:pPr>
    </w:p>
    <w:p>
      <w:pPr>
        <w:pStyle w:val="12"/>
        <w:spacing w:line="600" w:lineRule="exact"/>
        <w:rPr>
          <w:rFonts w:ascii="仿宋_GB2312" w:eastAsia="仿宋_GB2312"/>
          <w:color w:val="auto"/>
          <w:sz w:val="32"/>
          <w:szCs w:val="32"/>
        </w:rPr>
      </w:pPr>
    </w:p>
    <w:p>
      <w:pPr>
        <w:pStyle w:val="12"/>
        <w:spacing w:line="600" w:lineRule="exact"/>
        <w:rPr>
          <w:rFonts w:ascii="仿宋_GB2312" w:eastAsia="仿宋_GB2312"/>
          <w:color w:val="auto"/>
          <w:sz w:val="32"/>
          <w:szCs w:val="32"/>
        </w:rPr>
      </w:pPr>
      <w:r>
        <w:rPr>
          <w:rFonts w:hint="eastAsia" w:ascii="仿宋_GB2312" w:eastAsia="仿宋_GB2312"/>
          <w:color w:val="auto"/>
          <w:sz w:val="32"/>
          <w:szCs w:val="32"/>
        </w:rPr>
        <w:t>甲方法定代表人签章：        乙方法定代表人签章：</w:t>
      </w:r>
    </w:p>
    <w:p>
      <w:pPr>
        <w:pStyle w:val="12"/>
        <w:spacing w:line="600" w:lineRule="exact"/>
        <w:ind w:firstLine="948" w:firstLineChars="300"/>
        <w:rPr>
          <w:rFonts w:ascii="仿宋_GB2312" w:eastAsia="仿宋_GB2312"/>
          <w:color w:val="auto"/>
          <w:sz w:val="32"/>
          <w:szCs w:val="32"/>
        </w:rPr>
      </w:pPr>
      <w:r>
        <w:rPr>
          <w:rFonts w:hint="eastAsia" w:ascii="仿宋_GB2312" w:eastAsia="仿宋_GB2312"/>
          <w:color w:val="auto"/>
          <w:sz w:val="32"/>
          <w:szCs w:val="32"/>
        </w:rPr>
        <w:t>甲方（印章）                        乙方（印章）</w:t>
      </w:r>
    </w:p>
    <w:p>
      <w:pPr>
        <w:pStyle w:val="12"/>
        <w:spacing w:line="600" w:lineRule="exact"/>
        <w:ind w:firstLine="632" w:firstLineChars="200"/>
        <w:rPr>
          <w:rFonts w:ascii="仿宋_GB2312" w:eastAsia="仿宋_GB2312"/>
          <w:color w:val="auto"/>
          <w:sz w:val="32"/>
          <w:szCs w:val="32"/>
        </w:rPr>
      </w:pPr>
    </w:p>
    <w:p>
      <w:pPr>
        <w:pStyle w:val="12"/>
        <w:spacing w:line="600" w:lineRule="exact"/>
        <w:rPr>
          <w:rFonts w:ascii="仿宋_GB2312" w:eastAsia="仿宋_GB2312"/>
          <w:color w:val="auto"/>
          <w:sz w:val="32"/>
          <w:szCs w:val="32"/>
        </w:rPr>
      </w:pPr>
      <w:r>
        <w:rPr>
          <w:rFonts w:hint="eastAsia" w:ascii="仿宋_GB2312" w:eastAsia="仿宋_GB2312"/>
          <w:color w:val="auto"/>
          <w:sz w:val="32"/>
          <w:szCs w:val="32"/>
        </w:rPr>
        <w:t xml:space="preserve">丙方负责人签章：           丁方、戊方负责人签章：          </w:t>
      </w:r>
    </w:p>
    <w:p>
      <w:pPr>
        <w:pStyle w:val="12"/>
        <w:spacing w:line="600" w:lineRule="exact"/>
        <w:ind w:firstLine="948" w:firstLineChars="300"/>
        <w:rPr>
          <w:rFonts w:ascii="仿宋_GB2312" w:eastAsia="仿宋_GB2312"/>
          <w:color w:val="auto"/>
          <w:sz w:val="32"/>
          <w:szCs w:val="32"/>
        </w:rPr>
      </w:pPr>
      <w:r>
        <w:rPr>
          <w:rFonts w:hint="eastAsia" w:ascii="仿宋_GB2312" w:eastAsia="仿宋_GB2312"/>
          <w:color w:val="auto"/>
          <w:sz w:val="32"/>
          <w:szCs w:val="32"/>
        </w:rPr>
        <w:t>丙方（印章）         人社部门       行业主管部门</w:t>
      </w:r>
    </w:p>
    <w:p>
      <w:pPr>
        <w:pStyle w:val="12"/>
        <w:spacing w:line="600" w:lineRule="exact"/>
        <w:ind w:firstLine="4740" w:firstLineChars="1500"/>
        <w:rPr>
          <w:rFonts w:ascii="仿宋_GB2312" w:eastAsia="仿宋_GB2312"/>
          <w:color w:val="auto"/>
          <w:sz w:val="32"/>
          <w:szCs w:val="32"/>
        </w:rPr>
      </w:pPr>
      <w:r>
        <w:rPr>
          <w:rFonts w:hint="eastAsia" w:ascii="仿宋_GB2312" w:eastAsia="仿宋_GB2312"/>
          <w:color w:val="auto"/>
          <w:sz w:val="32"/>
          <w:szCs w:val="32"/>
        </w:rPr>
        <w:t>（印章）       （印章）</w:t>
      </w:r>
    </w:p>
    <w:p>
      <w:pPr>
        <w:pStyle w:val="12"/>
        <w:spacing w:line="600" w:lineRule="exact"/>
        <w:jc w:val="right"/>
        <w:rPr>
          <w:rFonts w:ascii="仿宋_GB2312" w:eastAsia="仿宋_GB2312"/>
          <w:color w:val="auto"/>
          <w:sz w:val="32"/>
          <w:szCs w:val="32"/>
        </w:rPr>
        <w:sectPr>
          <w:footerReference r:id="rId5" w:type="first"/>
          <w:footerReference r:id="rId3" w:type="default"/>
          <w:footerReference r:id="rId4" w:type="even"/>
          <w:pgSz w:w="11906" w:h="16838"/>
          <w:pgMar w:top="2098" w:right="1474" w:bottom="1984" w:left="1588" w:header="851" w:footer="992" w:gutter="0"/>
          <w:pgNumType w:fmt="decimal"/>
          <w:cols w:space="720" w:num="1"/>
          <w:docGrid w:type="linesAndChars" w:linePitch="579" w:charSpace="-849"/>
        </w:sectPr>
      </w:pPr>
      <w:r>
        <w:rPr>
          <w:rFonts w:hint="eastAsia" w:ascii="仿宋_GB2312" w:eastAsia="仿宋_GB2312"/>
          <w:color w:val="auto"/>
          <w:sz w:val="32"/>
          <w:szCs w:val="32"/>
        </w:rPr>
        <w:t>年   月   日</w:t>
      </w:r>
    </w:p>
    <w:p>
      <w:pPr>
        <w:spacing w:line="700" w:lineRule="exact"/>
        <w:jc w:val="center"/>
        <w:rPr>
          <w:rFonts w:ascii="方正小标宋简体" w:hAnsi="宋体" w:eastAsia="方正小标宋简体"/>
          <w:color w:val="auto"/>
          <w:sz w:val="36"/>
        </w:rPr>
      </w:pPr>
      <w:r>
        <w:rPr>
          <w:rFonts w:hint="eastAsia" w:ascii="方正小标宋简体" w:hAnsi="宋体" w:eastAsia="方正小标宋简体"/>
          <w:color w:val="auto"/>
          <w:sz w:val="36"/>
        </w:rPr>
        <w:t>建设领域工人工资支付专用账户管理</w:t>
      </w:r>
    </w:p>
    <w:p>
      <w:pPr>
        <w:spacing w:line="700" w:lineRule="exact"/>
        <w:jc w:val="center"/>
        <w:rPr>
          <w:rFonts w:ascii="方正小标宋简体" w:hAnsi="宋体" w:eastAsia="方正小标宋简体"/>
          <w:color w:val="auto"/>
          <w:sz w:val="36"/>
        </w:rPr>
      </w:pPr>
      <w:r>
        <w:rPr>
          <w:rFonts w:hint="eastAsia" w:ascii="方正小标宋简体" w:hAnsi="宋体" w:eastAsia="方正小标宋简体"/>
          <w:color w:val="auto"/>
          <w:sz w:val="36"/>
        </w:rPr>
        <w:t>变更协议书</w:t>
      </w:r>
    </w:p>
    <w:p>
      <w:pPr>
        <w:jc w:val="center"/>
        <w:rPr>
          <w:rFonts w:ascii="宋体" w:hAnsi="宋体"/>
          <w:color w:val="auto"/>
          <w:sz w:val="28"/>
          <w:szCs w:val="28"/>
        </w:rPr>
      </w:pPr>
    </w:p>
    <w:p>
      <w:pPr>
        <w:ind w:firstLine="552" w:firstLineChars="200"/>
        <w:rPr>
          <w:rFonts w:hAnsi="宋体"/>
          <w:color w:val="auto"/>
          <w:sz w:val="28"/>
          <w:szCs w:val="28"/>
        </w:rPr>
      </w:pPr>
      <w:r>
        <w:rPr>
          <w:rFonts w:hint="eastAsia" w:hAnsi="宋体"/>
          <w:color w:val="auto"/>
          <w:sz w:val="28"/>
          <w:szCs w:val="28"/>
        </w:rPr>
        <w:t>经甲、乙、丙、丁、戊五方经平等协商，一致同意对本合同作以下变更：</w:t>
      </w:r>
    </w:p>
    <w:p>
      <w:pPr>
        <w:rPr>
          <w:rFonts w:hAnsi="宋体"/>
          <w:color w:val="auto"/>
          <w:sz w:val="28"/>
          <w:szCs w:val="28"/>
        </w:rPr>
      </w:pPr>
      <w:r>
        <w:rPr>
          <w:rFonts w:hint="eastAsia" w:hAnsi="宋体"/>
          <w:color w:val="auto"/>
          <w:sz w:val="28"/>
          <w:szCs w:val="28"/>
          <w:u w:val="single"/>
        </w:rPr>
        <w:t xml:space="preserve">                                                              </w:t>
      </w:r>
    </w:p>
    <w:p>
      <w:pPr>
        <w:rPr>
          <w:rFonts w:hAnsi="宋体"/>
          <w:color w:val="auto"/>
          <w:sz w:val="28"/>
          <w:szCs w:val="28"/>
          <w:u w:val="single"/>
        </w:rPr>
      </w:pPr>
      <w:r>
        <w:rPr>
          <w:rFonts w:hint="eastAsia" w:hAnsi="宋体"/>
          <w:color w:val="auto"/>
          <w:sz w:val="28"/>
          <w:szCs w:val="28"/>
          <w:u w:val="single"/>
        </w:rPr>
        <w:t xml:space="preserve">                                                              </w:t>
      </w:r>
    </w:p>
    <w:p>
      <w:pPr>
        <w:rPr>
          <w:rFonts w:hAnsi="宋体"/>
          <w:color w:val="auto"/>
          <w:sz w:val="28"/>
          <w:szCs w:val="28"/>
          <w:u w:val="single"/>
        </w:rPr>
      </w:pPr>
      <w:r>
        <w:rPr>
          <w:rFonts w:hint="eastAsia" w:hAnsi="宋体"/>
          <w:color w:val="auto"/>
          <w:sz w:val="28"/>
          <w:szCs w:val="28"/>
          <w:u w:val="single"/>
        </w:rPr>
        <w:t xml:space="preserve">                                                              </w:t>
      </w:r>
    </w:p>
    <w:p>
      <w:pPr>
        <w:rPr>
          <w:rFonts w:hAnsi="宋体"/>
          <w:color w:val="auto"/>
          <w:sz w:val="28"/>
          <w:szCs w:val="28"/>
          <w:u w:val="single"/>
        </w:rPr>
      </w:pPr>
      <w:r>
        <w:rPr>
          <w:rFonts w:hint="eastAsia" w:hAnsi="宋体"/>
          <w:color w:val="auto"/>
          <w:sz w:val="28"/>
          <w:szCs w:val="28"/>
          <w:u w:val="single"/>
        </w:rPr>
        <w:t xml:space="preserve">                                                              </w:t>
      </w:r>
    </w:p>
    <w:p>
      <w:pPr>
        <w:rPr>
          <w:rFonts w:hAnsi="宋体"/>
          <w:color w:val="auto"/>
          <w:sz w:val="28"/>
          <w:szCs w:val="28"/>
          <w:u w:val="single"/>
        </w:rPr>
      </w:pPr>
      <w:r>
        <w:rPr>
          <w:rFonts w:hint="eastAsia" w:hAnsi="宋体"/>
          <w:color w:val="auto"/>
          <w:sz w:val="28"/>
          <w:szCs w:val="28"/>
          <w:u w:val="single"/>
        </w:rPr>
        <w:t xml:space="preserve">                                                              </w:t>
      </w:r>
    </w:p>
    <w:p>
      <w:pPr>
        <w:rPr>
          <w:rFonts w:hAnsi="宋体"/>
          <w:color w:val="auto"/>
          <w:sz w:val="28"/>
          <w:szCs w:val="28"/>
          <w:u w:val="single"/>
        </w:rPr>
      </w:pPr>
      <w:r>
        <w:rPr>
          <w:rFonts w:hint="eastAsia" w:hAnsi="宋体"/>
          <w:color w:val="auto"/>
          <w:sz w:val="28"/>
          <w:szCs w:val="28"/>
          <w:u w:val="single"/>
        </w:rPr>
        <w:t xml:space="preserve">                                                              </w:t>
      </w:r>
    </w:p>
    <w:p>
      <w:pPr>
        <w:rPr>
          <w:rFonts w:hAnsi="宋体"/>
          <w:color w:val="auto"/>
          <w:sz w:val="28"/>
          <w:szCs w:val="28"/>
        </w:rPr>
      </w:pPr>
    </w:p>
    <w:p>
      <w:pPr>
        <w:pStyle w:val="12"/>
        <w:ind w:firstLine="632" w:firstLineChars="200"/>
        <w:rPr>
          <w:rFonts w:ascii="仿宋_GB2312" w:eastAsia="仿宋_GB2312"/>
          <w:color w:val="auto"/>
          <w:sz w:val="32"/>
          <w:szCs w:val="32"/>
        </w:rPr>
      </w:pPr>
    </w:p>
    <w:p>
      <w:pPr>
        <w:pStyle w:val="12"/>
        <w:rPr>
          <w:rFonts w:ascii="仿宋_GB2312" w:eastAsia="仿宋_GB2312"/>
          <w:color w:val="auto"/>
          <w:sz w:val="32"/>
          <w:szCs w:val="32"/>
        </w:rPr>
      </w:pPr>
      <w:r>
        <w:rPr>
          <w:rFonts w:hint="eastAsia" w:ascii="仿宋_GB2312" w:eastAsia="仿宋_GB2312"/>
          <w:color w:val="auto"/>
          <w:sz w:val="32"/>
          <w:szCs w:val="32"/>
        </w:rPr>
        <w:t>甲方法定代表人签章：        乙方法定代表人签章：</w:t>
      </w:r>
    </w:p>
    <w:p>
      <w:pPr>
        <w:pStyle w:val="12"/>
        <w:ind w:firstLine="948" w:firstLineChars="300"/>
        <w:rPr>
          <w:rFonts w:ascii="仿宋_GB2312" w:eastAsia="仿宋_GB2312"/>
          <w:color w:val="auto"/>
          <w:sz w:val="32"/>
          <w:szCs w:val="32"/>
        </w:rPr>
      </w:pPr>
      <w:r>
        <w:rPr>
          <w:rFonts w:hint="eastAsia" w:ascii="仿宋_GB2312" w:eastAsia="仿宋_GB2312"/>
          <w:color w:val="auto"/>
          <w:sz w:val="32"/>
          <w:szCs w:val="32"/>
        </w:rPr>
        <w:t>甲方（印章）                        乙方（印章）</w:t>
      </w:r>
    </w:p>
    <w:p>
      <w:pPr>
        <w:pStyle w:val="12"/>
        <w:ind w:firstLine="632" w:firstLineChars="200"/>
        <w:rPr>
          <w:rFonts w:ascii="仿宋_GB2312" w:eastAsia="仿宋_GB2312"/>
          <w:color w:val="auto"/>
          <w:sz w:val="32"/>
          <w:szCs w:val="32"/>
        </w:rPr>
      </w:pPr>
    </w:p>
    <w:p>
      <w:pPr>
        <w:pStyle w:val="12"/>
        <w:ind w:firstLine="632" w:firstLineChars="200"/>
        <w:rPr>
          <w:rFonts w:ascii="仿宋_GB2312" w:eastAsia="仿宋_GB2312"/>
          <w:color w:val="auto"/>
          <w:sz w:val="32"/>
          <w:szCs w:val="32"/>
        </w:rPr>
      </w:pPr>
    </w:p>
    <w:p>
      <w:pPr>
        <w:pStyle w:val="12"/>
        <w:rPr>
          <w:rFonts w:ascii="仿宋_GB2312" w:eastAsia="仿宋_GB2312"/>
          <w:color w:val="auto"/>
          <w:sz w:val="32"/>
          <w:szCs w:val="32"/>
        </w:rPr>
      </w:pPr>
      <w:r>
        <w:rPr>
          <w:rFonts w:hint="eastAsia" w:ascii="仿宋_GB2312" w:eastAsia="仿宋_GB2312"/>
          <w:color w:val="auto"/>
          <w:sz w:val="32"/>
          <w:szCs w:val="32"/>
        </w:rPr>
        <w:t xml:space="preserve">丙方负责人签章：           丁方、戊方负责人签章：          </w:t>
      </w:r>
    </w:p>
    <w:p>
      <w:pPr>
        <w:pStyle w:val="12"/>
        <w:ind w:firstLine="948" w:firstLineChars="300"/>
        <w:rPr>
          <w:rFonts w:ascii="仿宋_GB2312" w:eastAsia="仿宋_GB2312"/>
          <w:color w:val="auto"/>
          <w:sz w:val="32"/>
          <w:szCs w:val="32"/>
        </w:rPr>
      </w:pPr>
      <w:r>
        <w:rPr>
          <w:rFonts w:hint="eastAsia" w:ascii="仿宋_GB2312" w:eastAsia="仿宋_GB2312"/>
          <w:color w:val="auto"/>
          <w:sz w:val="32"/>
          <w:szCs w:val="32"/>
        </w:rPr>
        <w:t>丙方（印章）         人社部门       行业主管部门</w:t>
      </w:r>
    </w:p>
    <w:p>
      <w:pPr>
        <w:pStyle w:val="12"/>
        <w:ind w:firstLine="4740" w:firstLineChars="1500"/>
        <w:rPr>
          <w:rFonts w:ascii="仿宋_GB2312" w:eastAsia="仿宋_GB2312"/>
          <w:color w:val="auto"/>
          <w:sz w:val="32"/>
          <w:szCs w:val="32"/>
        </w:rPr>
      </w:pPr>
      <w:r>
        <w:rPr>
          <w:rFonts w:hint="eastAsia" w:ascii="仿宋_GB2312" w:eastAsia="仿宋_GB2312"/>
          <w:color w:val="auto"/>
          <w:sz w:val="32"/>
          <w:szCs w:val="32"/>
        </w:rPr>
        <w:t>（印章）       （印章）</w:t>
      </w:r>
    </w:p>
    <w:p>
      <w:pPr>
        <w:pStyle w:val="12"/>
        <w:spacing w:line="600" w:lineRule="exact"/>
        <w:ind w:firstLine="6636" w:firstLineChars="2100"/>
        <w:rPr>
          <w:rFonts w:ascii="仿宋_GB2312" w:eastAsia="仿宋_GB2312"/>
          <w:color w:val="auto"/>
          <w:sz w:val="32"/>
          <w:szCs w:val="32"/>
        </w:rPr>
        <w:sectPr>
          <w:pgSz w:w="11906" w:h="16838"/>
          <w:pgMar w:top="2098" w:right="1474" w:bottom="1984" w:left="1588" w:header="851" w:footer="992" w:gutter="0"/>
          <w:pgNumType w:fmt="decimal"/>
          <w:cols w:space="720" w:num="1"/>
          <w:titlePg/>
          <w:docGrid w:type="linesAndChars" w:linePitch="579" w:charSpace="-849"/>
        </w:sectPr>
      </w:pPr>
      <w:r>
        <w:rPr>
          <w:rFonts w:hint="eastAsia" w:ascii="仿宋_GB2312" w:eastAsia="仿宋_GB2312"/>
          <w:color w:val="auto"/>
          <w:sz w:val="32"/>
          <w:szCs w:val="32"/>
        </w:rPr>
        <w:t>年   月   日</w:t>
      </w:r>
    </w:p>
    <w:p>
      <w:pPr>
        <w:spacing w:line="600" w:lineRule="exact"/>
        <w:rPr>
          <w:rFonts w:hAnsi="Times New Roman" w:cs="Times New Roman"/>
          <w:color w:val="auto"/>
        </w:rPr>
      </w:pPr>
      <w:bookmarkStart w:id="4" w:name="_Hlk167051315"/>
      <w:r>
        <w:rPr>
          <w:rFonts w:hint="eastAsia" w:hAnsi="Times New Roman" w:cs="Times New Roman"/>
          <w:color w:val="auto"/>
        </w:rPr>
        <w:t>附件2</w:t>
      </w:r>
    </w:p>
    <w:p>
      <w:pPr>
        <w:spacing w:line="600" w:lineRule="exact"/>
        <w:rPr>
          <w:rFonts w:cs="Times New Roman"/>
          <w:color w:val="auto"/>
        </w:rPr>
      </w:pPr>
    </w:p>
    <w:bookmarkEnd w:id="4"/>
    <w:p>
      <w:pPr>
        <w:adjustRightInd w:val="0"/>
        <w:snapToGrid w:val="0"/>
        <w:spacing w:line="600" w:lineRule="exact"/>
        <w:jc w:val="center"/>
        <w:rPr>
          <w:rFonts w:ascii="方正小标宋简体" w:hAnsi="宋体" w:eastAsia="方正小标宋简体" w:cs="黑体"/>
          <w:color w:val="auto"/>
          <w:sz w:val="44"/>
          <w:szCs w:val="44"/>
        </w:rPr>
      </w:pPr>
      <w:r>
        <w:rPr>
          <w:rFonts w:hint="eastAsia" w:ascii="方正小标宋简体" w:hAnsi="宋体" w:eastAsia="方正小标宋简体" w:cs="黑体"/>
          <w:color w:val="auto"/>
          <w:sz w:val="44"/>
          <w:szCs w:val="44"/>
        </w:rPr>
        <w:t>农民工工资支付专用账户授权书</w:t>
      </w:r>
    </w:p>
    <w:p>
      <w:pPr>
        <w:adjustRightInd w:val="0"/>
        <w:snapToGrid w:val="0"/>
        <w:spacing w:line="600" w:lineRule="exact"/>
        <w:jc w:val="center"/>
        <w:rPr>
          <w:rFonts w:ascii="楷体_GB2312" w:hAnsi="宋体" w:eastAsia="楷体_GB2312" w:cs="黑体"/>
          <w:color w:val="auto"/>
        </w:rPr>
      </w:pPr>
      <w:r>
        <w:rPr>
          <w:rFonts w:hint="eastAsia" w:ascii="楷体_GB2312" w:hAnsi="宋体" w:eastAsia="楷体_GB2312" w:cs="黑体"/>
          <w:color w:val="auto"/>
        </w:rPr>
        <w:t>（式样）</w:t>
      </w:r>
    </w:p>
    <w:p>
      <w:pPr>
        <w:spacing w:line="600" w:lineRule="exact"/>
        <w:rPr>
          <w:rFonts w:hAnsi="仿宋" w:cs="仿宋"/>
          <w:color w:val="auto"/>
        </w:rPr>
      </w:pPr>
    </w:p>
    <w:p>
      <w:pPr>
        <w:spacing w:line="600" w:lineRule="exact"/>
        <w:rPr>
          <w:rFonts w:hAnsi="仿宋" w:cs="仿宋"/>
          <w:color w:val="auto"/>
        </w:rPr>
      </w:pPr>
      <w:r>
        <w:rPr>
          <w:rFonts w:hint="eastAsia" w:hAnsi="仿宋" w:cs="仿宋"/>
          <w:color w:val="auto"/>
        </w:rPr>
        <w:t xml:space="preserve">授 权 人：          联系电话：        地址 ：       </w:t>
      </w:r>
    </w:p>
    <w:p>
      <w:pPr>
        <w:spacing w:line="600" w:lineRule="exact"/>
        <w:rPr>
          <w:rFonts w:hAnsi="仿宋" w:cs="仿宋"/>
          <w:color w:val="auto"/>
        </w:rPr>
      </w:pPr>
      <w:r>
        <w:rPr>
          <w:rFonts w:hint="eastAsia" w:hAnsi="仿宋" w:cs="仿宋"/>
          <w:color w:val="auto"/>
        </w:rPr>
        <w:t>被授权人（人社部门名称）：         联系电话：      地址：</w:t>
      </w:r>
    </w:p>
    <w:p>
      <w:pPr>
        <w:spacing w:line="600" w:lineRule="exact"/>
        <w:rPr>
          <w:rFonts w:hAnsi="仿宋" w:cs="仿宋"/>
          <w:color w:val="auto"/>
        </w:rPr>
      </w:pPr>
      <w:r>
        <w:rPr>
          <w:rFonts w:hint="eastAsia" w:hAnsi="仿宋" w:cs="仿宋"/>
          <w:color w:val="auto"/>
        </w:rPr>
        <w:t>（行业主管部门名称）：             联系电话：      地址：</w:t>
      </w:r>
    </w:p>
    <w:p>
      <w:pPr>
        <w:spacing w:line="600" w:lineRule="exact"/>
        <w:rPr>
          <w:rFonts w:hAnsi="仿宋" w:cs="仿宋"/>
          <w:color w:val="auto"/>
        </w:rPr>
      </w:pPr>
    </w:p>
    <w:p>
      <w:pPr>
        <w:spacing w:line="600" w:lineRule="exact"/>
        <w:ind w:firstLine="632" w:firstLineChars="200"/>
        <w:rPr>
          <w:rFonts w:hAnsi="Times New Roman" w:cs="Times New Roman"/>
          <w:color w:val="auto"/>
        </w:rPr>
      </w:pPr>
      <w:r>
        <w:rPr>
          <w:rFonts w:hint="eastAsia" w:hAnsi="仿宋" w:cs="仿宋"/>
          <w:color w:val="auto"/>
        </w:rPr>
        <w:t>本授权书宣告：在</w:t>
      </w:r>
      <w:r>
        <w:rPr>
          <w:rFonts w:hint="eastAsia" w:hAnsi="Times New Roman" w:cs="Times New Roman"/>
          <w:color w:val="auto"/>
        </w:rPr>
        <w:t>农民工工资支付专用账户资金管理过程中，授权人允许被授权人查询农民工工资支付专用账户资金存储和支取情况，并按《云浮市工程建设领域农民工工资专用账户管理实施细则》规定允许被授权人监管农民工工资支付专用账户资金。</w:t>
      </w:r>
    </w:p>
    <w:p>
      <w:pPr>
        <w:spacing w:line="600" w:lineRule="exact"/>
        <w:ind w:firstLine="632" w:firstLineChars="200"/>
        <w:rPr>
          <w:rFonts w:hAnsi="Times New Roman" w:cs="Times New Roman"/>
          <w:color w:val="auto"/>
        </w:rPr>
      </w:pPr>
      <w:r>
        <w:rPr>
          <w:rFonts w:hint="eastAsia" w:hAnsi="Times New Roman" w:cs="Times New Roman"/>
          <w:color w:val="auto"/>
        </w:rPr>
        <w:t>特此授权。</w:t>
      </w:r>
    </w:p>
    <w:p>
      <w:pPr>
        <w:spacing w:line="600" w:lineRule="exact"/>
        <w:ind w:firstLine="632" w:firstLineChars="200"/>
        <w:rPr>
          <w:rFonts w:hAnsi="Times New Roman" w:cs="Times New Roman"/>
          <w:color w:val="auto"/>
        </w:rPr>
      </w:pPr>
    </w:p>
    <w:p>
      <w:pPr>
        <w:spacing w:line="600" w:lineRule="exact"/>
        <w:ind w:firstLine="632" w:firstLineChars="200"/>
        <w:rPr>
          <w:rFonts w:hAnsi="Times New Roman" w:cs="Times New Roman"/>
          <w:color w:val="auto"/>
        </w:rPr>
      </w:pPr>
    </w:p>
    <w:p>
      <w:pPr>
        <w:spacing w:line="600" w:lineRule="exact"/>
        <w:ind w:firstLine="4048" w:firstLineChars="1281"/>
        <w:rPr>
          <w:rFonts w:hAnsi="Times New Roman" w:cs="Times New Roman"/>
          <w:color w:val="auto"/>
        </w:rPr>
      </w:pPr>
      <w:r>
        <w:rPr>
          <w:rFonts w:hint="eastAsia" w:hAnsi="Times New Roman" w:cs="Times New Roman"/>
          <w:color w:val="auto"/>
        </w:rPr>
        <w:t>授权人（签章）：</w:t>
      </w:r>
    </w:p>
    <w:p>
      <w:pPr>
        <w:spacing w:line="600" w:lineRule="exact"/>
        <w:ind w:firstLine="5969" w:firstLineChars="1889"/>
        <w:rPr>
          <w:rFonts w:hAnsi="Times New Roman" w:cs="Times New Roman"/>
          <w:color w:val="auto"/>
        </w:rPr>
        <w:sectPr>
          <w:pgSz w:w="11906" w:h="16838"/>
          <w:pgMar w:top="2098" w:right="1474" w:bottom="1984" w:left="1588" w:header="851" w:footer="992" w:gutter="0"/>
          <w:pgNumType w:fmt="decimal"/>
          <w:cols w:space="720" w:num="1"/>
          <w:titlePg/>
          <w:docGrid w:type="linesAndChars" w:linePitch="579" w:charSpace="-849"/>
        </w:sectPr>
      </w:pPr>
      <w:r>
        <w:rPr>
          <w:rFonts w:hint="eastAsia" w:hAnsi="Times New Roman" w:cs="Times New Roman"/>
          <w:color w:val="auto"/>
        </w:rPr>
        <w:t>年   月   日</w:t>
      </w:r>
    </w:p>
    <w:p>
      <w:pPr>
        <w:spacing w:line="600" w:lineRule="exact"/>
        <w:rPr>
          <w:rFonts w:hAnsi="Times New Roman" w:cs="Times New Roman"/>
          <w:color w:val="auto"/>
        </w:rPr>
      </w:pPr>
      <w:r>
        <w:rPr>
          <w:rFonts w:hint="eastAsia" w:hAnsi="Times New Roman" w:cs="Times New Roman"/>
          <w:color w:val="auto"/>
        </w:rPr>
        <w:t>附件3</w:t>
      </w:r>
    </w:p>
    <w:p>
      <w:pPr>
        <w:spacing w:line="600" w:lineRule="exact"/>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房屋建筑和市政工程类项目</w:t>
      </w:r>
    </w:p>
    <w:p>
      <w:pPr>
        <w:pStyle w:val="6"/>
        <w:spacing w:line="700" w:lineRule="exact"/>
        <w:jc w:val="center"/>
        <w:rPr>
          <w:rFonts w:ascii="方正小标宋简体" w:eastAsia="方正小标宋简体"/>
          <w:color w:val="auto"/>
          <w:sz w:val="44"/>
          <w:szCs w:val="44"/>
        </w:rPr>
      </w:pPr>
      <w:bookmarkStart w:id="5" w:name="_Hlk167051735"/>
      <w:r>
        <w:rPr>
          <w:rFonts w:hint="eastAsia" w:ascii="方正小标宋简体" w:eastAsia="方正小标宋简体"/>
          <w:color w:val="auto"/>
          <w:sz w:val="44"/>
          <w:szCs w:val="44"/>
        </w:rPr>
        <w:t>施工单位信用情况核实和工程进度款人工费用拨付比例申请表</w:t>
      </w:r>
      <w:bookmarkEnd w:id="5"/>
    </w:p>
    <w:p>
      <w:pPr>
        <w:pStyle w:val="5"/>
        <w:jc w:val="center"/>
        <w:rPr>
          <w:rFonts w:hint="eastAsia" w:eastAsia="仿宋_GB2312"/>
          <w:color w:val="auto"/>
          <w:sz w:val="32"/>
          <w:lang w:eastAsia="zh-CN"/>
        </w:rPr>
      </w:pPr>
      <w:r>
        <w:rPr>
          <w:rFonts w:hint="eastAsia"/>
          <w:color w:val="auto"/>
          <w:sz w:val="32"/>
          <w:lang w:eastAsia="zh-CN"/>
        </w:rPr>
        <w:t>（式样）</w:t>
      </w:r>
    </w:p>
    <w:tbl>
      <w:tblPr>
        <w:tblStyle w:val="7"/>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00"/>
        <w:gridCol w:w="1669"/>
        <w:gridCol w:w="1134"/>
        <w:gridCol w:w="426"/>
        <w:gridCol w:w="565"/>
        <w:gridCol w:w="569"/>
        <w:gridCol w:w="29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trPr>
        <w:tc>
          <w:tcPr>
            <w:tcW w:w="938" w:type="pct"/>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r>
              <w:rPr>
                <w:rFonts w:hint="eastAsia"/>
                <w:color w:val="auto"/>
                <w:sz w:val="24"/>
                <w:szCs w:val="24"/>
              </w:rPr>
              <w:t>施工企业</w:t>
            </w:r>
          </w:p>
          <w:p>
            <w:pPr>
              <w:pStyle w:val="5"/>
              <w:pBdr>
                <w:top w:val="none" w:color="auto" w:sz="0" w:space="0"/>
                <w:left w:val="none" w:color="auto" w:sz="0" w:space="0"/>
                <w:bottom w:val="none" w:color="auto" w:sz="0" w:space="0"/>
                <w:right w:val="none" w:color="auto" w:sz="0" w:space="0"/>
              </w:pBdr>
              <w:jc w:val="center"/>
              <w:rPr>
                <w:rFonts w:hAnsi="宋体"/>
                <w:color w:val="auto"/>
                <w:sz w:val="24"/>
                <w:szCs w:val="24"/>
              </w:rPr>
            </w:pPr>
            <w:r>
              <w:rPr>
                <w:rFonts w:hint="eastAsia" w:hAnsi="宋体"/>
                <w:color w:val="auto"/>
                <w:sz w:val="24"/>
                <w:szCs w:val="24"/>
              </w:rPr>
              <w:t>（盖章）</w:t>
            </w:r>
          </w:p>
        </w:tc>
        <w:tc>
          <w:tcPr>
            <w:tcW w:w="1782" w:type="pct"/>
            <w:gridSpan w:val="3"/>
            <w:shd w:val="clear" w:color="auto" w:fill="auto"/>
            <w:vAlign w:val="center"/>
          </w:tcPr>
          <w:p>
            <w:pPr>
              <w:pStyle w:val="5"/>
              <w:pBdr>
                <w:top w:val="none" w:color="auto" w:sz="0" w:space="0"/>
                <w:left w:val="none" w:color="auto" w:sz="0" w:space="0"/>
                <w:bottom w:val="none" w:color="auto" w:sz="0" w:space="0"/>
                <w:right w:val="none" w:color="auto" w:sz="0" w:space="0"/>
              </w:pBdr>
              <w:jc w:val="center"/>
              <w:rPr>
                <w:rFonts w:hAnsi="宋体"/>
                <w:color w:val="auto"/>
                <w:sz w:val="24"/>
                <w:szCs w:val="24"/>
              </w:rPr>
            </w:pPr>
          </w:p>
        </w:tc>
        <w:tc>
          <w:tcPr>
            <w:tcW w:w="626" w:type="pct"/>
            <w:gridSpan w:val="2"/>
            <w:shd w:val="clear" w:color="auto" w:fill="auto"/>
            <w:vAlign w:val="center"/>
          </w:tcPr>
          <w:p>
            <w:pPr>
              <w:pStyle w:val="5"/>
              <w:pBdr>
                <w:top w:val="none" w:color="auto" w:sz="0" w:space="0"/>
                <w:left w:val="none" w:color="auto" w:sz="0" w:space="0"/>
                <w:bottom w:val="none" w:color="auto" w:sz="0" w:space="0"/>
                <w:right w:val="none" w:color="auto" w:sz="0" w:space="0"/>
              </w:pBdr>
              <w:jc w:val="center"/>
              <w:rPr>
                <w:rFonts w:hAnsi="宋体"/>
                <w:color w:val="auto"/>
                <w:sz w:val="24"/>
                <w:szCs w:val="24"/>
              </w:rPr>
            </w:pPr>
            <w:r>
              <w:rPr>
                <w:rFonts w:hint="eastAsia" w:hAnsi="宋体"/>
                <w:color w:val="auto"/>
                <w:sz w:val="24"/>
                <w:szCs w:val="24"/>
              </w:rPr>
              <w:t>地址</w:t>
            </w:r>
          </w:p>
        </w:tc>
        <w:tc>
          <w:tcPr>
            <w:tcW w:w="1654" w:type="pct"/>
            <w:shd w:val="clear" w:color="auto" w:fill="auto"/>
            <w:vAlign w:val="center"/>
          </w:tcPr>
          <w:p>
            <w:pPr>
              <w:pStyle w:val="5"/>
              <w:pBdr>
                <w:top w:val="none" w:color="auto" w:sz="0" w:space="0"/>
                <w:left w:val="none" w:color="auto" w:sz="0" w:space="0"/>
                <w:bottom w:val="none" w:color="auto" w:sz="0" w:space="0"/>
                <w:right w:val="none" w:color="auto" w:sz="0" w:space="0"/>
              </w:pBdr>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trPr>
        <w:tc>
          <w:tcPr>
            <w:tcW w:w="938" w:type="pct"/>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r>
              <w:rPr>
                <w:rFonts w:hint="eastAsia"/>
                <w:color w:val="auto"/>
                <w:sz w:val="24"/>
                <w:szCs w:val="24"/>
              </w:rPr>
              <w:t>法定代表人</w:t>
            </w:r>
          </w:p>
        </w:tc>
        <w:tc>
          <w:tcPr>
            <w:tcW w:w="921" w:type="pct"/>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p>
        </w:tc>
        <w:tc>
          <w:tcPr>
            <w:tcW w:w="860" w:type="pct"/>
            <w:gridSpan w:val="2"/>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r>
              <w:rPr>
                <w:rFonts w:hint="eastAsia"/>
                <w:color w:val="auto"/>
                <w:sz w:val="24"/>
                <w:szCs w:val="24"/>
              </w:rPr>
              <w:t>电话</w:t>
            </w:r>
          </w:p>
        </w:tc>
        <w:tc>
          <w:tcPr>
            <w:tcW w:w="2280" w:type="pct"/>
            <w:gridSpan w:val="3"/>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trPr>
        <w:tc>
          <w:tcPr>
            <w:tcW w:w="938" w:type="pct"/>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r>
              <w:rPr>
                <w:rFonts w:hint="eastAsia"/>
                <w:color w:val="auto"/>
                <w:sz w:val="24"/>
                <w:szCs w:val="24"/>
              </w:rPr>
              <w:t>经办人</w:t>
            </w:r>
          </w:p>
        </w:tc>
        <w:tc>
          <w:tcPr>
            <w:tcW w:w="921" w:type="pct"/>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p>
        </w:tc>
        <w:tc>
          <w:tcPr>
            <w:tcW w:w="860" w:type="pct"/>
            <w:gridSpan w:val="2"/>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r>
              <w:rPr>
                <w:rFonts w:hint="eastAsia"/>
                <w:color w:val="auto"/>
                <w:sz w:val="24"/>
                <w:szCs w:val="24"/>
              </w:rPr>
              <w:t>电话</w:t>
            </w:r>
          </w:p>
        </w:tc>
        <w:tc>
          <w:tcPr>
            <w:tcW w:w="2280" w:type="pct"/>
            <w:gridSpan w:val="3"/>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5" w:hRule="atLeast"/>
        </w:trPr>
        <w:tc>
          <w:tcPr>
            <w:tcW w:w="938" w:type="pct"/>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r>
              <w:rPr>
                <w:rFonts w:hint="eastAsia"/>
                <w:color w:val="auto"/>
                <w:sz w:val="24"/>
                <w:szCs w:val="24"/>
              </w:rPr>
              <w:t>建设单位</w:t>
            </w:r>
          </w:p>
        </w:tc>
        <w:tc>
          <w:tcPr>
            <w:tcW w:w="1547" w:type="pct"/>
            <w:gridSpan w:val="2"/>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p>
        </w:tc>
        <w:tc>
          <w:tcPr>
            <w:tcW w:w="547" w:type="pct"/>
            <w:gridSpan w:val="2"/>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r>
              <w:rPr>
                <w:rFonts w:hint="eastAsia"/>
                <w:color w:val="auto"/>
                <w:sz w:val="24"/>
                <w:szCs w:val="24"/>
              </w:rPr>
              <w:t>工程项目名称</w:t>
            </w:r>
          </w:p>
        </w:tc>
        <w:tc>
          <w:tcPr>
            <w:tcW w:w="1968" w:type="pct"/>
            <w:gridSpan w:val="2"/>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99" w:hRule="atLeast"/>
        </w:trPr>
        <w:tc>
          <w:tcPr>
            <w:tcW w:w="938" w:type="pct"/>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32"/>
              </w:rPr>
            </w:pPr>
            <w:r>
              <w:rPr>
                <w:rFonts w:hint="eastAsia" w:hAnsi="Times New Roman" w:cs="Times New Roman"/>
                <w:color w:val="auto"/>
                <w:sz w:val="24"/>
                <w:szCs w:val="20"/>
              </w:rPr>
              <w:t>住建部门核实情况</w:t>
            </w:r>
          </w:p>
        </w:tc>
        <w:tc>
          <w:tcPr>
            <w:tcW w:w="4062" w:type="pct"/>
            <w:gridSpan w:val="6"/>
            <w:shd w:val="clear" w:color="auto" w:fill="auto"/>
            <w:vAlign w:val="center"/>
          </w:tcPr>
          <w:p>
            <w:pPr>
              <w:spacing w:line="400" w:lineRule="exact"/>
              <w:ind w:firstLine="472" w:firstLineChars="200"/>
              <w:rPr>
                <w:rFonts w:hAnsi="Times New Roman" w:cs="Times New Roman"/>
                <w:color w:val="auto"/>
                <w:sz w:val="24"/>
                <w:szCs w:val="20"/>
              </w:rPr>
            </w:pPr>
            <w:r>
              <w:rPr>
                <w:rFonts w:hint="eastAsia" w:hAnsi="Times New Roman" w:cs="Times New Roman"/>
                <w:color w:val="auto"/>
                <w:sz w:val="24"/>
                <w:szCs w:val="20"/>
              </w:rPr>
              <w:t>经核实，该施工单位在本市行政区域内在本市行政区域内建筑市场信用等级为      （AAA、AA、A、没有评定）</w:t>
            </w:r>
            <w:r>
              <w:rPr>
                <w:rFonts w:hAnsi="Times New Roman" w:cs="Times New Roman"/>
                <w:color w:val="auto"/>
                <w:sz w:val="24"/>
                <w:szCs w:val="20"/>
              </w:rPr>
              <w:t>，在</w:t>
            </w:r>
            <w:r>
              <w:rPr>
                <w:rFonts w:hint="eastAsia" w:hAnsi="Times New Roman" w:cs="Times New Roman"/>
                <w:color w:val="auto"/>
                <w:sz w:val="24"/>
                <w:szCs w:val="20"/>
              </w:rPr>
              <w:t>本市的在</w:t>
            </w:r>
            <w:r>
              <w:rPr>
                <w:rFonts w:hAnsi="Times New Roman" w:cs="Times New Roman"/>
                <w:color w:val="auto"/>
                <w:sz w:val="24"/>
                <w:szCs w:val="20"/>
              </w:rPr>
              <w:t>建项目</w:t>
            </w:r>
            <w:r>
              <w:rPr>
                <w:rFonts w:hint="eastAsia" w:hAnsi="Times New Roman" w:cs="Times New Roman"/>
                <w:color w:val="auto"/>
                <w:sz w:val="24"/>
                <w:szCs w:val="20"/>
              </w:rPr>
              <w:t xml:space="preserve">     （是、否）</w:t>
            </w:r>
            <w:r>
              <w:rPr>
                <w:rFonts w:hAnsi="Times New Roman" w:cs="Times New Roman"/>
                <w:color w:val="auto"/>
                <w:sz w:val="24"/>
                <w:szCs w:val="20"/>
              </w:rPr>
              <w:t>全面落实用工实名制</w:t>
            </w:r>
            <w:r>
              <w:rPr>
                <w:rFonts w:hint="eastAsia" w:hAnsi="Times New Roman" w:cs="Times New Roman"/>
                <w:color w:val="auto"/>
                <w:sz w:val="24"/>
                <w:szCs w:val="20"/>
              </w:rPr>
              <w:t>。</w:t>
            </w:r>
          </w:p>
          <w:p>
            <w:pPr>
              <w:spacing w:line="400" w:lineRule="exact"/>
              <w:ind w:firstLine="472" w:firstLineChars="200"/>
              <w:rPr>
                <w:rFonts w:hAnsi="Times New Roman" w:cs="Times New Roman"/>
                <w:color w:val="auto"/>
                <w:sz w:val="24"/>
                <w:szCs w:val="20"/>
              </w:rPr>
            </w:pPr>
            <w:r>
              <w:rPr>
                <w:rFonts w:hint="eastAsia" w:hAnsi="Times New Roman" w:cs="Times New Roman"/>
                <w:color w:val="auto"/>
                <w:sz w:val="24"/>
                <w:szCs w:val="20"/>
              </w:rPr>
              <w:t xml:space="preserve">经办人：               </w:t>
            </w:r>
          </w:p>
          <w:p>
            <w:pPr>
              <w:spacing w:line="400" w:lineRule="exact"/>
              <w:ind w:firstLine="472" w:firstLineChars="200"/>
              <w:rPr>
                <w:rFonts w:hAnsi="Times New Roman" w:cs="Times New Roman"/>
                <w:color w:val="auto"/>
                <w:sz w:val="24"/>
                <w:szCs w:val="20"/>
              </w:rPr>
            </w:pPr>
            <w:r>
              <w:rPr>
                <w:rFonts w:hint="eastAsia" w:hAnsi="Times New Roman" w:cs="Times New Roman"/>
                <w:color w:val="auto"/>
                <w:sz w:val="24"/>
                <w:szCs w:val="20"/>
              </w:rPr>
              <w:t>审核人：</w:t>
            </w:r>
          </w:p>
          <w:p>
            <w:pPr>
              <w:spacing w:line="400" w:lineRule="exact"/>
              <w:ind w:firstLine="472" w:firstLineChars="200"/>
              <w:rPr>
                <w:rFonts w:hAnsi="Times New Roman" w:cs="Times New Roman"/>
                <w:color w:val="auto"/>
                <w:sz w:val="24"/>
                <w:szCs w:val="20"/>
              </w:rPr>
            </w:pPr>
            <w:r>
              <w:rPr>
                <w:rFonts w:hint="eastAsia" w:hAnsi="Times New Roman" w:cs="Times New Roman"/>
                <w:color w:val="auto"/>
                <w:sz w:val="24"/>
                <w:szCs w:val="20"/>
              </w:rPr>
              <w:t>核定人：                            年   月   日</w:t>
            </w:r>
          </w:p>
          <w:p>
            <w:pPr>
              <w:pStyle w:val="5"/>
              <w:pBdr>
                <w:top w:val="none" w:color="auto" w:sz="0" w:space="0"/>
                <w:left w:val="none" w:color="auto" w:sz="0" w:space="0"/>
                <w:bottom w:val="none" w:color="auto" w:sz="0" w:space="0"/>
                <w:right w:val="none" w:color="auto" w:sz="0" w:space="0"/>
              </w:pBdr>
              <w:jc w:val="center"/>
              <w:rPr>
                <w:color w:val="auto"/>
                <w:sz w:val="32"/>
              </w:rPr>
            </w:pPr>
            <w:r>
              <w:rPr>
                <w:rFonts w:hint="eastAsia" w:hAnsi="Times New Roman" w:cs="Times New Roman"/>
                <w:color w:val="auto"/>
                <w:sz w:val="24"/>
                <w:szCs w:val="20"/>
              </w:rPr>
              <w:t xml:space="preserve">                            （盖章）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7" w:hRule="atLeast"/>
        </w:trPr>
        <w:tc>
          <w:tcPr>
            <w:tcW w:w="938" w:type="pct"/>
            <w:shd w:val="clear" w:color="auto" w:fill="auto"/>
            <w:vAlign w:val="center"/>
          </w:tcPr>
          <w:p>
            <w:pPr>
              <w:pStyle w:val="5"/>
              <w:pBdr>
                <w:top w:val="none" w:color="auto" w:sz="0" w:space="0"/>
                <w:left w:val="none" w:color="auto" w:sz="0" w:space="0"/>
                <w:bottom w:val="none" w:color="auto" w:sz="0" w:space="0"/>
                <w:right w:val="none" w:color="auto" w:sz="0" w:space="0"/>
              </w:pBdr>
              <w:jc w:val="center"/>
              <w:rPr>
                <w:color w:val="auto"/>
                <w:sz w:val="32"/>
              </w:rPr>
            </w:pPr>
            <w:r>
              <w:rPr>
                <w:rFonts w:hint="eastAsia" w:hAnsi="Times New Roman" w:cs="Times New Roman"/>
                <w:color w:val="auto"/>
                <w:sz w:val="24"/>
                <w:szCs w:val="20"/>
              </w:rPr>
              <w:t>人力资源和社会保障部门意见</w:t>
            </w:r>
          </w:p>
        </w:tc>
        <w:tc>
          <w:tcPr>
            <w:tcW w:w="4062" w:type="pct"/>
            <w:gridSpan w:val="6"/>
            <w:shd w:val="clear" w:color="auto" w:fill="auto"/>
            <w:vAlign w:val="center"/>
          </w:tcPr>
          <w:p>
            <w:pPr>
              <w:spacing w:line="400" w:lineRule="exact"/>
              <w:ind w:firstLine="472" w:firstLineChars="200"/>
              <w:rPr>
                <w:rFonts w:hAnsi="Times New Roman" w:cs="Times New Roman"/>
                <w:color w:val="auto"/>
                <w:sz w:val="24"/>
                <w:szCs w:val="20"/>
              </w:rPr>
            </w:pPr>
            <w:r>
              <w:rPr>
                <w:rFonts w:hint="eastAsia" w:hAnsi="Times New Roman" w:cs="Times New Roman"/>
                <w:color w:val="auto"/>
                <w:sz w:val="24"/>
                <w:szCs w:val="20"/>
              </w:rPr>
              <w:t>经核实，该施工单位在本市行政区域内两年内     （是、否）存在欠薪案件，结合住建部门的核实情况</w:t>
            </w:r>
            <w:r>
              <w:rPr>
                <w:rFonts w:hAnsi="Times New Roman" w:cs="Times New Roman"/>
                <w:color w:val="auto"/>
                <w:sz w:val="24"/>
                <w:szCs w:val="20"/>
              </w:rPr>
              <w:t>，</w:t>
            </w:r>
            <w:r>
              <w:rPr>
                <w:rFonts w:hint="eastAsia" w:hAnsi="Times New Roman" w:cs="Times New Roman"/>
                <w:color w:val="auto"/>
                <w:sz w:val="24"/>
                <w:szCs w:val="20"/>
              </w:rPr>
              <w:t>同意建设单位与施工单位在签订施工合同时，进度款划入工资专户的人工费用，</w:t>
            </w:r>
            <w:r>
              <w:rPr>
                <w:rFonts w:hAnsi="Times New Roman" w:cs="Times New Roman"/>
                <w:color w:val="auto"/>
                <w:sz w:val="24"/>
                <w:szCs w:val="20"/>
              </w:rPr>
              <w:t>可按不低于工程进度款的</w:t>
            </w:r>
            <w:r>
              <w:rPr>
                <w:rFonts w:hint="eastAsia" w:hAnsi="Times New Roman" w:cs="Times New Roman"/>
                <w:color w:val="auto"/>
                <w:sz w:val="24"/>
                <w:szCs w:val="20"/>
              </w:rPr>
              <w:t xml:space="preserve">     </w:t>
            </w:r>
            <w:r>
              <w:rPr>
                <w:rFonts w:hAnsi="Times New Roman" w:cs="Times New Roman"/>
                <w:color w:val="auto"/>
                <w:sz w:val="24"/>
                <w:szCs w:val="20"/>
              </w:rPr>
              <w:t>%</w:t>
            </w:r>
            <w:r>
              <w:rPr>
                <w:rFonts w:hint="eastAsia" w:hAnsi="Times New Roman" w:cs="Times New Roman"/>
                <w:color w:val="auto"/>
                <w:sz w:val="24"/>
                <w:szCs w:val="20"/>
              </w:rPr>
              <w:t>约定。</w:t>
            </w:r>
          </w:p>
          <w:p>
            <w:pPr>
              <w:spacing w:line="400" w:lineRule="exact"/>
              <w:ind w:firstLine="472" w:firstLineChars="200"/>
              <w:rPr>
                <w:rFonts w:hAnsi="Times New Roman" w:cs="Times New Roman"/>
                <w:color w:val="auto"/>
                <w:sz w:val="24"/>
                <w:szCs w:val="20"/>
              </w:rPr>
            </w:pPr>
            <w:r>
              <w:rPr>
                <w:rFonts w:hint="eastAsia" w:hAnsi="Times New Roman" w:cs="Times New Roman"/>
                <w:color w:val="auto"/>
                <w:sz w:val="24"/>
                <w:szCs w:val="20"/>
              </w:rPr>
              <w:t xml:space="preserve">经办人：               </w:t>
            </w:r>
          </w:p>
          <w:p>
            <w:pPr>
              <w:spacing w:line="400" w:lineRule="exact"/>
              <w:ind w:firstLine="472" w:firstLineChars="200"/>
              <w:rPr>
                <w:rFonts w:hAnsi="Times New Roman" w:cs="Times New Roman"/>
                <w:color w:val="auto"/>
                <w:sz w:val="24"/>
                <w:szCs w:val="20"/>
              </w:rPr>
            </w:pPr>
            <w:r>
              <w:rPr>
                <w:rFonts w:hint="eastAsia" w:hAnsi="Times New Roman" w:cs="Times New Roman"/>
                <w:color w:val="auto"/>
                <w:sz w:val="24"/>
                <w:szCs w:val="20"/>
              </w:rPr>
              <w:t>审核人：</w:t>
            </w:r>
          </w:p>
          <w:p>
            <w:pPr>
              <w:spacing w:line="400" w:lineRule="exact"/>
              <w:ind w:firstLine="472" w:firstLineChars="200"/>
              <w:rPr>
                <w:rFonts w:hAnsi="Times New Roman" w:cs="Times New Roman"/>
                <w:color w:val="auto"/>
                <w:sz w:val="24"/>
                <w:szCs w:val="20"/>
              </w:rPr>
            </w:pPr>
            <w:r>
              <w:rPr>
                <w:rFonts w:hint="eastAsia" w:hAnsi="Times New Roman" w:cs="Times New Roman"/>
                <w:color w:val="auto"/>
                <w:sz w:val="24"/>
                <w:szCs w:val="20"/>
              </w:rPr>
              <w:t>核定人：                            年   月   日</w:t>
            </w:r>
          </w:p>
          <w:p>
            <w:pPr>
              <w:pStyle w:val="5"/>
              <w:pBdr>
                <w:top w:val="none" w:color="auto" w:sz="0" w:space="0"/>
                <w:left w:val="none" w:color="auto" w:sz="0" w:space="0"/>
                <w:bottom w:val="none" w:color="auto" w:sz="0" w:space="0"/>
                <w:right w:val="none" w:color="auto" w:sz="0" w:space="0"/>
              </w:pBdr>
              <w:jc w:val="center"/>
              <w:rPr>
                <w:color w:val="auto"/>
                <w:sz w:val="32"/>
              </w:rPr>
            </w:pPr>
            <w:r>
              <w:rPr>
                <w:rFonts w:hint="eastAsia" w:hAnsi="Times New Roman" w:cs="Times New Roman"/>
                <w:color w:val="auto"/>
                <w:sz w:val="24"/>
                <w:szCs w:val="20"/>
              </w:rPr>
              <w:t xml:space="preserve">                            （盖章）</w:t>
            </w:r>
          </w:p>
        </w:tc>
      </w:tr>
    </w:tbl>
    <w:p>
      <w:pPr>
        <w:spacing w:line="120" w:lineRule="auto"/>
        <w:ind w:right="-271" w:rightChars="-86"/>
        <w:rPr>
          <w:rFonts w:hAnsi="Times New Roman" w:cs="Times New Roman"/>
          <w:color w:val="auto"/>
          <w:sz w:val="24"/>
          <w:szCs w:val="24"/>
        </w:rPr>
      </w:pPr>
      <w:r>
        <w:rPr>
          <w:rFonts w:hint="eastAsia" w:ascii="仿宋" w:hAnsi="仿宋" w:cs="仿宋"/>
          <w:color w:val="auto"/>
          <w:sz w:val="21"/>
          <w:szCs w:val="21"/>
        </w:rPr>
        <w:t>注：本申请表一式</w:t>
      </w:r>
      <w:r>
        <w:rPr>
          <w:rFonts w:hint="eastAsia" w:ascii="仿宋" w:hAnsi="仿宋" w:cs="仿宋"/>
          <w:color w:val="auto"/>
          <w:sz w:val="21"/>
          <w:szCs w:val="21"/>
          <w:lang w:eastAsia="zh-CN"/>
        </w:rPr>
        <w:t>四</w:t>
      </w:r>
      <w:r>
        <w:rPr>
          <w:rFonts w:hint="eastAsia" w:ascii="仿宋" w:hAnsi="仿宋" w:cs="仿宋"/>
          <w:color w:val="auto"/>
          <w:sz w:val="21"/>
          <w:szCs w:val="21"/>
        </w:rPr>
        <w:t>份，行业主管部门、人力资源和社会保障部门、申请单位、开户银行各持一份。</w:t>
      </w:r>
    </w:p>
    <w:p>
      <w:pPr>
        <w:spacing w:line="600" w:lineRule="exact"/>
        <w:rPr>
          <w:rFonts w:hAnsi="Times New Roman" w:cs="Times New Roman"/>
          <w:color w:val="auto"/>
        </w:rPr>
        <w:sectPr>
          <w:pgSz w:w="11906" w:h="16838"/>
          <w:pgMar w:top="2098" w:right="1474" w:bottom="1985" w:left="1588" w:header="851" w:footer="992" w:gutter="0"/>
          <w:pgNumType w:fmt="decimal"/>
          <w:cols w:space="720" w:num="1"/>
          <w:titlePg/>
          <w:docGrid w:type="linesAndChars" w:linePitch="579" w:charSpace="-849"/>
        </w:sectPr>
      </w:pPr>
    </w:p>
    <w:p>
      <w:pPr>
        <w:spacing w:line="600" w:lineRule="exact"/>
        <w:rPr>
          <w:rFonts w:hint="eastAsia" w:hAnsi="Times New Roman" w:eastAsia="仿宋_GB2312" w:cs="Times New Roman"/>
          <w:color w:val="auto"/>
          <w:szCs w:val="28"/>
          <w:lang w:eastAsia="zh-CN"/>
        </w:rPr>
      </w:pPr>
      <w:r>
        <w:rPr>
          <w:rFonts w:hint="eastAsia" w:hAnsi="Times New Roman" w:cs="Times New Roman"/>
          <w:color w:val="auto"/>
          <w:szCs w:val="28"/>
        </w:rPr>
        <w:t>附件</w:t>
      </w:r>
      <w:r>
        <w:rPr>
          <w:rFonts w:hint="eastAsia" w:hAnsi="Times New Roman" w:cs="Times New Roman"/>
          <w:color w:val="auto"/>
          <w:szCs w:val="28"/>
          <w:lang w:val="en-US" w:eastAsia="zh-CN"/>
        </w:rPr>
        <w:t>4</w:t>
      </w:r>
    </w:p>
    <w:p>
      <w:pPr>
        <w:jc w:val="center"/>
        <w:rPr>
          <w:rFonts w:hint="eastAsia" w:ascii="方正小标宋简体" w:hAnsi="Times New Roman" w:eastAsia="方正小标宋简体" w:cs="Times New Roman"/>
          <w:color w:val="auto"/>
          <w:sz w:val="44"/>
          <w:szCs w:val="44"/>
          <w:lang w:eastAsia="zh-CN"/>
        </w:rPr>
      </w:pPr>
      <w:r>
        <w:rPr>
          <w:rFonts w:hint="eastAsia" w:ascii="方正小标宋简体" w:hAnsi="Times New Roman" w:eastAsia="方正小标宋简体" w:cs="Times New Roman"/>
          <w:color w:val="auto"/>
          <w:sz w:val="44"/>
          <w:szCs w:val="44"/>
        </w:rPr>
        <w:t>工程建设项目资金使用情况明细表</w:t>
      </w:r>
      <w:r>
        <w:rPr>
          <w:rFonts w:hint="eastAsia" w:ascii="方正小标宋简体" w:hAnsi="Times New Roman" w:eastAsia="方正小标宋简体" w:cs="Times New Roman"/>
          <w:color w:val="auto"/>
          <w:sz w:val="44"/>
          <w:szCs w:val="44"/>
          <w:lang w:eastAsia="zh-CN"/>
        </w:rPr>
        <w:t>（式样）</w:t>
      </w:r>
    </w:p>
    <w:p>
      <w:pPr>
        <w:spacing w:line="0" w:lineRule="atLeast"/>
        <w:ind w:right="-271" w:rightChars="-86"/>
        <w:rPr>
          <w:rFonts w:hAnsi="Times New Roman" w:cs="Times New Roman"/>
          <w:color w:val="auto"/>
          <w:sz w:val="24"/>
          <w:szCs w:val="24"/>
        </w:rPr>
      </w:pPr>
      <w:r>
        <w:rPr>
          <w:rFonts w:hint="eastAsia" w:hAnsi="Times New Roman" w:cs="Times New Roman"/>
          <w:color w:val="auto"/>
          <w:sz w:val="24"/>
          <w:szCs w:val="24"/>
        </w:rPr>
        <w:t>项目名称：                                                                      填报日期：20</w:t>
      </w:r>
      <w:r>
        <w:rPr>
          <w:rFonts w:hint="eastAsia" w:hAnsi="Times New Roman" w:cs="Times New Roman"/>
          <w:color w:val="auto"/>
          <w:sz w:val="24"/>
          <w:szCs w:val="24"/>
          <w:lang w:val="en-US" w:eastAsia="zh-CN"/>
        </w:rPr>
        <w:t xml:space="preserve">   </w:t>
      </w:r>
      <w:r>
        <w:rPr>
          <w:rFonts w:hint="eastAsia" w:hAnsi="Times New Roman" w:cs="Times New Roman"/>
          <w:color w:val="auto"/>
          <w:sz w:val="24"/>
          <w:szCs w:val="24"/>
        </w:rPr>
        <w:t>年     月     日</w:t>
      </w:r>
    </w:p>
    <w:p>
      <w:pPr>
        <w:spacing w:line="0" w:lineRule="atLeast"/>
        <w:ind w:right="-271" w:rightChars="-86"/>
        <w:rPr>
          <w:rFonts w:hAnsi="Times New Roman" w:cs="Times New Roman"/>
          <w:color w:val="auto"/>
          <w:sz w:val="24"/>
          <w:szCs w:val="24"/>
        </w:rPr>
      </w:pPr>
      <w:r>
        <w:rPr>
          <w:rFonts w:hint="eastAsia" w:hAnsi="Times New Roman" w:cs="Times New Roman"/>
          <w:color w:val="auto"/>
          <w:sz w:val="24"/>
          <w:szCs w:val="24"/>
        </w:rPr>
        <w:t>建设单位：                                                   联系人：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401"/>
        <w:gridCol w:w="2575"/>
        <w:gridCol w:w="3489"/>
        <w:gridCol w:w="1843"/>
        <w:gridCol w:w="1418"/>
        <w:gridCol w:w="1438"/>
        <w:gridCol w:w="1376"/>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57" w:type="dxa"/>
            <w:gridSpan w:val="3"/>
            <w:vMerge w:val="restart"/>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资金使用分类</w:t>
            </w:r>
          </w:p>
        </w:tc>
        <w:tc>
          <w:tcPr>
            <w:tcW w:w="3489" w:type="dxa"/>
            <w:vMerge w:val="restart"/>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企业名称</w:t>
            </w:r>
          </w:p>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（施工许可证号）</w:t>
            </w:r>
          </w:p>
        </w:tc>
        <w:tc>
          <w:tcPr>
            <w:tcW w:w="1843" w:type="dxa"/>
            <w:vMerge w:val="restart"/>
            <w:vAlign w:val="center"/>
          </w:tcPr>
          <w:p>
            <w:pPr>
              <w:spacing w:line="0" w:lineRule="atLeast"/>
              <w:ind w:right="44" w:rightChars="14"/>
              <w:jc w:val="center"/>
              <w:rPr>
                <w:rFonts w:hAnsi="Times New Roman" w:cs="Times New Roman"/>
                <w:color w:val="auto"/>
                <w:sz w:val="24"/>
                <w:szCs w:val="24"/>
              </w:rPr>
            </w:pPr>
            <w:r>
              <w:rPr>
                <w:rFonts w:hint="eastAsia" w:hAnsi="Times New Roman" w:cs="Times New Roman"/>
                <w:color w:val="auto"/>
                <w:sz w:val="24"/>
                <w:szCs w:val="24"/>
              </w:rPr>
              <w:t>工程进度</w:t>
            </w:r>
          </w:p>
        </w:tc>
        <w:tc>
          <w:tcPr>
            <w:tcW w:w="5859" w:type="dxa"/>
            <w:gridSpan w:val="4"/>
            <w:tcBorders>
              <w:bottom w:val="nil"/>
            </w:tcBorders>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457" w:type="dxa"/>
            <w:gridSpan w:val="3"/>
            <w:vMerge w:val="continue"/>
            <w:tcBorders>
              <w:bottom w:val="single" w:color="auto" w:sz="4" w:space="0"/>
            </w:tcBorders>
            <w:vAlign w:val="center"/>
          </w:tcPr>
          <w:p>
            <w:pPr>
              <w:spacing w:line="0" w:lineRule="atLeast"/>
              <w:ind w:right="-271" w:rightChars="-86"/>
              <w:jc w:val="center"/>
              <w:rPr>
                <w:rFonts w:hAnsi="Times New Roman" w:cs="Times New Roman"/>
                <w:color w:val="auto"/>
                <w:sz w:val="24"/>
                <w:szCs w:val="24"/>
              </w:rPr>
            </w:pPr>
          </w:p>
        </w:tc>
        <w:tc>
          <w:tcPr>
            <w:tcW w:w="3489" w:type="dxa"/>
            <w:vMerge w:val="continue"/>
            <w:vAlign w:val="center"/>
          </w:tcPr>
          <w:p>
            <w:pPr>
              <w:spacing w:line="0" w:lineRule="atLeast"/>
              <w:ind w:right="-271" w:rightChars="-86"/>
              <w:jc w:val="center"/>
              <w:rPr>
                <w:rFonts w:hAnsi="Times New Roman" w:cs="Times New Roman"/>
                <w:color w:val="auto"/>
                <w:sz w:val="24"/>
                <w:szCs w:val="24"/>
              </w:rPr>
            </w:pPr>
          </w:p>
        </w:tc>
        <w:tc>
          <w:tcPr>
            <w:tcW w:w="1843" w:type="dxa"/>
            <w:vMerge w:val="continue"/>
            <w:vAlign w:val="center"/>
          </w:tcPr>
          <w:p>
            <w:pPr>
              <w:spacing w:line="0" w:lineRule="atLeast"/>
              <w:ind w:right="-271" w:rightChars="-86"/>
              <w:jc w:val="center"/>
              <w:rPr>
                <w:rFonts w:hAnsi="Times New Roman" w:cs="Times New Roman"/>
                <w:color w:val="auto"/>
                <w:sz w:val="24"/>
                <w:szCs w:val="24"/>
              </w:rPr>
            </w:pPr>
          </w:p>
        </w:tc>
        <w:tc>
          <w:tcPr>
            <w:tcW w:w="1418" w:type="dxa"/>
            <w:tcBorders>
              <w:top w:val="nil"/>
            </w:tcBorders>
            <w:vAlign w:val="center"/>
          </w:tcPr>
          <w:p>
            <w:pPr>
              <w:spacing w:line="0" w:lineRule="atLeast"/>
              <w:ind w:right="-56" w:rightChars="-18"/>
              <w:jc w:val="center"/>
              <w:rPr>
                <w:rFonts w:hAnsi="Times New Roman" w:cs="Times New Roman"/>
                <w:color w:val="auto"/>
                <w:sz w:val="24"/>
                <w:szCs w:val="24"/>
              </w:rPr>
            </w:pPr>
          </w:p>
        </w:tc>
        <w:tc>
          <w:tcPr>
            <w:tcW w:w="1438" w:type="dxa"/>
            <w:tcBorders>
              <w:top w:val="single" w:color="auto" w:sz="4" w:space="0"/>
            </w:tcBorders>
            <w:vAlign w:val="center"/>
          </w:tcPr>
          <w:p>
            <w:pPr>
              <w:spacing w:line="0" w:lineRule="atLeast"/>
              <w:ind w:left="-297" w:leftChars="-94" w:right="-271" w:rightChars="-86"/>
              <w:jc w:val="center"/>
              <w:rPr>
                <w:rFonts w:hAnsi="Times New Roman" w:cs="Times New Roman"/>
                <w:color w:val="auto"/>
                <w:sz w:val="24"/>
                <w:szCs w:val="24"/>
              </w:rPr>
            </w:pPr>
            <w:r>
              <w:rPr>
                <w:rFonts w:hint="eastAsia" w:hAnsi="Times New Roman" w:cs="Times New Roman"/>
                <w:color w:val="auto"/>
                <w:sz w:val="24"/>
                <w:szCs w:val="24"/>
              </w:rPr>
              <w:t>其中：</w:t>
            </w:r>
          </w:p>
          <w:p>
            <w:pPr>
              <w:spacing w:line="0" w:lineRule="atLeast"/>
              <w:ind w:left="-297" w:leftChars="-94" w:right="-173" w:rightChars="-55"/>
              <w:jc w:val="center"/>
              <w:rPr>
                <w:rFonts w:hAnsi="Times New Roman" w:cs="Times New Roman"/>
                <w:color w:val="auto"/>
                <w:sz w:val="24"/>
                <w:szCs w:val="24"/>
              </w:rPr>
            </w:pPr>
            <w:r>
              <w:rPr>
                <w:rFonts w:hint="eastAsia" w:hAnsi="Times New Roman" w:cs="Times New Roman"/>
                <w:color w:val="auto"/>
                <w:sz w:val="24"/>
                <w:szCs w:val="24"/>
              </w:rPr>
              <w:t>已支付总额</w:t>
            </w:r>
          </w:p>
        </w:tc>
        <w:tc>
          <w:tcPr>
            <w:tcW w:w="1376" w:type="dxa"/>
            <w:tcBorders>
              <w:top w:val="single" w:color="auto" w:sz="4" w:space="0"/>
            </w:tcBorders>
            <w:vAlign w:val="center"/>
          </w:tcPr>
          <w:p>
            <w:pPr>
              <w:spacing w:line="0" w:lineRule="atLeast"/>
              <w:ind w:left="-2" w:right="34" w:rightChars="11"/>
              <w:jc w:val="center"/>
              <w:rPr>
                <w:rFonts w:hAnsi="Times New Roman" w:cs="Times New Roman"/>
                <w:color w:val="auto"/>
                <w:sz w:val="24"/>
                <w:szCs w:val="24"/>
              </w:rPr>
            </w:pPr>
            <w:r>
              <w:rPr>
                <w:rFonts w:hint="eastAsia" w:hAnsi="Times New Roman" w:cs="Times New Roman"/>
                <w:color w:val="auto"/>
                <w:sz w:val="24"/>
                <w:szCs w:val="24"/>
              </w:rPr>
              <w:t>其中：人工费用预算</w:t>
            </w:r>
          </w:p>
        </w:tc>
        <w:tc>
          <w:tcPr>
            <w:tcW w:w="1627" w:type="dxa"/>
            <w:tcBorders>
              <w:top w:val="single" w:color="auto" w:sz="4" w:space="0"/>
            </w:tcBorders>
            <w:vAlign w:val="center"/>
          </w:tcPr>
          <w:p>
            <w:pPr>
              <w:spacing w:line="0" w:lineRule="atLeast"/>
              <w:ind w:left="-15" w:leftChars="-5" w:right="-12" w:firstLine="14" w:firstLineChars="6"/>
              <w:jc w:val="center"/>
              <w:rPr>
                <w:rFonts w:hAnsi="Times New Roman" w:cs="Times New Roman"/>
                <w:color w:val="auto"/>
                <w:sz w:val="24"/>
                <w:szCs w:val="24"/>
              </w:rPr>
            </w:pPr>
            <w:r>
              <w:rPr>
                <w:rFonts w:hint="eastAsia" w:hAnsi="Times New Roman" w:cs="Times New Roman"/>
                <w:color w:val="auto"/>
                <w:sz w:val="24"/>
                <w:szCs w:val="24"/>
              </w:rPr>
              <w:t>其中：农民工工工资已支付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457" w:type="dxa"/>
            <w:gridSpan w:val="3"/>
            <w:tcBorders>
              <w:bottom w:val="nil"/>
            </w:tcBorders>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立项批复总金额</w:t>
            </w:r>
          </w:p>
        </w:tc>
        <w:tc>
          <w:tcPr>
            <w:tcW w:w="3489"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w:t>
            </w:r>
          </w:p>
        </w:tc>
        <w:tc>
          <w:tcPr>
            <w:tcW w:w="1843"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w:t>
            </w: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97" w:leftChars="-94" w:right="-97" w:rightChars="-31"/>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81" w:type="dxa"/>
            <w:vMerge w:val="restart"/>
            <w:tcBorders>
              <w:top w:val="nil"/>
            </w:tcBorders>
            <w:vAlign w:val="center"/>
          </w:tcPr>
          <w:p>
            <w:pPr>
              <w:spacing w:line="0" w:lineRule="atLeast"/>
              <w:ind w:right="-271" w:rightChars="-86"/>
              <w:jc w:val="center"/>
              <w:rPr>
                <w:rFonts w:hAnsi="Times New Roman" w:cs="Times New Roman"/>
                <w:color w:val="auto"/>
                <w:sz w:val="24"/>
                <w:szCs w:val="24"/>
              </w:rPr>
            </w:pPr>
          </w:p>
        </w:tc>
        <w:tc>
          <w:tcPr>
            <w:tcW w:w="2976" w:type="dxa"/>
            <w:gridSpan w:val="2"/>
            <w:tcBorders>
              <w:top w:val="single" w:color="auto" w:sz="4" w:space="0"/>
              <w:bottom w:val="nil"/>
            </w:tcBorders>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施工总承包</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97" w:leftChars="-94" w:right="-97" w:rightChars="-31"/>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restart"/>
            <w:tcBorders>
              <w:top w:val="nil"/>
            </w:tcBorders>
            <w:vAlign w:val="center"/>
          </w:tcPr>
          <w:p>
            <w:pPr>
              <w:spacing w:line="0" w:lineRule="atLeast"/>
              <w:ind w:right="-271" w:rightChars="-86"/>
              <w:jc w:val="center"/>
              <w:rPr>
                <w:rFonts w:hAnsi="Times New Roman" w:cs="Times New Roman"/>
                <w:color w:val="auto"/>
                <w:sz w:val="24"/>
                <w:szCs w:val="24"/>
              </w:rPr>
            </w:pPr>
          </w:p>
        </w:tc>
        <w:tc>
          <w:tcPr>
            <w:tcW w:w="2575"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其中：专业分包1</w:t>
            </w:r>
          </w:p>
        </w:tc>
        <w:tc>
          <w:tcPr>
            <w:tcW w:w="3489" w:type="dxa"/>
            <w:vAlign w:val="center"/>
          </w:tcPr>
          <w:p>
            <w:pPr>
              <w:spacing w:line="0" w:lineRule="atLeast"/>
              <w:ind w:right="-271" w:rightChars="-86"/>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continue"/>
            <w:vAlign w:val="center"/>
          </w:tcPr>
          <w:p>
            <w:pPr>
              <w:spacing w:line="0" w:lineRule="atLeast"/>
              <w:ind w:right="-271" w:rightChars="-86"/>
              <w:jc w:val="center"/>
              <w:rPr>
                <w:rFonts w:hAnsi="Times New Roman" w:cs="Times New Roman"/>
                <w:color w:val="auto"/>
                <w:sz w:val="24"/>
                <w:szCs w:val="24"/>
              </w:rPr>
            </w:pPr>
          </w:p>
        </w:tc>
        <w:tc>
          <w:tcPr>
            <w:tcW w:w="2575"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 xml:space="preserve">      专业分包2</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continue"/>
            <w:vAlign w:val="center"/>
          </w:tcPr>
          <w:p>
            <w:pPr>
              <w:spacing w:line="0" w:lineRule="atLeast"/>
              <w:ind w:right="-271" w:rightChars="-86"/>
              <w:jc w:val="center"/>
              <w:rPr>
                <w:rFonts w:hAnsi="Times New Roman" w:cs="Times New Roman"/>
                <w:color w:val="auto"/>
                <w:sz w:val="24"/>
                <w:szCs w:val="24"/>
              </w:rPr>
            </w:pPr>
          </w:p>
        </w:tc>
        <w:tc>
          <w:tcPr>
            <w:tcW w:w="2575"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 xml:space="preserve">      劳务分包1</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continue"/>
            <w:vAlign w:val="center"/>
          </w:tcPr>
          <w:p>
            <w:pPr>
              <w:spacing w:line="0" w:lineRule="atLeast"/>
              <w:ind w:right="-271" w:rightChars="-86"/>
              <w:jc w:val="center"/>
              <w:rPr>
                <w:rFonts w:hAnsi="Times New Roman" w:cs="Times New Roman"/>
                <w:color w:val="auto"/>
                <w:sz w:val="24"/>
                <w:szCs w:val="24"/>
              </w:rPr>
            </w:pPr>
          </w:p>
        </w:tc>
        <w:tc>
          <w:tcPr>
            <w:tcW w:w="2575"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 xml:space="preserve">      劳务分包2</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continue"/>
            <w:tcBorders>
              <w:bottom w:val="single" w:color="auto" w:sz="4" w:space="0"/>
            </w:tcBorders>
            <w:vAlign w:val="center"/>
          </w:tcPr>
          <w:p>
            <w:pPr>
              <w:spacing w:line="0" w:lineRule="atLeast"/>
              <w:ind w:right="-271" w:rightChars="-86"/>
              <w:jc w:val="center"/>
              <w:rPr>
                <w:rFonts w:hAnsi="Times New Roman" w:cs="Times New Roman"/>
                <w:color w:val="auto"/>
                <w:sz w:val="24"/>
                <w:szCs w:val="24"/>
              </w:rPr>
            </w:pPr>
          </w:p>
        </w:tc>
        <w:tc>
          <w:tcPr>
            <w:tcW w:w="2575" w:type="dxa"/>
            <w:tcBorders>
              <w:bottom w:val="single" w:color="auto" w:sz="4" w:space="0"/>
            </w:tcBorders>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2976" w:type="dxa"/>
            <w:gridSpan w:val="2"/>
            <w:tcBorders>
              <w:bottom w:val="single" w:color="auto" w:sz="4" w:space="0"/>
            </w:tcBorders>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专业工程发包1</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2976" w:type="dxa"/>
            <w:gridSpan w:val="2"/>
            <w:tcBorders>
              <w:bottom w:val="single" w:color="auto" w:sz="4" w:space="0"/>
            </w:tcBorders>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2976" w:type="dxa"/>
            <w:gridSpan w:val="2"/>
            <w:tcBorders>
              <w:bottom w:val="nil"/>
            </w:tcBorders>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其他工程、项目</w:t>
            </w:r>
          </w:p>
        </w:tc>
        <w:tc>
          <w:tcPr>
            <w:tcW w:w="3489"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w:t>
            </w:r>
          </w:p>
        </w:tc>
        <w:tc>
          <w:tcPr>
            <w:tcW w:w="1843"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w:t>
            </w: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restart"/>
            <w:tcBorders>
              <w:top w:val="nil"/>
            </w:tcBorders>
            <w:vAlign w:val="center"/>
          </w:tcPr>
          <w:p>
            <w:pPr>
              <w:spacing w:line="0" w:lineRule="atLeast"/>
              <w:ind w:right="-271" w:rightChars="-86"/>
              <w:jc w:val="center"/>
              <w:rPr>
                <w:rFonts w:hAnsi="Times New Roman" w:cs="Times New Roman"/>
                <w:color w:val="auto"/>
                <w:sz w:val="24"/>
                <w:szCs w:val="24"/>
              </w:rPr>
            </w:pPr>
          </w:p>
        </w:tc>
        <w:tc>
          <w:tcPr>
            <w:tcW w:w="2575" w:type="dxa"/>
            <w:tcBorders>
              <w:top w:val="single" w:color="auto" w:sz="4" w:space="0"/>
            </w:tcBorders>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1、</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continue"/>
            <w:vAlign w:val="center"/>
          </w:tcPr>
          <w:p>
            <w:pPr>
              <w:spacing w:line="0" w:lineRule="atLeast"/>
              <w:ind w:right="-271" w:rightChars="-86"/>
              <w:jc w:val="center"/>
              <w:rPr>
                <w:rFonts w:hAnsi="Times New Roman" w:cs="Times New Roman"/>
                <w:color w:val="auto"/>
                <w:sz w:val="24"/>
                <w:szCs w:val="24"/>
              </w:rPr>
            </w:pPr>
          </w:p>
        </w:tc>
        <w:tc>
          <w:tcPr>
            <w:tcW w:w="2575"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2、</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continue"/>
            <w:vAlign w:val="center"/>
          </w:tcPr>
          <w:p>
            <w:pPr>
              <w:spacing w:line="0" w:lineRule="atLeast"/>
              <w:ind w:right="-271" w:rightChars="-86"/>
              <w:jc w:val="center"/>
              <w:rPr>
                <w:rFonts w:hAnsi="Times New Roman" w:cs="Times New Roman"/>
                <w:color w:val="auto"/>
                <w:sz w:val="24"/>
                <w:szCs w:val="24"/>
              </w:rPr>
            </w:pPr>
          </w:p>
        </w:tc>
        <w:tc>
          <w:tcPr>
            <w:tcW w:w="2575"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3、</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continue"/>
            <w:vAlign w:val="center"/>
          </w:tcPr>
          <w:p>
            <w:pPr>
              <w:spacing w:line="0" w:lineRule="atLeast"/>
              <w:ind w:right="-271" w:rightChars="-86"/>
              <w:jc w:val="center"/>
              <w:rPr>
                <w:rFonts w:hAnsi="Times New Roman" w:cs="Times New Roman"/>
                <w:color w:val="auto"/>
                <w:sz w:val="24"/>
                <w:szCs w:val="24"/>
              </w:rPr>
            </w:pPr>
          </w:p>
        </w:tc>
        <w:tc>
          <w:tcPr>
            <w:tcW w:w="2575"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4、</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continue"/>
            <w:vAlign w:val="center"/>
          </w:tcPr>
          <w:p>
            <w:pPr>
              <w:spacing w:line="0" w:lineRule="atLeast"/>
              <w:ind w:right="-271" w:rightChars="-86"/>
              <w:jc w:val="center"/>
              <w:rPr>
                <w:rFonts w:hAnsi="Times New Roman" w:cs="Times New Roman"/>
                <w:color w:val="auto"/>
                <w:sz w:val="24"/>
                <w:szCs w:val="24"/>
              </w:rPr>
            </w:pPr>
          </w:p>
        </w:tc>
        <w:tc>
          <w:tcPr>
            <w:tcW w:w="2575"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5、</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 w:type="dxa"/>
            <w:vMerge w:val="continue"/>
            <w:vAlign w:val="center"/>
          </w:tcPr>
          <w:p>
            <w:pPr>
              <w:spacing w:line="0" w:lineRule="atLeast"/>
              <w:ind w:right="-271" w:rightChars="-86"/>
              <w:jc w:val="center"/>
              <w:rPr>
                <w:rFonts w:hAnsi="Times New Roman" w:cs="Times New Roman"/>
                <w:color w:val="auto"/>
                <w:sz w:val="24"/>
                <w:szCs w:val="24"/>
              </w:rPr>
            </w:pPr>
          </w:p>
        </w:tc>
        <w:tc>
          <w:tcPr>
            <w:tcW w:w="401" w:type="dxa"/>
            <w:vMerge w:val="continue"/>
            <w:vAlign w:val="center"/>
          </w:tcPr>
          <w:p>
            <w:pPr>
              <w:spacing w:line="0" w:lineRule="atLeast"/>
              <w:ind w:right="-271" w:rightChars="-86"/>
              <w:jc w:val="center"/>
              <w:rPr>
                <w:rFonts w:hAnsi="Times New Roman" w:cs="Times New Roman"/>
                <w:color w:val="auto"/>
                <w:sz w:val="24"/>
                <w:szCs w:val="24"/>
              </w:rPr>
            </w:pPr>
          </w:p>
        </w:tc>
        <w:tc>
          <w:tcPr>
            <w:tcW w:w="2575" w:type="dxa"/>
            <w:vAlign w:val="center"/>
          </w:tcPr>
          <w:p>
            <w:pPr>
              <w:spacing w:line="0" w:lineRule="atLeast"/>
              <w:ind w:right="-271" w:rightChars="-86"/>
              <w:jc w:val="center"/>
              <w:rPr>
                <w:rFonts w:hAnsi="Times New Roman" w:cs="Times New Roman"/>
                <w:color w:val="auto"/>
                <w:sz w:val="24"/>
                <w:szCs w:val="24"/>
              </w:rPr>
            </w:pPr>
            <w:r>
              <w:rPr>
                <w:rFonts w:hint="eastAsia" w:hAnsi="Times New Roman" w:cs="Times New Roman"/>
                <w:color w:val="auto"/>
                <w:sz w:val="24"/>
                <w:szCs w:val="24"/>
              </w:rPr>
              <w:t>……</w:t>
            </w:r>
          </w:p>
        </w:tc>
        <w:tc>
          <w:tcPr>
            <w:tcW w:w="3489" w:type="dxa"/>
            <w:vAlign w:val="center"/>
          </w:tcPr>
          <w:p>
            <w:pPr>
              <w:spacing w:line="0" w:lineRule="atLeast"/>
              <w:ind w:right="-271" w:rightChars="-86"/>
              <w:jc w:val="center"/>
              <w:rPr>
                <w:rFonts w:hAnsi="Times New Roman" w:cs="Times New Roman"/>
                <w:color w:val="auto"/>
                <w:sz w:val="24"/>
                <w:szCs w:val="24"/>
              </w:rPr>
            </w:pPr>
          </w:p>
        </w:tc>
        <w:tc>
          <w:tcPr>
            <w:tcW w:w="1843" w:type="dxa"/>
            <w:vAlign w:val="center"/>
          </w:tcPr>
          <w:p>
            <w:pPr>
              <w:spacing w:line="0" w:lineRule="atLeast"/>
              <w:ind w:right="-271" w:rightChars="-86"/>
              <w:jc w:val="center"/>
              <w:rPr>
                <w:rFonts w:hAnsi="Times New Roman" w:cs="Times New Roman"/>
                <w:color w:val="auto"/>
                <w:sz w:val="24"/>
                <w:szCs w:val="24"/>
              </w:rPr>
            </w:pPr>
          </w:p>
        </w:tc>
        <w:tc>
          <w:tcPr>
            <w:tcW w:w="1418" w:type="dxa"/>
            <w:vAlign w:val="center"/>
          </w:tcPr>
          <w:p>
            <w:pPr>
              <w:spacing w:line="0" w:lineRule="atLeast"/>
              <w:ind w:right="-56" w:rightChars="-18"/>
              <w:jc w:val="center"/>
              <w:rPr>
                <w:rFonts w:hAnsi="Times New Roman" w:cs="Times New Roman"/>
                <w:color w:val="auto"/>
                <w:sz w:val="24"/>
                <w:szCs w:val="24"/>
              </w:rPr>
            </w:pPr>
          </w:p>
        </w:tc>
        <w:tc>
          <w:tcPr>
            <w:tcW w:w="1438" w:type="dxa"/>
            <w:vAlign w:val="center"/>
          </w:tcPr>
          <w:p>
            <w:pPr>
              <w:spacing w:line="0" w:lineRule="atLeast"/>
              <w:ind w:right="-271" w:rightChars="-86"/>
              <w:jc w:val="center"/>
              <w:rPr>
                <w:rFonts w:hAnsi="Times New Roman" w:cs="Times New Roman"/>
                <w:color w:val="auto"/>
                <w:sz w:val="24"/>
                <w:szCs w:val="24"/>
              </w:rPr>
            </w:pPr>
          </w:p>
        </w:tc>
        <w:tc>
          <w:tcPr>
            <w:tcW w:w="1376" w:type="dxa"/>
            <w:vAlign w:val="center"/>
          </w:tcPr>
          <w:p>
            <w:pPr>
              <w:spacing w:line="0" w:lineRule="atLeast"/>
              <w:ind w:left="2" w:leftChars="-94" w:right="-97" w:rightChars="-31" w:hanging="299" w:hangingChars="127"/>
              <w:jc w:val="center"/>
              <w:rPr>
                <w:rFonts w:hAnsi="Times New Roman" w:cs="Times New Roman"/>
                <w:color w:val="auto"/>
                <w:sz w:val="24"/>
                <w:szCs w:val="24"/>
              </w:rPr>
            </w:pPr>
          </w:p>
        </w:tc>
        <w:tc>
          <w:tcPr>
            <w:tcW w:w="1627" w:type="dxa"/>
            <w:vAlign w:val="center"/>
          </w:tcPr>
          <w:p>
            <w:pPr>
              <w:spacing w:line="0" w:lineRule="atLeast"/>
              <w:ind w:left="2" w:leftChars="-94" w:right="-167" w:rightChars="-53" w:hanging="299" w:hangingChars="127"/>
              <w:jc w:val="center"/>
              <w:rPr>
                <w:rFonts w:hAnsi="Times New Roman" w:cs="Times New Roman"/>
                <w:color w:val="auto"/>
                <w:sz w:val="24"/>
                <w:szCs w:val="24"/>
              </w:rPr>
            </w:pPr>
          </w:p>
        </w:tc>
      </w:tr>
    </w:tbl>
    <w:p>
      <w:pPr>
        <w:pStyle w:val="6"/>
        <w:rPr>
          <w:color w:val="auto"/>
        </w:rPr>
      </w:pPr>
    </w:p>
    <w:p>
      <w:pPr>
        <w:pStyle w:val="6"/>
        <w:rPr>
          <w:color w:val="auto"/>
        </w:rPr>
        <w:sectPr>
          <w:pgSz w:w="16838" w:h="11906" w:orient="landscape"/>
          <w:pgMar w:top="1134" w:right="1701" w:bottom="1134" w:left="1701" w:header="851" w:footer="992" w:gutter="0"/>
          <w:pgNumType w:fmt="decimal"/>
          <w:cols w:space="0" w:num="1"/>
          <w:titlePg/>
          <w:rtlGutter w:val="0"/>
          <w:docGrid w:type="linesAndChars" w:linePitch="589" w:charSpace="-849"/>
        </w:sectPr>
      </w:pPr>
    </w:p>
    <w:tbl>
      <w:tblPr>
        <w:tblStyle w:val="7"/>
        <w:tblpPr w:leftFromText="180" w:rightFromText="180" w:vertAnchor="text" w:horzAnchor="margin" w:tblpXSpec="center" w:tblpY="18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664"/>
        <w:gridCol w:w="335"/>
        <w:gridCol w:w="2143"/>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200" w:type="dxa"/>
            <w:tcBorders>
              <w:top w:val="single" w:color="auto" w:sz="8" w:space="0"/>
              <w:left w:val="single" w:color="auto" w:sz="8" w:space="0"/>
              <w:bottom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施工企业</w:t>
            </w:r>
          </w:p>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（申请单位）</w:t>
            </w:r>
          </w:p>
        </w:tc>
        <w:tc>
          <w:tcPr>
            <w:tcW w:w="2999"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c>
          <w:tcPr>
            <w:tcW w:w="2143" w:type="dxa"/>
            <w:tcBorders>
              <w:top w:val="single" w:color="auto" w:sz="8" w:space="0"/>
              <w:left w:val="single" w:color="auto" w:sz="8" w:space="0"/>
              <w:bottom w:val="single" w:color="auto" w:sz="8" w:space="0"/>
              <w:right w:val="single" w:color="auto" w:sz="8" w:space="0"/>
            </w:tcBorders>
            <w:vAlign w:val="center"/>
          </w:tcPr>
          <w:p>
            <w:pPr>
              <w:spacing w:line="0" w:lineRule="atLeast"/>
              <w:ind w:right="7"/>
              <w:jc w:val="center"/>
              <w:rPr>
                <w:rFonts w:hAnsi="Times New Roman" w:cs="Times New Roman"/>
                <w:color w:val="auto"/>
                <w:sz w:val="24"/>
                <w:szCs w:val="24"/>
              </w:rPr>
            </w:pPr>
            <w:r>
              <w:rPr>
                <w:rFonts w:hint="eastAsia" w:hAnsi="Times New Roman" w:cs="Times New Roman"/>
                <w:color w:val="auto"/>
                <w:sz w:val="24"/>
                <w:szCs w:val="24"/>
              </w:rPr>
              <w:t>地   址</w:t>
            </w:r>
          </w:p>
        </w:tc>
        <w:tc>
          <w:tcPr>
            <w:tcW w:w="2666" w:type="dxa"/>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00" w:type="dxa"/>
            <w:tcBorders>
              <w:top w:val="single" w:color="auto" w:sz="8" w:space="0"/>
              <w:left w:val="single" w:color="auto" w:sz="8" w:space="0"/>
              <w:bottom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法定代表人</w:t>
            </w:r>
          </w:p>
        </w:tc>
        <w:tc>
          <w:tcPr>
            <w:tcW w:w="2999"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c>
          <w:tcPr>
            <w:tcW w:w="2143" w:type="dxa"/>
            <w:tcBorders>
              <w:top w:val="single" w:color="auto" w:sz="8" w:space="0"/>
              <w:left w:val="single" w:color="auto" w:sz="8" w:space="0"/>
              <w:bottom w:val="single" w:color="auto" w:sz="8" w:space="0"/>
              <w:right w:val="single" w:color="auto" w:sz="8" w:space="0"/>
            </w:tcBorders>
            <w:vAlign w:val="center"/>
          </w:tcPr>
          <w:p>
            <w:pPr>
              <w:spacing w:line="0" w:lineRule="atLeast"/>
              <w:ind w:right="7"/>
              <w:jc w:val="center"/>
              <w:rPr>
                <w:rFonts w:hAnsi="Times New Roman" w:cs="Times New Roman"/>
                <w:color w:val="auto"/>
                <w:sz w:val="24"/>
                <w:szCs w:val="24"/>
              </w:rPr>
            </w:pPr>
            <w:r>
              <w:rPr>
                <w:rFonts w:hint="eastAsia" w:hAnsi="Times New Roman" w:cs="Times New Roman"/>
                <w:color w:val="auto"/>
                <w:sz w:val="24"/>
                <w:szCs w:val="24"/>
              </w:rPr>
              <w:t>电   话</w:t>
            </w:r>
          </w:p>
        </w:tc>
        <w:tc>
          <w:tcPr>
            <w:tcW w:w="2666" w:type="dxa"/>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200" w:type="dxa"/>
            <w:tcBorders>
              <w:top w:val="single" w:color="auto" w:sz="8" w:space="0"/>
              <w:left w:val="single" w:color="auto" w:sz="8" w:space="0"/>
              <w:bottom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经办人</w:t>
            </w:r>
          </w:p>
        </w:tc>
        <w:tc>
          <w:tcPr>
            <w:tcW w:w="2999"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c>
          <w:tcPr>
            <w:tcW w:w="2143" w:type="dxa"/>
            <w:tcBorders>
              <w:top w:val="single" w:color="auto" w:sz="8" w:space="0"/>
              <w:left w:val="single" w:color="auto" w:sz="8" w:space="0"/>
              <w:bottom w:val="single" w:color="auto" w:sz="8" w:space="0"/>
              <w:right w:val="single" w:color="auto" w:sz="8" w:space="0"/>
            </w:tcBorders>
            <w:vAlign w:val="center"/>
          </w:tcPr>
          <w:p>
            <w:pPr>
              <w:spacing w:line="0" w:lineRule="atLeast"/>
              <w:ind w:right="7"/>
              <w:jc w:val="center"/>
              <w:rPr>
                <w:rFonts w:hAnsi="Times New Roman" w:cs="Times New Roman"/>
                <w:color w:val="auto"/>
                <w:sz w:val="24"/>
                <w:szCs w:val="24"/>
              </w:rPr>
            </w:pPr>
            <w:r>
              <w:rPr>
                <w:rFonts w:hint="eastAsia" w:hAnsi="Times New Roman" w:cs="Times New Roman"/>
                <w:color w:val="auto"/>
                <w:sz w:val="24"/>
                <w:szCs w:val="24"/>
              </w:rPr>
              <w:t>电   话</w:t>
            </w:r>
          </w:p>
        </w:tc>
        <w:tc>
          <w:tcPr>
            <w:tcW w:w="2666" w:type="dxa"/>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200" w:type="dxa"/>
            <w:tcBorders>
              <w:top w:val="single" w:color="auto" w:sz="8" w:space="0"/>
              <w:left w:val="single" w:color="auto" w:sz="8" w:space="0"/>
              <w:bottom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账户开户行</w:t>
            </w:r>
          </w:p>
        </w:tc>
        <w:tc>
          <w:tcPr>
            <w:tcW w:w="2999"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c>
          <w:tcPr>
            <w:tcW w:w="2143" w:type="dxa"/>
            <w:tcBorders>
              <w:top w:val="single" w:color="auto" w:sz="8" w:space="0"/>
              <w:left w:val="single" w:color="auto" w:sz="8" w:space="0"/>
              <w:bottom w:val="single" w:color="auto" w:sz="8" w:space="0"/>
              <w:right w:val="single" w:color="auto" w:sz="8" w:space="0"/>
            </w:tcBorders>
            <w:vAlign w:val="center"/>
          </w:tcPr>
          <w:p>
            <w:pPr>
              <w:spacing w:line="0" w:lineRule="atLeast"/>
              <w:ind w:right="7"/>
              <w:jc w:val="center"/>
              <w:rPr>
                <w:rFonts w:hAnsi="Times New Roman" w:cs="Times New Roman"/>
                <w:color w:val="auto"/>
                <w:sz w:val="24"/>
                <w:szCs w:val="24"/>
              </w:rPr>
            </w:pPr>
            <w:r>
              <w:rPr>
                <w:rFonts w:hint="eastAsia" w:hAnsi="Times New Roman" w:cs="Times New Roman"/>
                <w:color w:val="auto"/>
                <w:sz w:val="24"/>
                <w:szCs w:val="24"/>
              </w:rPr>
              <w:t>开户账号</w:t>
            </w:r>
          </w:p>
        </w:tc>
        <w:tc>
          <w:tcPr>
            <w:tcW w:w="2666" w:type="dxa"/>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200" w:type="dxa"/>
            <w:tcBorders>
              <w:top w:val="single" w:color="auto" w:sz="8" w:space="0"/>
              <w:left w:val="single" w:color="auto" w:sz="8" w:space="0"/>
              <w:bottom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建设单位</w:t>
            </w:r>
          </w:p>
        </w:tc>
        <w:tc>
          <w:tcPr>
            <w:tcW w:w="2999"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c>
          <w:tcPr>
            <w:tcW w:w="2143" w:type="dxa"/>
            <w:tcBorders>
              <w:top w:val="single" w:color="auto" w:sz="8" w:space="0"/>
              <w:left w:val="single" w:color="auto" w:sz="8" w:space="0"/>
              <w:bottom w:val="single" w:color="auto" w:sz="8" w:space="0"/>
              <w:right w:val="single" w:color="auto" w:sz="8" w:space="0"/>
            </w:tcBorders>
            <w:vAlign w:val="center"/>
          </w:tcPr>
          <w:p>
            <w:pPr>
              <w:spacing w:line="0" w:lineRule="atLeast"/>
              <w:ind w:right="7"/>
              <w:jc w:val="center"/>
              <w:rPr>
                <w:rFonts w:hAnsi="Times New Roman" w:cs="Times New Roman"/>
                <w:color w:val="auto"/>
                <w:sz w:val="24"/>
                <w:szCs w:val="24"/>
              </w:rPr>
            </w:pPr>
            <w:r>
              <w:rPr>
                <w:rFonts w:hint="eastAsia" w:hAnsi="Times New Roman" w:cs="Times New Roman"/>
                <w:color w:val="auto"/>
                <w:sz w:val="24"/>
                <w:szCs w:val="24"/>
              </w:rPr>
              <w:t>工程项目名称</w:t>
            </w:r>
          </w:p>
        </w:tc>
        <w:tc>
          <w:tcPr>
            <w:tcW w:w="2666" w:type="dxa"/>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200" w:type="dxa"/>
            <w:tcBorders>
              <w:top w:val="single" w:color="auto" w:sz="8" w:space="0"/>
              <w:left w:val="single" w:color="auto" w:sz="8" w:space="0"/>
              <w:bottom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工程项目所在地</w:t>
            </w:r>
          </w:p>
        </w:tc>
        <w:tc>
          <w:tcPr>
            <w:tcW w:w="7808" w:type="dxa"/>
            <w:gridSpan w:val="4"/>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2200" w:type="dxa"/>
            <w:tcBorders>
              <w:top w:val="single" w:color="auto" w:sz="8" w:space="0"/>
              <w:left w:val="single" w:color="auto" w:sz="8" w:space="0"/>
              <w:bottom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开工日期</w:t>
            </w:r>
          </w:p>
        </w:tc>
        <w:tc>
          <w:tcPr>
            <w:tcW w:w="2999"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c>
          <w:tcPr>
            <w:tcW w:w="2143" w:type="dxa"/>
            <w:tcBorders>
              <w:top w:val="single" w:color="auto" w:sz="8" w:space="0"/>
              <w:left w:val="single" w:color="auto" w:sz="8" w:space="0"/>
              <w:bottom w:val="single" w:color="auto" w:sz="8" w:space="0"/>
              <w:right w:val="single" w:color="auto" w:sz="8" w:space="0"/>
            </w:tcBorders>
            <w:vAlign w:val="center"/>
          </w:tcPr>
          <w:p>
            <w:pPr>
              <w:spacing w:line="0" w:lineRule="atLeast"/>
              <w:ind w:right="7"/>
              <w:jc w:val="center"/>
              <w:rPr>
                <w:rFonts w:hAnsi="Times New Roman" w:cs="Times New Roman"/>
                <w:color w:val="auto"/>
                <w:sz w:val="24"/>
                <w:szCs w:val="24"/>
              </w:rPr>
            </w:pPr>
            <w:r>
              <w:rPr>
                <w:rFonts w:hint="eastAsia" w:hAnsi="Times New Roman" w:cs="Times New Roman"/>
                <w:color w:val="auto"/>
                <w:sz w:val="24"/>
                <w:szCs w:val="24"/>
              </w:rPr>
              <w:t>竣工日期</w:t>
            </w:r>
          </w:p>
        </w:tc>
        <w:tc>
          <w:tcPr>
            <w:tcW w:w="2666" w:type="dxa"/>
            <w:tcBorders>
              <w:top w:val="single" w:color="auto" w:sz="8" w:space="0"/>
              <w:left w:val="single" w:color="auto" w:sz="8" w:space="0"/>
              <w:bottom w:val="single" w:color="auto" w:sz="8" w:space="0"/>
              <w:right w:val="single" w:color="auto" w:sz="8" w:space="0"/>
            </w:tcBorders>
            <w:vAlign w:val="center"/>
          </w:tcPr>
          <w:p>
            <w:pPr>
              <w:spacing w:line="0" w:lineRule="atLeast"/>
              <w:ind w:right="-276" w:rightChars="-86"/>
              <w:rPr>
                <w:rFonts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2200" w:type="dxa"/>
            <w:tcBorders>
              <w:top w:val="single" w:color="auto" w:sz="4" w:space="0"/>
              <w:left w:val="single" w:color="auto" w:sz="8" w:space="0"/>
              <w:bottom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申请注销专用账户</w:t>
            </w:r>
          </w:p>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理由和依据</w:t>
            </w:r>
          </w:p>
        </w:tc>
        <w:tc>
          <w:tcPr>
            <w:tcW w:w="7808" w:type="dxa"/>
            <w:gridSpan w:val="4"/>
            <w:tcBorders>
              <w:top w:val="single" w:color="auto" w:sz="4" w:space="0"/>
              <w:left w:val="single" w:color="auto" w:sz="8" w:space="0"/>
              <w:bottom w:val="single" w:color="auto" w:sz="8" w:space="0"/>
              <w:right w:val="single" w:color="auto" w:sz="8" w:space="0"/>
            </w:tcBorders>
            <w:vAlign w:val="center"/>
          </w:tcPr>
          <w:p>
            <w:pPr>
              <w:spacing w:line="0" w:lineRule="atLeast"/>
              <w:ind w:right="3" w:rightChars="1"/>
              <w:rPr>
                <w:rFonts w:hAnsi="Times New Roman" w:cs="Times New Roman"/>
                <w:color w:val="auto"/>
                <w:sz w:val="18"/>
                <w:szCs w:val="18"/>
              </w:rPr>
            </w:pPr>
          </w:p>
          <w:p>
            <w:pPr>
              <w:spacing w:line="0" w:lineRule="atLeast"/>
              <w:ind w:right="3" w:rightChars="1"/>
              <w:rPr>
                <w:rFonts w:hAnsi="Times New Roman" w:cs="Times New Roman"/>
                <w:color w:val="auto"/>
                <w:sz w:val="18"/>
                <w:szCs w:val="18"/>
              </w:rPr>
            </w:pPr>
          </w:p>
          <w:p>
            <w:pPr>
              <w:spacing w:line="0" w:lineRule="atLeast"/>
              <w:ind w:right="3" w:rightChars="1"/>
              <w:rPr>
                <w:rFonts w:hAnsi="Times New Roman" w:cs="Times New Roman"/>
                <w:color w:val="auto"/>
                <w:sz w:val="18"/>
                <w:szCs w:val="18"/>
              </w:rPr>
            </w:pPr>
          </w:p>
          <w:p>
            <w:pPr>
              <w:spacing w:line="0" w:lineRule="atLeast"/>
              <w:ind w:left="182" w:leftChars="57" w:right="-276" w:rightChars="-86" w:firstLine="362" w:firstLineChars="200"/>
              <w:jc w:val="center"/>
              <w:rPr>
                <w:rFonts w:hAnsi="Times New Roman" w:cs="Times New Roman"/>
                <w:color w:val="auto"/>
                <w:sz w:val="18"/>
                <w:szCs w:val="18"/>
              </w:rPr>
            </w:pPr>
            <w:r>
              <w:rPr>
                <w:rFonts w:hint="eastAsia" w:hAnsi="Times New Roman" w:cs="Times New Roman"/>
                <w:color w:val="auto"/>
                <w:sz w:val="18"/>
                <w:szCs w:val="18"/>
              </w:rPr>
              <w:t xml:space="preserve">                                                （盖章）</w:t>
            </w:r>
          </w:p>
          <w:p>
            <w:pPr>
              <w:spacing w:line="0" w:lineRule="atLeast"/>
              <w:ind w:left="182" w:leftChars="57" w:right="-276" w:rightChars="-86" w:firstLine="362" w:firstLineChars="200"/>
              <w:jc w:val="left"/>
              <w:rPr>
                <w:rFonts w:hAnsi="Times New Roman" w:cs="Times New Roman"/>
                <w:color w:val="auto"/>
                <w:sz w:val="24"/>
                <w:szCs w:val="24"/>
              </w:rPr>
            </w:pPr>
            <w:r>
              <w:rPr>
                <w:rFonts w:hint="eastAsia" w:hAnsi="Times New Roman" w:cs="Times New Roman"/>
                <w:color w:val="auto"/>
                <w:sz w:val="18"/>
                <w:szCs w:val="18"/>
              </w:rPr>
              <w:t xml:space="preserve">                                                         年   月   日</w:t>
            </w:r>
            <w:r>
              <w:rPr>
                <w:rFonts w:hint="eastAsia" w:hAnsi="Times New Roman" w:cs="Times New Roman"/>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exact"/>
          <w:jc w:val="center"/>
        </w:trPr>
        <w:tc>
          <w:tcPr>
            <w:tcW w:w="2200" w:type="dxa"/>
            <w:tcBorders>
              <w:top w:val="single" w:color="auto" w:sz="8" w:space="0"/>
              <w:left w:val="single" w:color="auto" w:sz="8" w:space="0"/>
              <w:right w:val="single" w:color="auto" w:sz="8" w:space="0"/>
            </w:tcBorders>
            <w:vAlign w:val="center"/>
          </w:tcPr>
          <w:p>
            <w:pPr>
              <w:spacing w:line="0" w:lineRule="atLeast"/>
              <w:ind w:right="-22" w:rightChars="-7"/>
              <w:jc w:val="center"/>
              <w:rPr>
                <w:rFonts w:ascii="仿宋" w:hAnsi="仿宋" w:cs="仿宋"/>
                <w:color w:val="auto"/>
                <w:sz w:val="24"/>
                <w:szCs w:val="24"/>
              </w:rPr>
            </w:pPr>
            <w:r>
              <w:rPr>
                <w:rFonts w:hint="eastAsia" w:ascii="仿宋" w:hAnsi="仿宋" w:cs="仿宋"/>
                <w:color w:val="auto"/>
                <w:sz w:val="24"/>
                <w:szCs w:val="24"/>
              </w:rPr>
              <w:t>审核情况</w:t>
            </w:r>
          </w:p>
        </w:tc>
        <w:tc>
          <w:tcPr>
            <w:tcW w:w="7808" w:type="dxa"/>
            <w:gridSpan w:val="4"/>
            <w:tcBorders>
              <w:top w:val="single" w:color="auto" w:sz="8" w:space="0"/>
              <w:left w:val="single" w:color="auto" w:sz="8" w:space="0"/>
              <w:bottom w:val="single" w:color="auto" w:sz="8" w:space="0"/>
              <w:right w:val="single" w:color="auto" w:sz="8" w:space="0"/>
            </w:tcBorders>
          </w:tcPr>
          <w:p>
            <w:pPr>
              <w:widowControl/>
              <w:spacing w:after="160" w:line="240" w:lineRule="exact"/>
              <w:jc w:val="left"/>
              <w:rPr>
                <w:rFonts w:hAnsi="Verdana" w:cs="Times New Roman"/>
                <w:color w:val="auto"/>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exact"/>
          <w:jc w:val="center"/>
        </w:trPr>
        <w:tc>
          <w:tcPr>
            <w:tcW w:w="2200" w:type="dxa"/>
            <w:tcBorders>
              <w:top w:val="single" w:color="auto" w:sz="8" w:space="0"/>
              <w:left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行业主管部门职能</w:t>
            </w:r>
          </w:p>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科室意见</w:t>
            </w:r>
          </w:p>
        </w:tc>
        <w:tc>
          <w:tcPr>
            <w:tcW w:w="2664" w:type="dxa"/>
            <w:tcBorders>
              <w:top w:val="single" w:color="auto" w:sz="8" w:space="0"/>
              <w:left w:val="single" w:color="auto" w:sz="8" w:space="0"/>
              <w:right w:val="single" w:color="auto" w:sz="4" w:space="0"/>
            </w:tcBorders>
          </w:tcPr>
          <w:p>
            <w:pPr>
              <w:spacing w:line="0" w:lineRule="atLeast"/>
              <w:ind w:right="-276" w:rightChars="-86"/>
              <w:rPr>
                <w:rFonts w:hAnsi="Times New Roman" w:cs="Times New Roman"/>
                <w:color w:val="auto"/>
                <w:sz w:val="24"/>
                <w:szCs w:val="24"/>
              </w:rPr>
            </w:pPr>
          </w:p>
          <w:p>
            <w:pPr>
              <w:spacing w:line="0" w:lineRule="atLeast"/>
              <w:ind w:right="-276" w:rightChars="-86"/>
              <w:rPr>
                <w:rFonts w:hAnsi="Times New Roman" w:cs="Times New Roman"/>
                <w:color w:val="auto"/>
                <w:sz w:val="24"/>
                <w:szCs w:val="24"/>
              </w:rPr>
            </w:pPr>
          </w:p>
          <w:p>
            <w:pPr>
              <w:spacing w:line="0" w:lineRule="atLeast"/>
              <w:ind w:right="-276" w:rightChars="-86"/>
              <w:rPr>
                <w:rFonts w:hAnsi="Times New Roman" w:cs="Times New Roman"/>
                <w:color w:val="auto"/>
                <w:sz w:val="24"/>
                <w:szCs w:val="24"/>
              </w:rPr>
            </w:pPr>
          </w:p>
          <w:p>
            <w:pPr>
              <w:widowControl/>
              <w:spacing w:after="160" w:line="240" w:lineRule="exact"/>
              <w:ind w:right="480"/>
              <w:jc w:val="left"/>
              <w:rPr>
                <w:rFonts w:hAnsi="Verdana" w:cs="Times New Roman"/>
                <w:color w:val="auto"/>
                <w:kern w:val="0"/>
                <w:sz w:val="24"/>
              </w:rPr>
            </w:pPr>
          </w:p>
          <w:p>
            <w:pPr>
              <w:widowControl/>
              <w:spacing w:after="160" w:line="240" w:lineRule="exact"/>
              <w:ind w:right="109" w:rightChars="34"/>
              <w:jc w:val="right"/>
              <w:rPr>
                <w:rFonts w:hAnsi="Verdana" w:cs="Times New Roman"/>
                <w:color w:val="auto"/>
                <w:kern w:val="0"/>
                <w:sz w:val="24"/>
                <w:lang w:eastAsia="en-US"/>
              </w:rPr>
            </w:pPr>
            <w:r>
              <w:rPr>
                <w:rFonts w:hint="eastAsia" w:hAnsi="Verdana" w:cs="Times New Roman"/>
                <w:color w:val="auto"/>
                <w:kern w:val="0"/>
                <w:sz w:val="24"/>
              </w:rPr>
              <w:t xml:space="preserve">    </w:t>
            </w:r>
            <w:r>
              <w:rPr>
                <w:rFonts w:hint="eastAsia" w:hAnsi="Verdana" w:cs="Times New Roman"/>
                <w:color w:val="auto"/>
                <w:kern w:val="0"/>
                <w:sz w:val="24"/>
                <w:lang w:eastAsia="en-US"/>
              </w:rPr>
              <w:t>年  月  日</w:t>
            </w:r>
          </w:p>
        </w:tc>
        <w:tc>
          <w:tcPr>
            <w:tcW w:w="2478" w:type="dxa"/>
            <w:gridSpan w:val="2"/>
            <w:tcBorders>
              <w:top w:val="single" w:color="auto" w:sz="8" w:space="0"/>
              <w:left w:val="single" w:color="auto" w:sz="4" w:space="0"/>
              <w:right w:val="single" w:color="auto" w:sz="4" w:space="0"/>
            </w:tcBorders>
            <w:vAlign w:val="center"/>
          </w:tcPr>
          <w:p>
            <w:pPr>
              <w:spacing w:line="0" w:lineRule="atLeast"/>
              <w:ind w:right="19" w:rightChars="6"/>
              <w:jc w:val="center"/>
              <w:rPr>
                <w:rFonts w:hAnsi="Times New Roman" w:cs="Times New Roman"/>
                <w:color w:val="auto"/>
                <w:sz w:val="24"/>
                <w:szCs w:val="24"/>
              </w:rPr>
            </w:pPr>
            <w:r>
              <w:rPr>
                <w:rFonts w:hint="eastAsia" w:ascii="仿宋" w:hAnsi="仿宋" w:cs="仿宋"/>
                <w:color w:val="auto"/>
                <w:sz w:val="24"/>
                <w:szCs w:val="24"/>
              </w:rPr>
              <w:t>人力资源和社会保障局</w:t>
            </w:r>
            <w:r>
              <w:rPr>
                <w:rFonts w:hint="eastAsia" w:hAnsi="Times New Roman" w:cs="Times New Roman"/>
                <w:color w:val="auto"/>
                <w:sz w:val="24"/>
                <w:szCs w:val="24"/>
              </w:rPr>
              <w:t>劳动保障监察</w:t>
            </w:r>
          </w:p>
          <w:p>
            <w:pPr>
              <w:spacing w:line="0" w:lineRule="atLeast"/>
              <w:ind w:right="-163" w:rightChars="-51"/>
              <w:jc w:val="center"/>
              <w:rPr>
                <w:rFonts w:hAnsi="Times New Roman" w:cs="Times New Roman"/>
                <w:color w:val="auto"/>
                <w:sz w:val="24"/>
                <w:szCs w:val="24"/>
              </w:rPr>
            </w:pPr>
            <w:r>
              <w:rPr>
                <w:rFonts w:hint="eastAsia" w:hAnsi="Times New Roman" w:cs="Times New Roman"/>
                <w:color w:val="auto"/>
                <w:sz w:val="24"/>
                <w:szCs w:val="24"/>
              </w:rPr>
              <w:t>机构意见</w:t>
            </w:r>
          </w:p>
        </w:tc>
        <w:tc>
          <w:tcPr>
            <w:tcW w:w="2666" w:type="dxa"/>
            <w:tcBorders>
              <w:top w:val="single" w:color="auto" w:sz="8" w:space="0"/>
              <w:left w:val="single" w:color="auto" w:sz="4" w:space="0"/>
              <w:right w:val="single" w:color="auto" w:sz="8" w:space="0"/>
            </w:tcBorders>
          </w:tcPr>
          <w:p>
            <w:pPr>
              <w:widowControl/>
              <w:spacing w:after="160" w:line="240" w:lineRule="exact"/>
              <w:jc w:val="left"/>
              <w:rPr>
                <w:rFonts w:hAnsi="Verdana" w:cs="Times New Roman"/>
                <w:color w:val="auto"/>
                <w:kern w:val="0"/>
                <w:sz w:val="24"/>
                <w:lang w:eastAsia="en-US"/>
              </w:rPr>
            </w:pPr>
          </w:p>
          <w:p>
            <w:pPr>
              <w:widowControl/>
              <w:spacing w:after="160" w:line="240" w:lineRule="exact"/>
              <w:jc w:val="left"/>
              <w:rPr>
                <w:rFonts w:hAnsi="Verdana" w:cs="Times New Roman"/>
                <w:color w:val="auto"/>
                <w:kern w:val="0"/>
                <w:sz w:val="24"/>
                <w:lang w:eastAsia="en-US"/>
              </w:rPr>
            </w:pPr>
          </w:p>
          <w:p>
            <w:pPr>
              <w:widowControl/>
              <w:spacing w:after="160" w:line="240" w:lineRule="exact"/>
              <w:jc w:val="left"/>
              <w:rPr>
                <w:rFonts w:hAnsi="Verdana" w:cs="Times New Roman"/>
                <w:color w:val="auto"/>
                <w:kern w:val="0"/>
                <w:sz w:val="24"/>
                <w:lang w:eastAsia="en-US"/>
              </w:rPr>
            </w:pPr>
          </w:p>
          <w:p>
            <w:pPr>
              <w:widowControl/>
              <w:spacing w:after="160" w:line="240" w:lineRule="exact"/>
              <w:jc w:val="left"/>
              <w:rPr>
                <w:rFonts w:hAnsi="Verdana" w:cs="Times New Roman"/>
                <w:color w:val="auto"/>
                <w:kern w:val="0"/>
                <w:sz w:val="24"/>
                <w:lang w:eastAsia="en-US"/>
              </w:rPr>
            </w:pPr>
          </w:p>
          <w:p>
            <w:pPr>
              <w:widowControl/>
              <w:spacing w:after="160" w:line="240" w:lineRule="exact"/>
              <w:jc w:val="center"/>
              <w:rPr>
                <w:rFonts w:cs="Times New Roman"/>
                <w:color w:val="auto"/>
                <w:kern w:val="0"/>
                <w:sz w:val="24"/>
                <w:lang w:eastAsia="en-US"/>
              </w:rPr>
            </w:pPr>
            <w:r>
              <w:rPr>
                <w:rFonts w:hint="eastAsia" w:hAnsi="Verdana" w:cs="Times New Roman"/>
                <w:color w:val="auto"/>
                <w:kern w:val="0"/>
                <w:sz w:val="24"/>
                <w:lang w:eastAsia="en-U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exact"/>
          <w:jc w:val="center"/>
        </w:trPr>
        <w:tc>
          <w:tcPr>
            <w:tcW w:w="2200" w:type="dxa"/>
            <w:tcBorders>
              <w:top w:val="single" w:color="auto" w:sz="4" w:space="0"/>
              <w:left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行业主管部门分管</w:t>
            </w:r>
          </w:p>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领导意见</w:t>
            </w:r>
          </w:p>
        </w:tc>
        <w:tc>
          <w:tcPr>
            <w:tcW w:w="2664" w:type="dxa"/>
            <w:tcBorders>
              <w:top w:val="single" w:color="auto" w:sz="4" w:space="0"/>
              <w:left w:val="single" w:color="auto" w:sz="8" w:space="0"/>
              <w:right w:val="single" w:color="auto" w:sz="4" w:space="0"/>
            </w:tcBorders>
          </w:tcPr>
          <w:p>
            <w:pPr>
              <w:spacing w:line="0" w:lineRule="atLeast"/>
              <w:ind w:right="-276" w:rightChars="-86"/>
              <w:rPr>
                <w:rFonts w:hAnsi="Times New Roman" w:cs="Times New Roman"/>
                <w:color w:val="auto"/>
                <w:sz w:val="24"/>
                <w:szCs w:val="24"/>
              </w:rPr>
            </w:pPr>
          </w:p>
          <w:p>
            <w:pPr>
              <w:spacing w:line="0" w:lineRule="atLeast"/>
              <w:ind w:right="-276" w:rightChars="-86"/>
              <w:rPr>
                <w:rFonts w:hAnsi="Times New Roman" w:cs="Times New Roman"/>
                <w:color w:val="auto"/>
                <w:sz w:val="24"/>
                <w:szCs w:val="24"/>
              </w:rPr>
            </w:pPr>
          </w:p>
          <w:p>
            <w:pPr>
              <w:spacing w:line="0" w:lineRule="atLeast"/>
              <w:ind w:right="-276" w:rightChars="-86"/>
              <w:rPr>
                <w:rFonts w:hAnsi="Times New Roman" w:cs="Times New Roman"/>
                <w:color w:val="auto"/>
                <w:sz w:val="24"/>
                <w:szCs w:val="24"/>
              </w:rPr>
            </w:pPr>
          </w:p>
          <w:p>
            <w:pPr>
              <w:widowControl/>
              <w:spacing w:after="160" w:line="240" w:lineRule="exact"/>
              <w:jc w:val="left"/>
              <w:rPr>
                <w:rFonts w:hAnsi="Verdana" w:cs="Times New Roman"/>
                <w:color w:val="auto"/>
                <w:kern w:val="0"/>
                <w:sz w:val="24"/>
              </w:rPr>
            </w:pPr>
          </w:p>
          <w:p>
            <w:pPr>
              <w:widowControl/>
              <w:spacing w:after="160" w:line="240" w:lineRule="exact"/>
              <w:jc w:val="center"/>
              <w:rPr>
                <w:rFonts w:hAnsi="Verdana" w:cs="Times New Roman"/>
                <w:color w:val="auto"/>
                <w:kern w:val="0"/>
                <w:sz w:val="24"/>
                <w:lang w:eastAsia="en-US"/>
              </w:rPr>
            </w:pPr>
            <w:r>
              <w:rPr>
                <w:rFonts w:hint="eastAsia" w:hAnsi="Verdana" w:cs="Times New Roman"/>
                <w:color w:val="auto"/>
                <w:kern w:val="0"/>
                <w:sz w:val="24"/>
              </w:rPr>
              <w:t xml:space="preserve">        </w:t>
            </w:r>
            <w:r>
              <w:rPr>
                <w:rFonts w:hint="eastAsia" w:hAnsi="Verdana" w:cs="Times New Roman"/>
                <w:color w:val="auto"/>
                <w:kern w:val="0"/>
                <w:sz w:val="24"/>
                <w:lang w:eastAsia="en-US"/>
              </w:rPr>
              <w:t>年  月  日</w:t>
            </w:r>
          </w:p>
        </w:tc>
        <w:tc>
          <w:tcPr>
            <w:tcW w:w="2478" w:type="dxa"/>
            <w:gridSpan w:val="2"/>
            <w:tcBorders>
              <w:top w:val="single" w:color="auto" w:sz="4" w:space="0"/>
              <w:left w:val="single" w:color="auto" w:sz="4" w:space="0"/>
              <w:right w:val="single" w:color="auto" w:sz="4" w:space="0"/>
            </w:tcBorders>
            <w:vAlign w:val="center"/>
          </w:tcPr>
          <w:p>
            <w:pPr>
              <w:spacing w:line="0" w:lineRule="atLeast"/>
              <w:ind w:left="2" w:leftChars="-37" w:hanging="120" w:hangingChars="50"/>
              <w:jc w:val="center"/>
              <w:rPr>
                <w:rFonts w:hAnsi="Times New Roman" w:cs="Times New Roman"/>
                <w:color w:val="auto"/>
                <w:sz w:val="24"/>
                <w:szCs w:val="24"/>
              </w:rPr>
            </w:pPr>
            <w:r>
              <w:rPr>
                <w:rFonts w:hint="eastAsia" w:ascii="仿宋" w:hAnsi="仿宋" w:cs="仿宋"/>
                <w:color w:val="auto"/>
                <w:sz w:val="24"/>
                <w:szCs w:val="24"/>
              </w:rPr>
              <w:t>人力资源和社会保障局</w:t>
            </w:r>
            <w:r>
              <w:rPr>
                <w:rFonts w:hint="eastAsia" w:hAnsi="Times New Roman" w:cs="Times New Roman"/>
                <w:color w:val="auto"/>
                <w:sz w:val="24"/>
                <w:szCs w:val="24"/>
              </w:rPr>
              <w:t>分管劳动保障监察</w:t>
            </w:r>
          </w:p>
          <w:p>
            <w:pPr>
              <w:spacing w:line="0" w:lineRule="atLeast"/>
              <w:ind w:left="-62" w:leftChars="-57" w:hanging="120" w:hangingChars="50"/>
              <w:jc w:val="center"/>
              <w:rPr>
                <w:rFonts w:hAnsi="Times New Roman" w:cs="Times New Roman"/>
                <w:color w:val="auto"/>
                <w:sz w:val="24"/>
                <w:szCs w:val="24"/>
              </w:rPr>
            </w:pPr>
            <w:r>
              <w:rPr>
                <w:rFonts w:hint="eastAsia" w:hAnsi="Times New Roman" w:cs="Times New Roman"/>
                <w:color w:val="auto"/>
                <w:sz w:val="24"/>
                <w:szCs w:val="24"/>
              </w:rPr>
              <w:t>机构领导意见</w:t>
            </w:r>
          </w:p>
        </w:tc>
        <w:tc>
          <w:tcPr>
            <w:tcW w:w="2666" w:type="dxa"/>
            <w:tcBorders>
              <w:top w:val="single" w:color="auto" w:sz="4" w:space="0"/>
              <w:left w:val="single" w:color="auto" w:sz="4" w:space="0"/>
              <w:right w:val="single" w:color="auto" w:sz="8" w:space="0"/>
            </w:tcBorders>
          </w:tcPr>
          <w:p>
            <w:pPr>
              <w:spacing w:line="0" w:lineRule="atLeast"/>
              <w:ind w:right="-276" w:rightChars="-86"/>
              <w:rPr>
                <w:rFonts w:hAnsi="Times New Roman" w:cs="Times New Roman"/>
                <w:color w:val="auto"/>
                <w:sz w:val="24"/>
                <w:szCs w:val="24"/>
              </w:rPr>
            </w:pPr>
          </w:p>
          <w:p>
            <w:pPr>
              <w:spacing w:line="0" w:lineRule="atLeast"/>
              <w:ind w:right="-276" w:rightChars="-86"/>
              <w:rPr>
                <w:rFonts w:hAnsi="Times New Roman" w:cs="Times New Roman"/>
                <w:color w:val="auto"/>
                <w:sz w:val="24"/>
                <w:szCs w:val="24"/>
              </w:rPr>
            </w:pPr>
          </w:p>
          <w:p>
            <w:pPr>
              <w:spacing w:line="0" w:lineRule="atLeast"/>
              <w:ind w:right="-276" w:rightChars="-86"/>
              <w:rPr>
                <w:rFonts w:hAnsi="Times New Roman" w:cs="Times New Roman"/>
                <w:color w:val="auto"/>
                <w:sz w:val="24"/>
                <w:szCs w:val="24"/>
              </w:rPr>
            </w:pPr>
          </w:p>
          <w:p>
            <w:pPr>
              <w:widowControl/>
              <w:spacing w:after="160" w:line="240" w:lineRule="exact"/>
              <w:jc w:val="left"/>
              <w:rPr>
                <w:rFonts w:hAnsi="Verdana" w:cs="Times New Roman"/>
                <w:color w:val="auto"/>
                <w:kern w:val="0"/>
                <w:sz w:val="24"/>
                <w:lang w:eastAsia="en-US"/>
              </w:rPr>
            </w:pPr>
          </w:p>
          <w:p>
            <w:pPr>
              <w:widowControl/>
              <w:spacing w:after="160" w:line="240" w:lineRule="exact"/>
              <w:jc w:val="center"/>
              <w:rPr>
                <w:rFonts w:hAnsi="Verdana" w:cs="Times New Roman"/>
                <w:color w:val="auto"/>
                <w:kern w:val="0"/>
                <w:sz w:val="24"/>
                <w:lang w:eastAsia="en-US"/>
              </w:rPr>
            </w:pPr>
            <w:r>
              <w:rPr>
                <w:rFonts w:hint="eastAsia" w:hAnsi="Verdana" w:cs="Times New Roman"/>
                <w:color w:val="auto"/>
                <w:kern w:val="0"/>
                <w:sz w:val="24"/>
                <w:lang w:eastAsia="en-U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exact"/>
          <w:jc w:val="center"/>
        </w:trPr>
        <w:tc>
          <w:tcPr>
            <w:tcW w:w="2200" w:type="dxa"/>
            <w:tcBorders>
              <w:top w:val="single" w:color="auto" w:sz="4" w:space="0"/>
              <w:left w:val="single" w:color="auto" w:sz="8" w:space="0"/>
              <w:right w:val="single" w:color="auto" w:sz="8" w:space="0"/>
            </w:tcBorders>
            <w:vAlign w:val="center"/>
          </w:tcPr>
          <w:p>
            <w:pPr>
              <w:spacing w:line="0" w:lineRule="atLeast"/>
              <w:ind w:right="-22" w:rightChars="-7"/>
              <w:jc w:val="center"/>
              <w:rPr>
                <w:rFonts w:hAnsi="Times New Roman" w:cs="Times New Roman"/>
                <w:color w:val="auto"/>
                <w:sz w:val="24"/>
                <w:szCs w:val="24"/>
              </w:rPr>
            </w:pPr>
            <w:r>
              <w:rPr>
                <w:rFonts w:hint="eastAsia" w:hAnsi="Times New Roman" w:cs="Times New Roman"/>
                <w:color w:val="auto"/>
                <w:sz w:val="24"/>
                <w:szCs w:val="24"/>
              </w:rPr>
              <w:t>备注</w:t>
            </w:r>
          </w:p>
        </w:tc>
        <w:tc>
          <w:tcPr>
            <w:tcW w:w="7808" w:type="dxa"/>
            <w:gridSpan w:val="4"/>
            <w:tcBorders>
              <w:top w:val="single" w:color="auto" w:sz="4" w:space="0"/>
              <w:left w:val="single" w:color="auto" w:sz="8" w:space="0"/>
              <w:right w:val="single" w:color="auto" w:sz="8" w:space="0"/>
            </w:tcBorders>
            <w:vAlign w:val="center"/>
          </w:tcPr>
          <w:p>
            <w:pPr>
              <w:spacing w:line="0" w:lineRule="atLeast"/>
              <w:ind w:right="-105" w:rightChars="-33"/>
              <w:rPr>
                <w:rFonts w:hAnsi="Times New Roman" w:cs="Times New Roman"/>
                <w:color w:val="auto"/>
                <w:sz w:val="21"/>
                <w:szCs w:val="21"/>
              </w:rPr>
            </w:pPr>
            <w:r>
              <w:rPr>
                <w:rFonts w:hint="eastAsia" w:hAnsi="Times New Roman" w:cs="Times New Roman"/>
                <w:color w:val="auto"/>
                <w:sz w:val="18"/>
                <w:szCs w:val="18"/>
              </w:rPr>
              <w:t>附有关材料：企业法人营业执照副本复印件、企业法定代表人身份证明及身份证复印件、授权委托书及被委托人身份证复印件、施工许可证复印件</w:t>
            </w:r>
            <w:r>
              <w:rPr>
                <w:rFonts w:hint="eastAsia" w:hAnsi="Times New Roman" w:cs="Times New Roman"/>
                <w:color w:val="auto"/>
                <w:sz w:val="18"/>
                <w:szCs w:val="18"/>
                <w:lang w:eastAsia="zh-CN"/>
              </w:rPr>
              <w:t>和</w:t>
            </w:r>
            <w:r>
              <w:rPr>
                <w:rFonts w:hint="eastAsia" w:hAnsi="Times New Roman" w:cs="Times New Roman"/>
                <w:b/>
                <w:bCs/>
                <w:color w:val="auto"/>
                <w:sz w:val="18"/>
                <w:szCs w:val="18"/>
                <w:lang w:eastAsia="zh-CN"/>
              </w:rPr>
              <w:t>《无拖欠农民工工资承诺书》</w:t>
            </w:r>
            <w:r>
              <w:rPr>
                <w:rFonts w:hint="eastAsia" w:hAnsi="Times New Roman" w:cs="Times New Roman"/>
                <w:color w:val="auto"/>
                <w:sz w:val="18"/>
                <w:szCs w:val="18"/>
              </w:rPr>
              <w:t>等</w:t>
            </w:r>
          </w:p>
        </w:tc>
      </w:tr>
    </w:tbl>
    <w:p>
      <w:pPr>
        <w:adjustRightInd w:val="0"/>
        <w:snapToGrid w:val="0"/>
        <w:spacing w:line="600" w:lineRule="exact"/>
        <w:jc w:val="left"/>
        <w:rPr>
          <w:rFonts w:hint="eastAsia" w:hAnsi="宋体" w:eastAsia="仿宋_GB2312" w:cs="黑体"/>
          <w:bCs/>
          <w:color w:val="auto"/>
          <w:lang w:eastAsia="zh-CN"/>
        </w:rPr>
      </w:pPr>
      <w:r>
        <w:rPr>
          <w:rFonts w:hint="eastAsia" w:hAnsi="宋体" w:cs="黑体"/>
          <w:bCs/>
          <w:color w:val="auto"/>
        </w:rPr>
        <w:t>附件</w:t>
      </w:r>
      <w:r>
        <w:rPr>
          <w:rFonts w:hint="eastAsia" w:hAnsi="宋体" w:cs="黑体"/>
          <w:bCs/>
          <w:color w:val="auto"/>
          <w:lang w:val="en-US" w:eastAsia="zh-CN"/>
        </w:rPr>
        <w:t>5</w:t>
      </w:r>
    </w:p>
    <w:p>
      <w:pPr>
        <w:adjustRightInd w:val="0"/>
        <w:snapToGrid w:val="0"/>
        <w:spacing w:line="600" w:lineRule="exact"/>
        <w:jc w:val="center"/>
        <w:rPr>
          <w:rFonts w:ascii="方正小标宋简体" w:hAnsi="宋体" w:eastAsia="方正小标宋简体" w:cs="黑体"/>
          <w:bCs/>
          <w:color w:val="auto"/>
          <w:sz w:val="36"/>
          <w:szCs w:val="36"/>
        </w:rPr>
      </w:pPr>
      <w:r>
        <w:rPr>
          <w:rFonts w:hint="eastAsia" w:ascii="方正小标宋简体" w:hAnsi="宋体" w:eastAsia="方正小标宋简体" w:cs="黑体"/>
          <w:bCs/>
          <w:color w:val="auto"/>
          <w:sz w:val="36"/>
          <w:szCs w:val="36"/>
        </w:rPr>
        <w:t>注销农民工工资支付专用账户申请表（式样）</w:t>
      </w:r>
    </w:p>
    <w:p>
      <w:pPr>
        <w:spacing w:line="120" w:lineRule="auto"/>
        <w:ind w:right="-276" w:rightChars="-86"/>
        <w:jc w:val="center"/>
        <w:rPr>
          <w:rFonts w:ascii="Times New Roman" w:hAnsi="Times New Roman" w:cs="Times New Roman"/>
          <w:color w:val="auto"/>
          <w:sz w:val="24"/>
          <w:szCs w:val="24"/>
        </w:rPr>
      </w:pPr>
    </w:p>
    <w:p>
      <w:pPr>
        <w:spacing w:line="120" w:lineRule="auto"/>
        <w:ind w:right="-276" w:rightChars="-86"/>
        <w:rPr>
          <w:rFonts w:hAnsi="Times New Roman" w:cs="Times New Roman"/>
          <w:color w:val="auto"/>
          <w:sz w:val="24"/>
          <w:szCs w:val="24"/>
        </w:rPr>
      </w:pPr>
      <w:r>
        <w:rPr>
          <w:rFonts w:hint="eastAsia" w:ascii="仿宋" w:hAnsi="仿宋" w:cs="仿宋"/>
          <w:color w:val="auto"/>
          <w:sz w:val="21"/>
          <w:szCs w:val="21"/>
        </w:rPr>
        <w:t>注：本申请表一式四份，行业主管部门、人力资源和社会保障部门、申请单位、开户银行各持一份。</w:t>
      </w:r>
    </w:p>
    <w:sectPr>
      <w:headerReference r:id="rId6" w:type="default"/>
      <w:footerReference r:id="rId7" w:type="default"/>
      <w:pgSz w:w="11906" w:h="16838"/>
      <w:pgMar w:top="1440" w:right="1134" w:bottom="1440" w:left="1134" w:header="851" w:footer="992" w:gutter="0"/>
      <w:pgNumType w:fmt="decimal"/>
      <w:cols w:space="0" w:num="1"/>
      <w:rtlGutter w:val="0"/>
      <w:docGrid w:type="linesAndChars" w:linePitch="579" w:charSpace="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1"/>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ODdjY2U0ZDRiNTA0ZDcxYzRkMzdkYmEzODk0ZmMifQ=="/>
  </w:docVars>
  <w:rsids>
    <w:rsidRoot w:val="00172A27"/>
    <w:rsid w:val="00172A27"/>
    <w:rsid w:val="00225DD2"/>
    <w:rsid w:val="00232477"/>
    <w:rsid w:val="002709D6"/>
    <w:rsid w:val="002876A4"/>
    <w:rsid w:val="002D6897"/>
    <w:rsid w:val="00317DC4"/>
    <w:rsid w:val="004863F9"/>
    <w:rsid w:val="005E1D8A"/>
    <w:rsid w:val="006D7E7B"/>
    <w:rsid w:val="007A4E58"/>
    <w:rsid w:val="00800EF2"/>
    <w:rsid w:val="00831A24"/>
    <w:rsid w:val="00837607"/>
    <w:rsid w:val="00A07890"/>
    <w:rsid w:val="00A41884"/>
    <w:rsid w:val="00BD6701"/>
    <w:rsid w:val="00C4171F"/>
    <w:rsid w:val="00CB28EF"/>
    <w:rsid w:val="00CF6286"/>
    <w:rsid w:val="00D34E68"/>
    <w:rsid w:val="00D53A39"/>
    <w:rsid w:val="00D7502C"/>
    <w:rsid w:val="00E62F2F"/>
    <w:rsid w:val="00FA2B11"/>
    <w:rsid w:val="0B910F9A"/>
    <w:rsid w:val="1265406B"/>
    <w:rsid w:val="13D4091D"/>
    <w:rsid w:val="17BF1486"/>
    <w:rsid w:val="18D15E9D"/>
    <w:rsid w:val="1A6B0DEA"/>
    <w:rsid w:val="1AEE32B1"/>
    <w:rsid w:val="1CF7B1CE"/>
    <w:rsid w:val="1FF7C7CD"/>
    <w:rsid w:val="286F14A4"/>
    <w:rsid w:val="2C7D26AF"/>
    <w:rsid w:val="3D22318E"/>
    <w:rsid w:val="3E081F17"/>
    <w:rsid w:val="3EFEAB14"/>
    <w:rsid w:val="3EFFAC67"/>
    <w:rsid w:val="3F6FAFFF"/>
    <w:rsid w:val="432E0854"/>
    <w:rsid w:val="48BE70FC"/>
    <w:rsid w:val="4DD59354"/>
    <w:rsid w:val="4EFBA718"/>
    <w:rsid w:val="4EFFF98B"/>
    <w:rsid w:val="4FF8438B"/>
    <w:rsid w:val="510044D7"/>
    <w:rsid w:val="53386DF1"/>
    <w:rsid w:val="57253778"/>
    <w:rsid w:val="5A3B7F59"/>
    <w:rsid w:val="5AB7510F"/>
    <w:rsid w:val="5AEF0DF2"/>
    <w:rsid w:val="5BC2133A"/>
    <w:rsid w:val="5DB94ECD"/>
    <w:rsid w:val="5DDEF473"/>
    <w:rsid w:val="5F0C433C"/>
    <w:rsid w:val="5F7E6B9E"/>
    <w:rsid w:val="664014A8"/>
    <w:rsid w:val="67CA46DC"/>
    <w:rsid w:val="69E698DC"/>
    <w:rsid w:val="6BDF508B"/>
    <w:rsid w:val="6BEFD6CD"/>
    <w:rsid w:val="6DB765F2"/>
    <w:rsid w:val="6ECE526C"/>
    <w:rsid w:val="6F975DCF"/>
    <w:rsid w:val="6FFF5CE6"/>
    <w:rsid w:val="71F962D5"/>
    <w:rsid w:val="77DFD05C"/>
    <w:rsid w:val="77E1550D"/>
    <w:rsid w:val="77FBB1AC"/>
    <w:rsid w:val="7B91334B"/>
    <w:rsid w:val="7BFD38A7"/>
    <w:rsid w:val="7DFD9411"/>
    <w:rsid w:val="7E7F0F49"/>
    <w:rsid w:val="7EBFC782"/>
    <w:rsid w:val="7F075D89"/>
    <w:rsid w:val="7F77DDDF"/>
    <w:rsid w:val="7FD3288B"/>
    <w:rsid w:val="7FE7CDBA"/>
    <w:rsid w:val="7FEF0A86"/>
    <w:rsid w:val="7FF884B9"/>
    <w:rsid w:val="97FF497A"/>
    <w:rsid w:val="9EEF4976"/>
    <w:rsid w:val="9FD3A656"/>
    <w:rsid w:val="9FFF99FF"/>
    <w:rsid w:val="A5DA075B"/>
    <w:rsid w:val="B6BFF6CF"/>
    <w:rsid w:val="B77B2580"/>
    <w:rsid w:val="B7F60287"/>
    <w:rsid w:val="B7FE54B2"/>
    <w:rsid w:val="BFBD1621"/>
    <w:rsid w:val="C9EBBAA8"/>
    <w:rsid w:val="DBE30278"/>
    <w:rsid w:val="DFE62E66"/>
    <w:rsid w:val="DFEDED01"/>
    <w:rsid w:val="E74E1BB9"/>
    <w:rsid w:val="EE0D8AC4"/>
    <w:rsid w:val="F3E9F5E1"/>
    <w:rsid w:val="F5FF9096"/>
    <w:rsid w:val="F70AA6E6"/>
    <w:rsid w:val="F7F32367"/>
    <w:rsid w:val="F97F0EC6"/>
    <w:rsid w:val="FA5766DE"/>
    <w:rsid w:val="FBEBDAEC"/>
    <w:rsid w:val="FBF65275"/>
    <w:rsid w:val="FCFC1859"/>
    <w:rsid w:val="FDC57085"/>
    <w:rsid w:val="FDFB5E02"/>
    <w:rsid w:val="FE9E2999"/>
    <w:rsid w:val="FFB34A0A"/>
    <w:rsid w:val="FFE5FE0B"/>
    <w:rsid w:val="FFFD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eastAsia="宋体" w:cs="Times New Roman"/>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0"/>
    <w:pPr>
      <w:ind w:left="148"/>
    </w:pPr>
    <w:rPr>
      <w:rFonts w:hint="eastAsia" w:ascii="宋体" w:hAnsi="宋体" w:eastAsia="宋体"/>
      <w:sz w:val="3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next w:val="5"/>
    <w:qFormat/>
    <w:uiPriority w:val="0"/>
    <w:pPr>
      <w:snapToGrid w:val="0"/>
      <w:jc w:val="left"/>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码1"/>
    <w:qFormat/>
    <w:uiPriority w:val="0"/>
  </w:style>
  <w:style w:type="character" w:customStyle="1" w:styleId="11">
    <w:name w:val="页码 New New"/>
    <w:qFormat/>
    <w:uiPriority w:val="0"/>
  </w:style>
  <w:style w:type="paragraph" w:customStyle="1" w:styleId="12">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页脚 New New"/>
    <w:basedOn w:val="12"/>
    <w:qFormat/>
    <w:uiPriority w:val="0"/>
    <w:pPr>
      <w:tabs>
        <w:tab w:val="center" w:pos="4153"/>
        <w:tab w:val="right" w:pos="8306"/>
      </w:tabs>
      <w:snapToGrid w:val="0"/>
      <w:jc w:val="left"/>
    </w:pPr>
    <w:rPr>
      <w:sz w:val="18"/>
      <w:szCs w:val="18"/>
    </w:rPr>
  </w:style>
  <w:style w:type="paragraph" w:customStyle="1" w:styleId="14">
    <w:name w:val="正文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正文文本 字符"/>
    <w:link w:val="3"/>
    <w:qFormat/>
    <w:uiPriority w:val="0"/>
    <w:rPr>
      <w:rFonts w:ascii="宋体" w:hAnsi="宋体" w:cs="仿宋_GB2312"/>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9642</Words>
  <Characters>9696</Characters>
  <Lines>84</Lines>
  <Paragraphs>23</Paragraphs>
  <TotalTime>11</TotalTime>
  <ScaleCrop>false</ScaleCrop>
  <LinksUpToDate>false</LinksUpToDate>
  <CharactersWithSpaces>11153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2024-05-20T22:44:00Z</dcterms:created>
  <dc:creator>平常心</dc:creator>
  <cp:lastModifiedBy>ming飞</cp:lastModifiedBy>
  <cp:lastPrinted>2024-05-16T00:11:00Z</cp:lastPrinted>
  <dcterms:modified xsi:type="dcterms:W3CDTF">2024-06-05T07:59:06Z</dcterms:modified>
  <dc:title>user1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9F61A171F5D04ECCAF619D1987B8607F_13</vt:lpwstr>
  </property>
</Properties>
</file>