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6"/>
          <w:szCs w:val="36"/>
        </w:rPr>
      </w:pPr>
      <w:r>
        <w:rPr>
          <w:rFonts w:hint="eastAsia" w:ascii="宋体" w:hAnsi="宋体" w:cs="Arial"/>
          <w:b/>
          <w:sz w:val="36"/>
          <w:szCs w:val="36"/>
        </w:rPr>
        <w:t>《</w:t>
      </w:r>
      <w:r>
        <w:rPr>
          <w:rFonts w:hint="eastAsia" w:ascii="宋体" w:hAnsi="宋体"/>
          <w:b/>
          <w:bCs/>
          <w:sz w:val="36"/>
          <w:szCs w:val="36"/>
        </w:rPr>
        <w:t>云浮市城乡建设档案管理办法》</w:t>
      </w:r>
      <w:r>
        <w:rPr>
          <w:rFonts w:hint="eastAsia" w:ascii="宋体" w:hAnsi="宋体"/>
          <w:b/>
          <w:bCs/>
          <w:sz w:val="36"/>
          <w:szCs w:val="36"/>
          <w:lang w:val="en-US" w:eastAsia="zh-CN"/>
        </w:rPr>
        <w:t>（征求意见稿）</w:t>
      </w:r>
      <w:r>
        <w:rPr>
          <w:rFonts w:hint="eastAsia" w:ascii="宋体" w:hAnsi="宋体"/>
          <w:b/>
          <w:bCs/>
          <w:sz w:val="36"/>
          <w:szCs w:val="36"/>
        </w:rPr>
        <w:t>听证</w:t>
      </w:r>
      <w:r>
        <w:rPr>
          <w:rFonts w:ascii="宋体" w:hAnsi="宋体"/>
          <w:b/>
          <w:bCs/>
          <w:sz w:val="36"/>
          <w:szCs w:val="36"/>
        </w:rPr>
        <w:t>意见</w:t>
      </w:r>
      <w:r>
        <w:rPr>
          <w:rFonts w:hint="eastAsia" w:ascii="宋体" w:hAnsi="宋体"/>
          <w:b/>
          <w:bCs/>
          <w:sz w:val="36"/>
          <w:szCs w:val="36"/>
          <w:lang w:val="en-US" w:eastAsia="zh-CN"/>
        </w:rPr>
        <w:t>采纳情况汇总</w:t>
      </w:r>
      <w:r>
        <w:rPr>
          <w:rFonts w:ascii="宋体" w:hAnsi="宋体"/>
          <w:b/>
          <w:bCs/>
          <w:sz w:val="36"/>
          <w:szCs w:val="36"/>
        </w:rPr>
        <w:t>表</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会议时间：2019年8月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p>
    <w:tbl>
      <w:tblPr>
        <w:tblStyle w:val="5"/>
        <w:tblW w:w="13904"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610"/>
        <w:gridCol w:w="5370"/>
        <w:gridCol w:w="4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blHeader/>
        </w:trPr>
        <w:tc>
          <w:tcPr>
            <w:tcW w:w="3750" w:type="dxa"/>
            <w:gridSpan w:val="2"/>
            <w:shd w:val="clear" w:color="auto" w:fill="D7D7D7" w:themeFill="background1" w:themeFillShade="D8"/>
          </w:tcPr>
          <w:p>
            <w:pPr>
              <w:jc w:val="center"/>
              <w:rPr>
                <w:rFonts w:hint="eastAsia" w:ascii="仿宋" w:hAnsi="仿宋" w:eastAsia="仿宋" w:cs="仿宋"/>
                <w:sz w:val="32"/>
                <w:szCs w:val="32"/>
                <w:vertAlign w:val="baseline"/>
              </w:rPr>
            </w:pPr>
            <w:r>
              <w:rPr>
                <w:rFonts w:hint="eastAsia" w:ascii="宋体" w:hAnsi="宋体" w:cs="宋体"/>
                <w:b/>
                <w:bCs/>
                <w:color w:val="000000"/>
                <w:sz w:val="32"/>
                <w:szCs w:val="32"/>
                <w:lang w:eastAsia="zh-CN"/>
              </w:rPr>
              <w:t>参</w:t>
            </w:r>
            <w:r>
              <w:rPr>
                <w:rFonts w:hint="eastAsia" w:ascii="宋体" w:hAnsi="宋体" w:cs="宋体"/>
                <w:b/>
                <w:bCs/>
                <w:color w:val="000000"/>
                <w:sz w:val="32"/>
                <w:szCs w:val="32"/>
              </w:rPr>
              <w:t>会人员</w:t>
            </w:r>
          </w:p>
        </w:tc>
        <w:tc>
          <w:tcPr>
            <w:tcW w:w="5370" w:type="dxa"/>
            <w:shd w:val="clear" w:color="auto" w:fill="D7D7D7" w:themeFill="background1" w:themeFillShade="D8"/>
            <w:vAlign w:val="center"/>
          </w:tcPr>
          <w:p>
            <w:pPr>
              <w:jc w:val="center"/>
              <w:rPr>
                <w:rFonts w:hint="eastAsia" w:ascii="仿宋" w:hAnsi="仿宋" w:eastAsia="仿宋" w:cs="仿宋"/>
                <w:sz w:val="32"/>
                <w:szCs w:val="32"/>
                <w:vertAlign w:val="baseline"/>
              </w:rPr>
            </w:pPr>
            <w:r>
              <w:rPr>
                <w:rFonts w:hint="eastAsia" w:ascii="宋体" w:hAnsi="宋体" w:cs="宋体"/>
                <w:b/>
                <w:bCs/>
                <w:color w:val="000000"/>
                <w:sz w:val="32"/>
                <w:szCs w:val="32"/>
              </w:rPr>
              <w:t>修改意见</w:t>
            </w:r>
          </w:p>
        </w:tc>
        <w:tc>
          <w:tcPr>
            <w:tcW w:w="4784" w:type="dxa"/>
            <w:shd w:val="clear" w:color="auto" w:fill="D7D7D7" w:themeFill="background1" w:themeFillShade="D8"/>
            <w:vAlign w:val="center"/>
          </w:tcPr>
          <w:p>
            <w:pPr>
              <w:jc w:val="center"/>
              <w:rPr>
                <w:rFonts w:hint="eastAsia" w:ascii="仿宋" w:hAnsi="仿宋" w:eastAsia="仿宋" w:cs="仿宋"/>
                <w:sz w:val="32"/>
                <w:szCs w:val="32"/>
                <w:vertAlign w:val="baseline"/>
              </w:rPr>
            </w:pPr>
            <w:r>
              <w:rPr>
                <w:rFonts w:hint="eastAsia" w:ascii="宋体" w:hAnsi="宋体" w:cs="宋体"/>
                <w:b/>
                <w:bCs/>
                <w:color w:val="000000"/>
                <w:sz w:val="32"/>
                <w:szCs w:val="32"/>
              </w:rPr>
              <w:t>意见落实情况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14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陈丽明</w:t>
            </w:r>
          </w:p>
        </w:tc>
        <w:tc>
          <w:tcPr>
            <w:tcW w:w="261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bidi="ar-SA"/>
              </w:rPr>
              <w:t>政协代表</w:t>
            </w: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sz w:val="32"/>
                <w:szCs w:val="32"/>
                <w:vertAlign w:val="baseline"/>
              </w:rPr>
            </w:pPr>
            <w:r>
              <w:rPr>
                <w:rFonts w:hint="eastAsia" w:ascii="仿宋" w:hAnsi="仿宋" w:eastAsia="仿宋" w:cs="宋体"/>
                <w:color w:val="000000"/>
                <w:kern w:val="0"/>
                <w:sz w:val="24"/>
                <w:szCs w:val="24"/>
                <w:lang w:val="en-US" w:eastAsia="zh-CN" w:bidi="ar-SA"/>
              </w:rPr>
              <w:t>1、要配套制定档案提交的标准与规范；</w:t>
            </w:r>
          </w:p>
        </w:tc>
        <w:tc>
          <w:tcPr>
            <w:tcW w:w="4784"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解释，城建档案的移交标准与要求另行制定。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140" w:type="dxa"/>
            <w:vMerge w:val="continue"/>
            <w:vAlign w:val="center"/>
          </w:tcPr>
          <w:p/>
        </w:tc>
        <w:tc>
          <w:tcPr>
            <w:tcW w:w="2610" w:type="dxa"/>
            <w:vMerge w:val="continue"/>
            <w:vAlign w:val="center"/>
          </w:tcPr>
          <w:p/>
        </w:tc>
        <w:tc>
          <w:tcPr>
            <w:tcW w:w="5370" w:type="dxa"/>
          </w:tcPr>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2、加强完善档案管理机</w:t>
            </w:r>
            <w:r>
              <w:rPr>
                <w:rFonts w:hint="eastAsia" w:ascii="仿宋" w:hAnsi="仿宋" w:eastAsia="仿宋" w:cs="宋体"/>
                <w:color w:val="auto"/>
                <w:kern w:val="0"/>
                <w:sz w:val="24"/>
                <w:szCs w:val="24"/>
                <w:lang w:val="en-US" w:eastAsia="zh-CN" w:bidi="ar-SA"/>
              </w:rPr>
              <w:t>构，</w:t>
            </w:r>
            <w:r>
              <w:rPr>
                <w:rFonts w:hint="eastAsia" w:ascii="仿宋" w:hAnsi="仿宋" w:eastAsia="仿宋" w:cs="宋体"/>
                <w:b/>
                <w:bCs/>
                <w:color w:val="auto"/>
                <w:kern w:val="0"/>
                <w:sz w:val="24"/>
                <w:szCs w:val="24"/>
                <w:lang w:val="en-US" w:eastAsia="zh-CN" w:bidi="ar-SA"/>
              </w:rPr>
              <w:t>配备足够人员</w:t>
            </w:r>
            <w:r>
              <w:rPr>
                <w:rFonts w:hint="eastAsia" w:ascii="仿宋" w:hAnsi="仿宋" w:eastAsia="仿宋" w:cs="宋体"/>
                <w:color w:val="auto"/>
                <w:kern w:val="0"/>
                <w:sz w:val="24"/>
                <w:szCs w:val="24"/>
                <w:lang w:val="en-US" w:eastAsia="zh-CN" w:bidi="ar-SA"/>
              </w:rPr>
              <w:t>及相关的硬件、软件设施；</w:t>
            </w:r>
          </w:p>
        </w:tc>
        <w:tc>
          <w:tcPr>
            <w:tcW w:w="4784"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采纳，在第四条、第二十五条、第二十六条、第二十七条、第二十八条中有相关内容表述。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140" w:type="dxa"/>
            <w:vMerge w:val="continue"/>
            <w:vAlign w:val="center"/>
          </w:tcPr>
          <w:p>
            <w:pPr>
              <w:rPr>
                <w:rFonts w:hint="eastAsia" w:ascii="仿宋" w:hAnsi="仿宋" w:eastAsia="仿宋" w:cs="宋体"/>
                <w:color w:val="000000"/>
                <w:kern w:val="0"/>
                <w:sz w:val="24"/>
                <w:szCs w:val="24"/>
                <w:lang w:val="en-US" w:eastAsia="zh-CN" w:bidi="ar-SA"/>
              </w:rPr>
            </w:pPr>
          </w:p>
        </w:tc>
        <w:tc>
          <w:tcPr>
            <w:tcW w:w="2610" w:type="dxa"/>
            <w:vMerge w:val="continue"/>
            <w:vAlign w:val="center"/>
          </w:tcPr>
          <w:p>
            <w:pPr>
              <w:rPr>
                <w:rFonts w:hint="eastAsia" w:ascii="仿宋" w:hAnsi="仿宋" w:eastAsia="仿宋" w:cs="宋体"/>
                <w:color w:val="000000"/>
                <w:kern w:val="0"/>
                <w:sz w:val="24"/>
                <w:szCs w:val="24"/>
                <w:lang w:val="en-US" w:eastAsia="zh-CN" w:bidi="ar-SA"/>
              </w:rPr>
            </w:pPr>
          </w:p>
        </w:tc>
        <w:tc>
          <w:tcPr>
            <w:tcW w:w="5370" w:type="dxa"/>
          </w:tcPr>
          <w:p>
            <w:pP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3、注重数据档案系统的建设。</w:t>
            </w:r>
          </w:p>
        </w:tc>
        <w:tc>
          <w:tcPr>
            <w:tcW w:w="4784"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采纳，在第二十八条、第二十九条中有相关内容表述。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14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李结友</w:t>
            </w:r>
          </w:p>
        </w:tc>
        <w:tc>
          <w:tcPr>
            <w:tcW w:w="261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bidi="ar-SA"/>
              </w:rPr>
              <w:t>人大代表</w:t>
            </w: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sz w:val="32"/>
                <w:szCs w:val="32"/>
                <w:vertAlign w:val="baseline"/>
              </w:rPr>
            </w:pPr>
            <w:r>
              <w:rPr>
                <w:rFonts w:hint="eastAsia" w:ascii="仿宋" w:hAnsi="仿宋" w:eastAsia="仿宋" w:cs="宋体"/>
                <w:color w:val="000000"/>
                <w:kern w:val="0"/>
                <w:sz w:val="24"/>
                <w:szCs w:val="24"/>
                <w:lang w:val="en-US" w:eastAsia="zh-CN" w:bidi="ar-SA"/>
              </w:rPr>
              <w:t>1、第六条城乡建设档案行政主管部门应为各职责的主管部门；</w:t>
            </w:r>
          </w:p>
        </w:tc>
        <w:tc>
          <w:tcPr>
            <w:tcW w:w="4784" w:type="dxa"/>
          </w:tcPr>
          <w:p>
            <w:pPr>
              <w:rPr>
                <w:rFonts w:hint="eastAsia" w:ascii="仿宋" w:hAnsi="仿宋" w:eastAsia="仿宋" w:cs="仿宋"/>
                <w:sz w:val="32"/>
                <w:szCs w:val="32"/>
                <w:vertAlign w:val="baseline"/>
                <w:lang w:eastAsia="zh-CN"/>
              </w:rPr>
            </w:pPr>
            <w:r>
              <w:rPr>
                <w:rFonts w:hint="eastAsia" w:ascii="仿宋" w:hAnsi="仿宋" w:eastAsia="仿宋" w:cs="宋体"/>
                <w:color w:val="000000"/>
                <w:kern w:val="0"/>
                <w:sz w:val="24"/>
                <w:szCs w:val="24"/>
                <w:lang w:val="en-US" w:eastAsia="zh-CN" w:bidi="ar-SA"/>
              </w:rPr>
              <w:t>解释，城乡建设档案行政主管部门是指负责行政区域内城乡建设档案管理工作，并对城建档案管理机构进行领导的部门。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140" w:type="dxa"/>
            <w:vMerge w:val="continue"/>
            <w:vAlign w:val="center"/>
          </w:tcPr>
          <w:p/>
        </w:tc>
        <w:tc>
          <w:tcPr>
            <w:tcW w:w="2610" w:type="dxa"/>
            <w:vMerge w:val="continue"/>
            <w:vAlign w:val="center"/>
          </w:tcP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2、第十条第（一）款参建单位的责任应单独写一条，明确参建单位职责；</w:t>
            </w:r>
          </w:p>
        </w:tc>
        <w:tc>
          <w:tcPr>
            <w:tcW w:w="4784" w:type="dxa"/>
          </w:tcPr>
          <w:p>
            <w:pP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采纳，已在第九条中明确。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140" w:type="dxa"/>
            <w:vMerge w:val="continue"/>
            <w:vAlign w:val="center"/>
          </w:tcPr>
          <w:p>
            <w:pPr>
              <w:rPr>
                <w:rFonts w:hint="eastAsia" w:ascii="仿宋" w:hAnsi="仿宋" w:eastAsia="仿宋" w:cs="宋体"/>
                <w:color w:val="000000"/>
                <w:kern w:val="0"/>
                <w:sz w:val="24"/>
                <w:szCs w:val="24"/>
                <w:lang w:val="en-US" w:eastAsia="zh-CN" w:bidi="ar-SA"/>
              </w:rPr>
            </w:pPr>
          </w:p>
        </w:tc>
        <w:tc>
          <w:tcPr>
            <w:tcW w:w="2610" w:type="dxa"/>
            <w:vMerge w:val="continue"/>
            <w:vAlign w:val="center"/>
          </w:tcPr>
          <w:p>
            <w:pPr>
              <w:rPr>
                <w:rFonts w:hint="eastAsia" w:ascii="仿宋" w:hAnsi="仿宋" w:eastAsia="仿宋" w:cs="宋体"/>
                <w:color w:val="000000"/>
                <w:kern w:val="0"/>
                <w:sz w:val="24"/>
                <w:szCs w:val="24"/>
                <w:lang w:val="en-US" w:eastAsia="zh-CN" w:bidi="ar-SA"/>
              </w:rPr>
            </w:pP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3、第十五条增加住建职责；</w:t>
            </w:r>
          </w:p>
        </w:tc>
        <w:tc>
          <w:tcPr>
            <w:tcW w:w="4784" w:type="dxa"/>
          </w:tcPr>
          <w:p>
            <w:pP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解释，移交建设工程档案告知应在工程建设许可等前期阶段进行，而住建部门负责的施工许可和竣工验收等是工程建设的中、后期阶段工作。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140" w:type="dxa"/>
            <w:vMerge w:val="continue"/>
            <w:vAlign w:val="center"/>
          </w:tcPr>
          <w:p>
            <w:pPr>
              <w:rPr>
                <w:rFonts w:hint="eastAsia" w:ascii="仿宋" w:hAnsi="仿宋" w:eastAsia="仿宋" w:cs="宋体"/>
                <w:color w:val="000000"/>
                <w:kern w:val="0"/>
                <w:sz w:val="24"/>
                <w:szCs w:val="24"/>
                <w:lang w:val="en-US" w:eastAsia="zh-CN" w:bidi="ar-SA"/>
              </w:rPr>
            </w:pPr>
          </w:p>
        </w:tc>
        <w:tc>
          <w:tcPr>
            <w:tcW w:w="2610" w:type="dxa"/>
            <w:vMerge w:val="continue"/>
            <w:vAlign w:val="center"/>
          </w:tcPr>
          <w:p>
            <w:pPr>
              <w:rPr>
                <w:rFonts w:hint="eastAsia" w:ascii="仿宋" w:hAnsi="仿宋" w:eastAsia="仿宋" w:cs="宋体"/>
                <w:color w:val="000000"/>
                <w:kern w:val="0"/>
                <w:sz w:val="24"/>
                <w:szCs w:val="24"/>
                <w:lang w:val="en-US" w:eastAsia="zh-CN" w:bidi="ar-SA"/>
              </w:rPr>
            </w:pP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4、第十八条档案验收中应由城乡建设档案管理机构协调；</w:t>
            </w:r>
          </w:p>
        </w:tc>
        <w:tc>
          <w:tcPr>
            <w:tcW w:w="4784" w:type="dxa"/>
          </w:tcPr>
          <w:p>
            <w:pP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采纳，已对相关条文进行修改。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140" w:type="dxa"/>
            <w:vMerge w:val="continue"/>
            <w:vAlign w:val="center"/>
          </w:tcPr>
          <w:p>
            <w:pPr>
              <w:rPr>
                <w:rFonts w:hint="eastAsia" w:ascii="仿宋" w:hAnsi="仿宋" w:eastAsia="仿宋" w:cs="宋体"/>
                <w:color w:val="000000"/>
                <w:kern w:val="0"/>
                <w:sz w:val="24"/>
                <w:szCs w:val="24"/>
                <w:lang w:val="en-US" w:eastAsia="zh-CN" w:bidi="ar-SA"/>
              </w:rPr>
            </w:pPr>
          </w:p>
        </w:tc>
        <w:tc>
          <w:tcPr>
            <w:tcW w:w="2610" w:type="dxa"/>
            <w:vMerge w:val="continue"/>
            <w:vAlign w:val="center"/>
          </w:tcPr>
          <w:p>
            <w:pPr>
              <w:rPr>
                <w:rFonts w:hint="eastAsia" w:ascii="仿宋" w:hAnsi="仿宋" w:eastAsia="仿宋" w:cs="宋体"/>
                <w:color w:val="000000"/>
                <w:kern w:val="0"/>
                <w:sz w:val="24"/>
                <w:szCs w:val="24"/>
                <w:lang w:val="en-US" w:eastAsia="zh-CN" w:bidi="ar-SA"/>
              </w:rPr>
            </w:pP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5、第十九条如何保障城建档案能依时提交，明确我市联合验收之前进行城建档案预先验收；</w:t>
            </w:r>
          </w:p>
        </w:tc>
        <w:tc>
          <w:tcPr>
            <w:tcW w:w="4784" w:type="dxa"/>
          </w:tcPr>
          <w:p>
            <w:pP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采纳，已在第十六条中明确。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140" w:type="dxa"/>
            <w:vMerge w:val="continue"/>
            <w:vAlign w:val="center"/>
          </w:tcPr>
          <w:p>
            <w:pPr>
              <w:rPr>
                <w:rFonts w:hint="eastAsia" w:ascii="仿宋" w:hAnsi="仿宋" w:eastAsia="仿宋" w:cs="宋体"/>
                <w:color w:val="000000"/>
                <w:kern w:val="0"/>
                <w:sz w:val="24"/>
                <w:szCs w:val="24"/>
                <w:lang w:val="en-US" w:eastAsia="zh-CN" w:bidi="ar-SA"/>
              </w:rPr>
            </w:pPr>
          </w:p>
        </w:tc>
        <w:tc>
          <w:tcPr>
            <w:tcW w:w="2610" w:type="dxa"/>
            <w:vMerge w:val="continue"/>
            <w:vAlign w:val="center"/>
          </w:tcPr>
          <w:p>
            <w:pPr>
              <w:rPr>
                <w:rFonts w:hint="eastAsia" w:ascii="仿宋" w:hAnsi="仿宋" w:eastAsia="仿宋" w:cs="宋体"/>
                <w:color w:val="000000"/>
                <w:kern w:val="0"/>
                <w:sz w:val="24"/>
                <w:szCs w:val="24"/>
                <w:lang w:val="en-US" w:eastAsia="zh-CN" w:bidi="ar-SA"/>
              </w:rPr>
            </w:pPr>
          </w:p>
        </w:tc>
        <w:tc>
          <w:tcPr>
            <w:tcW w:w="5370" w:type="dxa"/>
            <w:vAlign w:val="top"/>
          </w:tcPr>
          <w:p>
            <w:pP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6、市城乡建设档案管理机构应明确为《管理办法》主体。</w:t>
            </w:r>
          </w:p>
        </w:tc>
        <w:tc>
          <w:tcPr>
            <w:tcW w:w="4784" w:type="dxa"/>
          </w:tcPr>
          <w:p>
            <w:pP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采纳，在第六条、第七条中有相关内容表述。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黄贤勇</w:t>
            </w:r>
          </w:p>
        </w:tc>
        <w:tc>
          <w:tcPr>
            <w:tcW w:w="2610" w:type="dxa"/>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群众代表</w:t>
            </w: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sz w:val="32"/>
                <w:szCs w:val="32"/>
                <w:vertAlign w:val="baseline"/>
              </w:rPr>
            </w:pPr>
            <w:r>
              <w:rPr>
                <w:rFonts w:hint="eastAsia" w:ascii="仿宋" w:hAnsi="仿宋" w:eastAsia="仿宋" w:cs="宋体"/>
                <w:color w:val="000000"/>
                <w:kern w:val="0"/>
                <w:sz w:val="24"/>
                <w:szCs w:val="24"/>
                <w:lang w:val="en-US" w:eastAsia="zh-CN" w:bidi="ar-SA"/>
              </w:rPr>
              <w:t>建议《管理办法》出台以后，可以对建设单位提出要移交的具体的清单以及档案整理的相关指引和要求。</w:t>
            </w:r>
          </w:p>
        </w:tc>
        <w:tc>
          <w:tcPr>
            <w:tcW w:w="4784" w:type="dxa"/>
          </w:tcPr>
          <w:p>
            <w:pPr>
              <w:rPr>
                <w:rFonts w:hint="eastAsia" w:ascii="仿宋" w:hAnsi="仿宋" w:eastAsia="仿宋" w:cs="仿宋"/>
                <w:sz w:val="32"/>
                <w:szCs w:val="32"/>
                <w:vertAlign w:val="baseline"/>
              </w:rPr>
            </w:pPr>
            <w:r>
              <w:rPr>
                <w:rFonts w:hint="eastAsia" w:ascii="仿宋" w:hAnsi="仿宋" w:eastAsia="仿宋" w:cs="宋体"/>
                <w:color w:val="000000"/>
                <w:kern w:val="0"/>
                <w:sz w:val="24"/>
                <w:szCs w:val="24"/>
                <w:lang w:val="en-US" w:eastAsia="zh-CN" w:bidi="ar-SA"/>
              </w:rPr>
              <w:t>解释，城建档案的移交标准与要求另行制定。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黄永芳</w:t>
            </w:r>
          </w:p>
        </w:tc>
        <w:tc>
          <w:tcPr>
            <w:tcW w:w="2610" w:type="dxa"/>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群众代表</w:t>
            </w: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sz w:val="32"/>
                <w:szCs w:val="32"/>
                <w:vertAlign w:val="baseline"/>
              </w:rPr>
            </w:pPr>
            <w:r>
              <w:rPr>
                <w:rFonts w:hint="eastAsia" w:ascii="仿宋" w:hAnsi="仿宋" w:eastAsia="仿宋" w:cs="宋体"/>
                <w:color w:val="000000"/>
                <w:kern w:val="0"/>
                <w:sz w:val="24"/>
                <w:szCs w:val="24"/>
                <w:lang w:val="en-US" w:eastAsia="zh-CN" w:bidi="ar-SA"/>
              </w:rPr>
              <w:t>建议验收方面希望增加群众一起参与验收，完善群众参与监督。</w:t>
            </w:r>
          </w:p>
        </w:tc>
        <w:tc>
          <w:tcPr>
            <w:tcW w:w="4784" w:type="dxa"/>
          </w:tcPr>
          <w:p>
            <w:pPr>
              <w:rPr>
                <w:rFonts w:hint="eastAsia" w:ascii="仿宋" w:hAnsi="仿宋" w:eastAsia="仿宋" w:cs="仿宋"/>
                <w:sz w:val="32"/>
                <w:szCs w:val="32"/>
                <w:vertAlign w:val="baseline"/>
              </w:rPr>
            </w:pPr>
            <w:r>
              <w:rPr>
                <w:rFonts w:hint="eastAsia" w:ascii="仿宋" w:hAnsi="仿宋" w:eastAsia="仿宋" w:cs="宋体"/>
                <w:color w:val="000000"/>
                <w:kern w:val="0"/>
                <w:sz w:val="24"/>
                <w:szCs w:val="24"/>
                <w:lang w:val="en-US" w:eastAsia="zh-CN" w:bidi="ar-SA"/>
              </w:rPr>
              <w:t>解释，城建档案的验收需由专业技术人员负责；城建档案管理机构接受上级城建档案管理部门及同级档案行政主管部门的监督和指导。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张燕开</w:t>
            </w:r>
          </w:p>
        </w:tc>
        <w:tc>
          <w:tcPr>
            <w:tcW w:w="2610" w:type="dxa"/>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群众代表</w:t>
            </w: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建议进一步完善城建档案管理规范，尽量简化档案查阅流程，节省公众办理时间。</w:t>
            </w:r>
          </w:p>
        </w:tc>
        <w:tc>
          <w:tcPr>
            <w:tcW w:w="4784" w:type="dxa"/>
          </w:tcPr>
          <w:p>
            <w:pPr>
              <w:rPr>
                <w:rFonts w:hint="eastAsia" w:ascii="仿宋" w:hAnsi="仿宋" w:eastAsia="仿宋" w:cs="仿宋"/>
                <w:sz w:val="32"/>
                <w:szCs w:val="32"/>
                <w:vertAlign w:val="baseline"/>
              </w:rPr>
            </w:pPr>
            <w:r>
              <w:rPr>
                <w:rFonts w:hint="eastAsia" w:ascii="仿宋" w:hAnsi="仿宋" w:eastAsia="仿宋" w:cs="宋体"/>
                <w:color w:val="000000"/>
                <w:kern w:val="0"/>
                <w:sz w:val="24"/>
                <w:szCs w:val="24"/>
                <w:lang w:val="en-US" w:eastAsia="zh-CN" w:bidi="ar-SA"/>
              </w:rPr>
              <w:t>解释，城建档案查阅利用的流程和办理时间另行规定。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4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李卫宇</w:t>
            </w:r>
          </w:p>
        </w:tc>
        <w:tc>
          <w:tcPr>
            <w:tcW w:w="2610" w:type="dxa"/>
            <w:vMerge w:val="restart"/>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政府部门代表</w:t>
            </w: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1、第十八条请以机构改革后新部门规范部门职责。</w:t>
            </w:r>
          </w:p>
        </w:tc>
        <w:tc>
          <w:tcPr>
            <w:tcW w:w="4784" w:type="dxa"/>
          </w:tcPr>
          <w:p>
            <w:pPr>
              <w:rPr>
                <w:rFonts w:hint="eastAsia" w:ascii="仿宋" w:hAnsi="仿宋" w:eastAsia="仿宋" w:cs="仿宋"/>
                <w:color w:val="0000FF"/>
                <w:sz w:val="32"/>
                <w:szCs w:val="32"/>
                <w:vertAlign w:val="baseline"/>
              </w:rPr>
            </w:pPr>
            <w:r>
              <w:rPr>
                <w:rFonts w:hint="eastAsia" w:ascii="仿宋" w:hAnsi="仿宋" w:eastAsia="仿宋" w:cs="宋体"/>
                <w:color w:val="000000"/>
                <w:kern w:val="0"/>
                <w:sz w:val="24"/>
                <w:szCs w:val="24"/>
                <w:lang w:val="en-US" w:eastAsia="zh-CN" w:bidi="ar-SA"/>
              </w:rPr>
              <w:t>采纳，已对相关条文进行修改。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14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261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2、根据省《关于印发广东省工程建设项目审批流程图示范文本和主要审批事项清单的函》（粤建办〔2019〕24号）已明确建设工程城建档案验收的时限，验收清单，建议本办法融入新验收流程，确保档案验收与移交有效衔接。</w:t>
            </w:r>
          </w:p>
        </w:tc>
        <w:tc>
          <w:tcPr>
            <w:tcW w:w="4784"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FF"/>
                <w:kern w:val="0"/>
                <w:sz w:val="24"/>
                <w:szCs w:val="24"/>
                <w:lang w:val="en-US" w:eastAsia="zh-CN" w:bidi="ar-SA"/>
              </w:rPr>
            </w:pPr>
            <w:r>
              <w:rPr>
                <w:rFonts w:hint="eastAsia" w:ascii="仿宋" w:hAnsi="仿宋" w:eastAsia="仿宋" w:cs="宋体"/>
                <w:color w:val="000000"/>
                <w:kern w:val="0"/>
                <w:sz w:val="24"/>
                <w:szCs w:val="24"/>
                <w:lang w:val="en-US" w:eastAsia="zh-CN" w:bidi="ar-SA"/>
              </w:rPr>
              <w:t>采纳，已对相关条文进行修改。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14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邓石海</w:t>
            </w:r>
          </w:p>
        </w:tc>
        <w:tc>
          <w:tcPr>
            <w:tcW w:w="2610" w:type="dxa"/>
            <w:vMerge w:val="restart"/>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政府部门代表</w:t>
            </w: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color w:val="0000FF"/>
                <w:sz w:val="32"/>
                <w:szCs w:val="32"/>
                <w:vertAlign w:val="baseline"/>
              </w:rPr>
            </w:pPr>
            <w:r>
              <w:rPr>
                <w:rFonts w:hint="eastAsia" w:ascii="仿宋" w:hAnsi="仿宋" w:eastAsia="仿宋" w:cs="宋体"/>
                <w:color w:val="auto"/>
                <w:kern w:val="0"/>
                <w:sz w:val="24"/>
                <w:szCs w:val="24"/>
                <w:lang w:val="en-US" w:eastAsia="zh-CN" w:bidi="ar-SA"/>
              </w:rPr>
              <w:t>1、第十八条明确“市重大建设项目”范围；</w:t>
            </w:r>
          </w:p>
        </w:tc>
        <w:tc>
          <w:tcPr>
            <w:tcW w:w="4784" w:type="dxa"/>
            <w:vAlign w:val="top"/>
          </w:tcPr>
          <w:p>
            <w:pPr>
              <w:rPr>
                <w:rFonts w:hint="eastAsia" w:ascii="仿宋" w:hAnsi="仿宋" w:eastAsia="仿宋" w:cs="仿宋"/>
                <w:sz w:val="32"/>
                <w:szCs w:val="32"/>
                <w:vertAlign w:val="baseline"/>
              </w:rPr>
            </w:pPr>
            <w:r>
              <w:rPr>
                <w:rFonts w:hint="eastAsia" w:ascii="仿宋" w:hAnsi="仿宋" w:eastAsia="仿宋" w:cs="宋体"/>
                <w:color w:val="auto"/>
                <w:kern w:val="0"/>
                <w:sz w:val="24"/>
                <w:szCs w:val="24"/>
                <w:lang w:val="en-US" w:eastAsia="zh-CN" w:bidi="ar-SA"/>
              </w:rPr>
              <w:t>解释，“市重大建设项目”是指纳入市年度重大建设项目计划的项目。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14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261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FF"/>
                <w:kern w:val="0"/>
                <w:sz w:val="24"/>
                <w:szCs w:val="24"/>
                <w:lang w:val="en-US" w:eastAsia="zh-CN" w:bidi="ar-SA"/>
              </w:rPr>
            </w:pPr>
            <w:r>
              <w:rPr>
                <w:rFonts w:hint="eastAsia" w:ascii="仿宋" w:hAnsi="仿宋" w:eastAsia="仿宋" w:cs="宋体"/>
                <w:color w:val="auto"/>
                <w:kern w:val="0"/>
                <w:sz w:val="24"/>
                <w:szCs w:val="24"/>
                <w:lang w:val="en-US" w:eastAsia="zh-CN" w:bidi="ar-SA"/>
              </w:rPr>
              <w:t>2、第十九条“移交一套完整的建设工程档案”，明确是否应提供原件。</w:t>
            </w:r>
          </w:p>
        </w:tc>
        <w:tc>
          <w:tcPr>
            <w:tcW w:w="4784"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auto"/>
                <w:kern w:val="0"/>
                <w:sz w:val="24"/>
                <w:szCs w:val="24"/>
                <w:lang w:val="en-US" w:eastAsia="zh-CN" w:bidi="ar-SA"/>
              </w:rPr>
              <w:t>采纳，已在相关条文中明确移交的一套完整建设工程档案应为原件。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14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刘伟雄</w:t>
            </w:r>
          </w:p>
        </w:tc>
        <w:tc>
          <w:tcPr>
            <w:tcW w:w="2610" w:type="dxa"/>
            <w:vMerge w:val="restart"/>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政府部门代表</w:t>
            </w: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default" w:ascii="仿宋" w:hAnsi="仿宋" w:eastAsia="仿宋" w:cs="仿宋"/>
                <w:sz w:val="32"/>
                <w:szCs w:val="32"/>
                <w:vertAlign w:val="baseline"/>
                <w:lang w:val="en-US"/>
              </w:rPr>
            </w:pPr>
            <w:r>
              <w:rPr>
                <w:rFonts w:hint="eastAsia" w:ascii="仿宋" w:hAnsi="仿宋" w:eastAsia="仿宋" w:cs="宋体"/>
                <w:color w:val="000000"/>
                <w:kern w:val="0"/>
                <w:sz w:val="24"/>
                <w:szCs w:val="24"/>
                <w:lang w:val="en-US" w:eastAsia="zh-CN" w:bidi="ar-SA"/>
              </w:rPr>
              <w:t>1、城乡建设档案应分类列</w:t>
            </w:r>
            <w:r>
              <w:rPr>
                <w:rFonts w:hint="eastAsia" w:ascii="仿宋" w:hAnsi="仿宋" w:eastAsia="仿宋" w:cs="宋体"/>
                <w:color w:val="auto"/>
                <w:kern w:val="0"/>
                <w:sz w:val="24"/>
                <w:szCs w:val="24"/>
                <w:lang w:val="en-US" w:eastAsia="zh-CN" w:bidi="ar-SA"/>
              </w:rPr>
              <w:t>出其资料清单和相应的管理机构；</w:t>
            </w:r>
          </w:p>
        </w:tc>
        <w:tc>
          <w:tcPr>
            <w:tcW w:w="4784" w:type="dxa"/>
            <w:vAlign w:val="top"/>
          </w:tcPr>
          <w:p>
            <w:pPr>
              <w:rPr>
                <w:rFonts w:hint="eastAsia" w:ascii="仿宋" w:hAnsi="仿宋" w:eastAsia="仿宋" w:cs="仿宋"/>
                <w:sz w:val="32"/>
                <w:szCs w:val="32"/>
                <w:vertAlign w:val="baseline"/>
              </w:rPr>
            </w:pPr>
            <w:r>
              <w:rPr>
                <w:rFonts w:hint="eastAsia" w:ascii="仿宋" w:hAnsi="仿宋" w:eastAsia="仿宋" w:cs="宋体"/>
                <w:color w:val="auto"/>
                <w:kern w:val="0"/>
                <w:sz w:val="24"/>
                <w:szCs w:val="24"/>
                <w:lang w:val="en-US" w:eastAsia="zh-CN" w:bidi="ar-SA"/>
              </w:rPr>
              <w:t>解释，城建档案的移交清单目录另行制定；第七条中已明确城乡建设档案管理机构应覆行的职责。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14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261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2、配备相应专职人员管理，配足经费、硬件和空间等；</w:t>
            </w:r>
          </w:p>
        </w:tc>
        <w:tc>
          <w:tcPr>
            <w:tcW w:w="4784"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采纳，在第四条、第二十五条、第二十六条、第二十七条、第二十八条中有相关内容表述。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14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p>
        </w:tc>
        <w:tc>
          <w:tcPr>
            <w:tcW w:w="261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3、第十三条园区的重点建设工程改为“....园区的所有工程”。</w:t>
            </w:r>
          </w:p>
        </w:tc>
        <w:tc>
          <w:tcPr>
            <w:tcW w:w="4784"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采纳，已对条文内容进行修改。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14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林清华</w:t>
            </w:r>
          </w:p>
        </w:tc>
        <w:tc>
          <w:tcPr>
            <w:tcW w:w="2610" w:type="dxa"/>
            <w:vMerge w:val="restart"/>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政府部门代表</w:t>
            </w: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1、第七条（一）中心城区范围包括云城区的云城、思劳腰古组团和云安区的六都、西江新城组团。建议在云城后增加高峰、河口、安塘；</w:t>
            </w:r>
          </w:p>
        </w:tc>
        <w:tc>
          <w:tcPr>
            <w:tcW w:w="4784" w:type="dxa"/>
            <w:vAlign w:val="top"/>
          </w:tcPr>
          <w:p>
            <w:pPr>
              <w:rPr>
                <w:rFonts w:hint="eastAsia" w:ascii="仿宋" w:hAnsi="仿宋" w:eastAsia="仿宋" w:cs="仿宋"/>
                <w:sz w:val="32"/>
                <w:szCs w:val="32"/>
                <w:vertAlign w:val="baseline"/>
              </w:rPr>
            </w:pPr>
            <w:r>
              <w:rPr>
                <w:rFonts w:hint="eastAsia" w:ascii="仿宋" w:hAnsi="仿宋" w:eastAsia="仿宋" w:cs="宋体"/>
                <w:color w:val="000000"/>
                <w:kern w:val="0"/>
                <w:sz w:val="24"/>
                <w:szCs w:val="24"/>
                <w:lang w:val="en-US" w:eastAsia="zh-CN" w:bidi="ar-SA"/>
              </w:rPr>
              <w:t>采纳，已对相关条文进行修改。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14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261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2、第八条建议删除新区管委会、园区管委会，这两个区域统一由市城乡建设档案馆收集管理；</w:t>
            </w:r>
          </w:p>
        </w:tc>
        <w:tc>
          <w:tcPr>
            <w:tcW w:w="4784"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采纳，已对相关条文进行修改。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14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p>
        </w:tc>
        <w:tc>
          <w:tcPr>
            <w:tcW w:w="261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3、第六条（三）建议协调改为协调推进；</w:t>
            </w:r>
          </w:p>
        </w:tc>
        <w:tc>
          <w:tcPr>
            <w:tcW w:w="4784"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采纳，已对条文内容进行修改。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14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p>
        </w:tc>
        <w:tc>
          <w:tcPr>
            <w:tcW w:w="261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4、第二条建议载体的文件、记录和数据改为载体的文件、记录、图片、图表和数据。</w:t>
            </w:r>
          </w:p>
        </w:tc>
        <w:tc>
          <w:tcPr>
            <w:tcW w:w="4784"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采纳，已对条文内容进行修改。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14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黄伟花</w:t>
            </w:r>
          </w:p>
        </w:tc>
        <w:tc>
          <w:tcPr>
            <w:tcW w:w="2610" w:type="dxa"/>
            <w:vMerge w:val="restart"/>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政府部门代表</w:t>
            </w: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sz w:val="32"/>
                <w:szCs w:val="32"/>
                <w:vertAlign w:val="baseline"/>
              </w:rPr>
            </w:pPr>
            <w:r>
              <w:rPr>
                <w:rFonts w:hint="eastAsia" w:ascii="仿宋" w:hAnsi="仿宋" w:eastAsia="仿宋" w:cs="宋体"/>
                <w:color w:val="000000"/>
                <w:kern w:val="0"/>
                <w:sz w:val="24"/>
                <w:szCs w:val="24"/>
                <w:lang w:val="en-US" w:eastAsia="zh-CN" w:bidi="ar-SA"/>
              </w:rPr>
              <w:t>1、第十六条“建设单位在建设工程竣工备案前”修改为“建设单位在建设工程竣工备案后”，由建设单位将城建资料移交城建档案馆。</w:t>
            </w:r>
          </w:p>
        </w:tc>
        <w:tc>
          <w:tcPr>
            <w:tcW w:w="4784" w:type="dxa"/>
            <w:vAlign w:val="top"/>
          </w:tcPr>
          <w:p>
            <w:pPr>
              <w:rPr>
                <w:rFonts w:hint="eastAsia" w:ascii="仿宋" w:hAnsi="仿宋" w:eastAsia="仿宋" w:cs="仿宋"/>
                <w:sz w:val="32"/>
                <w:szCs w:val="32"/>
                <w:vertAlign w:val="baseline"/>
              </w:rPr>
            </w:pPr>
            <w:r>
              <w:rPr>
                <w:rFonts w:hint="eastAsia" w:ascii="仿宋" w:hAnsi="仿宋" w:eastAsia="仿宋" w:cs="宋体"/>
                <w:color w:val="000000"/>
                <w:kern w:val="0"/>
                <w:sz w:val="24"/>
                <w:szCs w:val="24"/>
                <w:lang w:val="en-US" w:eastAsia="zh-CN" w:bidi="ar-SA"/>
              </w:rPr>
              <w:t>解释，该条文是指对建设工程竣工备案前的档案预验收，而建设工程竣工备案后的城建档案移交要求在第十九条中有表述。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14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261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2、第十八条“由住建部门统筹协调”应改为“市自然资源局”统筹协调。</w:t>
            </w:r>
          </w:p>
        </w:tc>
        <w:tc>
          <w:tcPr>
            <w:tcW w:w="4784"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采纳，已对相关条文进行修改。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14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梁东强</w:t>
            </w:r>
          </w:p>
        </w:tc>
        <w:tc>
          <w:tcPr>
            <w:tcW w:w="261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政府部门代表</w:t>
            </w: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1、明确《管理办法》的制定主体，第四条“市人民政府应当加强...”建议修改；</w:t>
            </w:r>
          </w:p>
        </w:tc>
        <w:tc>
          <w:tcPr>
            <w:tcW w:w="4784"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采纳，已对相关条文进行修改。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14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261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2、第二条“本办法适用于本市行政区域”是否包括各县（市、区），第二条与第七条的“中心城区包括...”是否有矛盾？</w:t>
            </w:r>
          </w:p>
        </w:tc>
        <w:tc>
          <w:tcPr>
            <w:tcW w:w="4784"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采纳，已对相关条文进行修改。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14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刘红日</w:t>
            </w:r>
          </w:p>
        </w:tc>
        <w:tc>
          <w:tcPr>
            <w:tcW w:w="2610" w:type="dxa"/>
            <w:vMerge w:val="restart"/>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政府部门代表</w:t>
            </w: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bidi="ar-SA"/>
              </w:rPr>
              <w:t>1、水利部水办〔2008〕366号文件规定水利部门只有大中型的水利工程项目才有专门的工程档案验收，不合格不能进行项目竣工验收。目前，一般的工程项目有建立工程档案，但没有专门验收。</w:t>
            </w:r>
          </w:p>
        </w:tc>
        <w:tc>
          <w:tcPr>
            <w:tcW w:w="4784" w:type="dxa"/>
          </w:tcPr>
          <w:p>
            <w:pPr>
              <w:rPr>
                <w:rFonts w:hint="eastAsia" w:ascii="仿宋" w:hAnsi="仿宋" w:eastAsia="仿宋" w:cs="仿宋"/>
                <w:sz w:val="32"/>
                <w:szCs w:val="32"/>
                <w:vertAlign w:val="baseline"/>
              </w:rPr>
            </w:pPr>
            <w:r>
              <w:rPr>
                <w:rFonts w:hint="eastAsia" w:ascii="仿宋" w:hAnsi="仿宋" w:eastAsia="仿宋" w:cs="宋体"/>
                <w:color w:val="000000"/>
                <w:kern w:val="0"/>
                <w:sz w:val="24"/>
                <w:szCs w:val="24"/>
                <w:lang w:val="en-US" w:eastAsia="zh-CN" w:bidi="ar-SA"/>
              </w:rPr>
              <w:t>采纳，已对相关条文进行修改。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14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261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2、《管理办法》中“水务主管部门”修改为“水行政主管部门”，进一步规范水利、水务等表述。</w:t>
            </w:r>
          </w:p>
        </w:tc>
        <w:tc>
          <w:tcPr>
            <w:tcW w:w="4784"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采纳，已对相关条文进行规范表述。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14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何水坤</w:t>
            </w:r>
          </w:p>
        </w:tc>
        <w:tc>
          <w:tcPr>
            <w:tcW w:w="2610" w:type="dxa"/>
            <w:vMerge w:val="restart"/>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政府部门代表</w:t>
            </w: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bidi="ar-SA"/>
              </w:rPr>
              <w:t>1、建议在建筑工程竣工预验收阶段，工程档案一并进行预验收，预验收不合格或未整改完成的，不得进行竣工验收。</w:t>
            </w:r>
          </w:p>
        </w:tc>
        <w:tc>
          <w:tcPr>
            <w:tcW w:w="4784" w:type="dxa"/>
          </w:tcPr>
          <w:p>
            <w:pPr>
              <w:rPr>
                <w:rFonts w:hint="eastAsia" w:ascii="仿宋" w:hAnsi="仿宋" w:eastAsia="仿宋" w:cs="仿宋"/>
                <w:sz w:val="32"/>
                <w:szCs w:val="32"/>
                <w:vertAlign w:val="baseline"/>
              </w:rPr>
            </w:pPr>
            <w:r>
              <w:rPr>
                <w:rFonts w:hint="eastAsia" w:ascii="仿宋" w:hAnsi="仿宋" w:eastAsia="仿宋" w:cs="宋体"/>
                <w:color w:val="000000"/>
                <w:kern w:val="0"/>
                <w:sz w:val="24"/>
                <w:szCs w:val="24"/>
                <w:lang w:val="en-US" w:eastAsia="zh-CN" w:bidi="ar-SA"/>
              </w:rPr>
              <w:t>采纳，在第十六条中有相关内容表述。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14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261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2、建议主管部门开发城建档案软件系统，统一本市城建档案卷宗制作的标准、格式、目录等。</w:t>
            </w:r>
          </w:p>
        </w:tc>
        <w:tc>
          <w:tcPr>
            <w:tcW w:w="4784"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解释，城建档案管理的系统开发，以及移交标准与要求另行制定。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14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p>
        </w:tc>
        <w:tc>
          <w:tcPr>
            <w:tcW w:w="261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p>
        </w:tc>
        <w:tc>
          <w:tcPr>
            <w:tcW w:w="537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3、建议到企业进行档案建设的调研。</w:t>
            </w:r>
          </w:p>
        </w:tc>
        <w:tc>
          <w:tcPr>
            <w:tcW w:w="478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采纳，对有关企业开展档案建设调研。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14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何丽娥</w:t>
            </w:r>
          </w:p>
        </w:tc>
        <w:tc>
          <w:tcPr>
            <w:tcW w:w="2610" w:type="dxa"/>
            <w:vMerge w:val="restart"/>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bidi="ar-SA"/>
              </w:rPr>
              <w:t>企业代表</w:t>
            </w: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1、针对第七条规定，明确跨区工程如管线工程跨市县，如何界定归属区域；</w:t>
            </w:r>
          </w:p>
        </w:tc>
        <w:tc>
          <w:tcPr>
            <w:tcW w:w="4784" w:type="dxa"/>
          </w:tcPr>
          <w:p>
            <w:pPr>
              <w:rPr>
                <w:rFonts w:hint="eastAsia" w:ascii="仿宋" w:hAnsi="仿宋" w:eastAsia="仿宋" w:cs="仿宋"/>
                <w:sz w:val="32"/>
                <w:szCs w:val="32"/>
                <w:vertAlign w:val="baseline"/>
              </w:rPr>
            </w:pPr>
            <w:r>
              <w:rPr>
                <w:rFonts w:hint="eastAsia" w:ascii="仿宋" w:hAnsi="仿宋" w:eastAsia="仿宋" w:cs="宋体"/>
                <w:color w:val="000000"/>
                <w:kern w:val="0"/>
                <w:sz w:val="24"/>
                <w:szCs w:val="24"/>
                <w:lang w:val="en-US" w:eastAsia="zh-CN" w:bidi="ar-SA"/>
              </w:rPr>
              <w:t>采纳，已对相关条文进行修改。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14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261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2、针对第十九条、第二十三条，一套完整的工程档案是如何界定何为完整，请明确规定、标准、范围，是否需要原件？</w:t>
            </w:r>
          </w:p>
        </w:tc>
        <w:tc>
          <w:tcPr>
            <w:tcW w:w="4784"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解释，城建档案的移交标准与要求另行制定；</w:t>
            </w:r>
            <w:r>
              <w:rPr>
                <w:rFonts w:hint="eastAsia" w:ascii="仿宋" w:hAnsi="仿宋" w:eastAsia="仿宋" w:cs="宋体"/>
                <w:color w:val="auto"/>
                <w:kern w:val="0"/>
                <w:sz w:val="24"/>
                <w:szCs w:val="24"/>
                <w:lang w:val="en-US" w:eastAsia="zh-CN" w:bidi="ar-SA"/>
              </w:rPr>
              <w:t>移交一套完整的建设工程档案应为原件。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14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p>
        </w:tc>
        <w:tc>
          <w:tcPr>
            <w:tcW w:w="261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3、针对第二十三条中的第三方竣工验收测量单位，是否有指定单位？管线工程建设单位原有的竣工验收测量单位出具报告是否可以？</w:t>
            </w:r>
          </w:p>
        </w:tc>
        <w:tc>
          <w:tcPr>
            <w:tcW w:w="4784"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解释，具备资质条件的第三方竣工验收测量单位均可对管线工程进行竣工验收测量；原有的竣工验收测量单位具备资质条件的，所出具报告有效。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范  萍</w:t>
            </w:r>
          </w:p>
        </w:tc>
        <w:tc>
          <w:tcPr>
            <w:tcW w:w="2610" w:type="dxa"/>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bidi="ar-SA"/>
              </w:rPr>
              <w:t>企业代表</w:t>
            </w: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无意见。</w:t>
            </w:r>
          </w:p>
        </w:tc>
        <w:tc>
          <w:tcPr>
            <w:tcW w:w="4784" w:type="dxa"/>
          </w:tcPr>
          <w:p>
            <w:pP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黄灵发</w:t>
            </w:r>
          </w:p>
        </w:tc>
        <w:tc>
          <w:tcPr>
            <w:tcW w:w="2610" w:type="dxa"/>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bidi="ar-SA"/>
              </w:rPr>
              <w:t>企业代表</w:t>
            </w:r>
          </w:p>
        </w:tc>
        <w:tc>
          <w:tcPr>
            <w:tcW w:w="5370" w:type="dxa"/>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无意见。</w:t>
            </w:r>
          </w:p>
        </w:tc>
        <w:tc>
          <w:tcPr>
            <w:tcW w:w="4784" w:type="dxa"/>
          </w:tcPr>
          <w:p>
            <w:pP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余建初</w:t>
            </w:r>
          </w:p>
        </w:tc>
        <w:tc>
          <w:tcPr>
            <w:tcW w:w="2610" w:type="dxa"/>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行业协会</w:t>
            </w:r>
            <w:r>
              <w:rPr>
                <w:rFonts w:hint="eastAsia" w:ascii="宋体" w:hAnsi="宋体" w:cs="宋体"/>
                <w:b/>
                <w:bCs/>
                <w:color w:val="000000"/>
                <w:kern w:val="0"/>
                <w:sz w:val="24"/>
                <w:szCs w:val="24"/>
                <w:lang w:val="en-US" w:eastAsia="zh-CN" w:bidi="ar-SA"/>
              </w:rPr>
              <w:t>代表</w:t>
            </w:r>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无意见。</w:t>
            </w:r>
          </w:p>
        </w:tc>
        <w:tc>
          <w:tcPr>
            <w:tcW w:w="4784" w:type="dxa"/>
            <w:vAlign w:val="top"/>
          </w:tcPr>
          <w:p>
            <w:pP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vAlign w:val="center"/>
          </w:tcPr>
          <w:p>
            <w:pPr>
              <w:pStyle w:val="7"/>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陈健诚</w:t>
            </w:r>
          </w:p>
        </w:tc>
        <w:tc>
          <w:tcPr>
            <w:tcW w:w="2610" w:type="dxa"/>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建设单位代表</w:t>
            </w:r>
            <w:bookmarkStart w:id="0" w:name="_GoBack"/>
            <w:bookmarkEnd w:id="0"/>
          </w:p>
        </w:tc>
        <w:tc>
          <w:tcPr>
            <w:tcW w:w="5370" w:type="dxa"/>
            <w:vAlign w:val="top"/>
          </w:tcPr>
          <w:p>
            <w:pPr>
              <w:pStyle w:val="1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建议进一步加强城建档案管理，实现档案资源共享，实现电子档案管理。</w:t>
            </w:r>
          </w:p>
        </w:tc>
        <w:tc>
          <w:tcPr>
            <w:tcW w:w="4784" w:type="dxa"/>
            <w:vAlign w:val="top"/>
          </w:tcPr>
          <w:p>
            <w:pPr>
              <w:rPr>
                <w:rFonts w:hint="eastAsia" w:ascii="仿宋" w:hAnsi="仿宋" w:eastAsia="仿宋" w:cs="仿宋"/>
                <w:sz w:val="32"/>
                <w:szCs w:val="32"/>
                <w:vertAlign w:val="baseline"/>
              </w:rPr>
            </w:pPr>
            <w:r>
              <w:rPr>
                <w:rFonts w:hint="eastAsia" w:ascii="仿宋" w:hAnsi="仿宋" w:eastAsia="仿宋" w:cs="宋体"/>
                <w:color w:val="000000"/>
                <w:kern w:val="0"/>
                <w:sz w:val="24"/>
                <w:szCs w:val="24"/>
                <w:lang w:val="en-US" w:eastAsia="zh-CN" w:bidi="ar-SA"/>
              </w:rPr>
              <w:t>采纳，在第二十八条、第二十九条中有相关内容表述。</w:t>
            </w:r>
          </w:p>
        </w:tc>
      </w:tr>
    </w:tbl>
    <w:p>
      <w:pPr>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6838" w:h="11906" w:orient="landscape"/>
      <w:pgMar w:top="1134" w:right="1440" w:bottom="1134"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965CF"/>
    <w:rsid w:val="01BB34A9"/>
    <w:rsid w:val="03CF7B7B"/>
    <w:rsid w:val="04F965CF"/>
    <w:rsid w:val="19F571D4"/>
    <w:rsid w:val="1AC573E0"/>
    <w:rsid w:val="1D9F7AB9"/>
    <w:rsid w:val="296237EF"/>
    <w:rsid w:val="2BB846DC"/>
    <w:rsid w:val="2BBD4BFB"/>
    <w:rsid w:val="2F5D5879"/>
    <w:rsid w:val="3132220A"/>
    <w:rsid w:val="32ED3BE0"/>
    <w:rsid w:val="396011A8"/>
    <w:rsid w:val="398F4D6E"/>
    <w:rsid w:val="3B485168"/>
    <w:rsid w:val="3D65599F"/>
    <w:rsid w:val="3DD80529"/>
    <w:rsid w:val="3E6222BC"/>
    <w:rsid w:val="3E9E45B5"/>
    <w:rsid w:val="45946BD0"/>
    <w:rsid w:val="4AF8137F"/>
    <w:rsid w:val="4B386854"/>
    <w:rsid w:val="4C5965F9"/>
    <w:rsid w:val="50F23DA5"/>
    <w:rsid w:val="561959CE"/>
    <w:rsid w:val="56C07262"/>
    <w:rsid w:val="592B4F3A"/>
    <w:rsid w:val="5B141622"/>
    <w:rsid w:val="6199331A"/>
    <w:rsid w:val="62660DFD"/>
    <w:rsid w:val="65663405"/>
    <w:rsid w:val="6CEC3DFD"/>
    <w:rsid w:val="6D37133A"/>
    <w:rsid w:val="75396E92"/>
    <w:rsid w:val="77F4796F"/>
    <w:rsid w:val="7F69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p16"/>
    <w:basedOn w:val="1"/>
    <w:qFormat/>
    <w:uiPriority w:val="0"/>
    <w:pPr>
      <w:widowControl/>
    </w:pPr>
    <w:rPr>
      <w:kern w:val="0"/>
      <w:szCs w:val="21"/>
    </w:rPr>
  </w:style>
  <w:style w:type="character" w:customStyle="1" w:styleId="9">
    <w:name w:val="NormalCharacter"/>
    <w:qFormat/>
    <w:uiPriority w:val="0"/>
    <w:rPr>
      <w:rFonts w:ascii="Times New Roman" w:hAnsi="Times New Roman" w:eastAsia="宋体" w:cs="Times New Roman"/>
      <w:kern w:val="2"/>
      <w:sz w:val="21"/>
      <w:lang w:val="en-US" w:eastAsia="zh-CN"/>
    </w:rPr>
  </w:style>
  <w:style w:type="paragraph" w:customStyle="1" w:styleId="10">
    <w:name w:val="Normal New New New New New New New New New New New New New New New New New"/>
    <w:qFormat/>
    <w:uiPriority w:val="0"/>
    <w:pPr>
      <w:widowControl w:val="0"/>
      <w:jc w:val="both"/>
    </w:pPr>
    <w:rPr>
      <w:rFonts w:hint="eastAsia" w:ascii="Times New Roman" w:hAnsi="Times New Roman" w:eastAsia="Times New Roman" w:cs="Times New Roman"/>
      <w:kern w:val="2"/>
      <w:sz w:val="21"/>
      <w:lang w:val="en-US" w:eastAsia="zh-CN"/>
    </w:rPr>
  </w:style>
  <w:style w:type="paragraph" w:customStyle="1" w:styleId="11">
    <w:name w:val="正文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2019-08-26T07:08:00Z</dcterms:created>
  <dc:creator>莫晓渝</dc:creator>
  <cp:lastModifiedBy>幻影</cp:lastModifiedBy>
  <dcterms:modified xsi:type="dcterms:W3CDTF">2019-09-02T08:38:22Z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