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rPr>
      </w:pPr>
      <w:r>
        <w:rPr>
          <w:rFonts w:hint="eastAsia"/>
          <w:sz w:val="32"/>
          <w:szCs w:val="32"/>
        </w:rPr>
        <w:t>附件4：</w:t>
      </w:r>
    </w:p>
    <w:p>
      <w:pPr>
        <w:jc w:val="center"/>
        <w:rPr>
          <w:b/>
          <w:sz w:val="36"/>
          <w:szCs w:val="36"/>
        </w:rPr>
      </w:pPr>
      <w:r>
        <w:rPr>
          <w:rFonts w:hint="eastAsia"/>
          <w:b/>
          <w:sz w:val="36"/>
          <w:szCs w:val="36"/>
        </w:rPr>
        <w:t>创新型企业试点、评价（认定）工作的情况介绍</w:t>
      </w:r>
    </w:p>
    <w:p>
      <w:pPr>
        <w:ind w:firstLine="600" w:firstLineChars="200"/>
        <w:rPr>
          <w:rFonts w:ascii="仿宋" w:hAnsi="仿宋" w:eastAsia="仿宋"/>
          <w:sz w:val="30"/>
          <w:szCs w:val="30"/>
        </w:rPr>
      </w:pPr>
      <w:r>
        <w:rPr>
          <w:rFonts w:hint="eastAsia" w:ascii="仿宋" w:hAnsi="仿宋" w:eastAsia="仿宋"/>
          <w:sz w:val="30"/>
          <w:szCs w:val="30"/>
        </w:rPr>
        <w:t>2006年起，为贯彻落实党的十六届五中全会和全国科技大会精神，推动 “技术创新引导工程”深入实施，科学技术部、国务院国资委、中华全国总工会决定联合开展创新型企业试点工作。2008年起，为评估创新型企业试点工作进展，总结试点企业创新发展的经验，明确国家支持企业自主创新的政策导向，引导广大企业走依靠自主创新发展的道路，逐步培育形成中国的创新型企业500强，科学技术部、国务院国资委、中华全国总工会联合开展创新型企业评价（认定）工作。至今认定国家级创新型企业试点676家，国家级创新型企业356家。2014年，为进一步转变政府职能，加强科技资源开放共享，支撑和推进创新型企业建设，科技部构建了创新型企业共享服务平台，并开展了试运行服务。经商国务院国资委和中华全国总工会，决定在面向广大企业开放服务的基础上，组织开展了创新型企业加盟平台共建工作。</w:t>
      </w:r>
    </w:p>
    <w:p>
      <w:pPr>
        <w:ind w:firstLine="600" w:firstLineChars="200"/>
        <w:rPr>
          <w:rFonts w:ascii="仿宋" w:hAnsi="仿宋" w:eastAsia="仿宋"/>
          <w:sz w:val="30"/>
          <w:szCs w:val="30"/>
        </w:rPr>
      </w:pPr>
      <w:r>
        <w:rPr>
          <w:rFonts w:hint="eastAsia" w:ascii="仿宋" w:hAnsi="仿宋" w:eastAsia="仿宋"/>
          <w:sz w:val="30"/>
          <w:szCs w:val="30"/>
        </w:rPr>
        <w:t>2006年至2013年，广东省紧跟国家技术创新工作步伐，由省科技厅、发展改革委、经贸委、国资委、知识产权局和省总工会六部门联合开展广东省创新型企业试点和广东省创新型企业评价（认定）工作。2014年该两项评审工作进行职能转移，省高企协会通过公开竞争的方式获得承担该项目的评审认定工作。为了保持创新型企业政策的延续性和一致性，本次试点、认定的标准和方案，均保持2013年省科技厅制定的相关认定评审标准并和国家创新型企业的评价指标体系相衔接。截止201</w:t>
      </w:r>
      <w:r>
        <w:rPr>
          <w:rFonts w:hint="eastAsia" w:ascii="仿宋" w:hAnsi="仿宋" w:eastAsia="仿宋"/>
          <w:sz w:val="30"/>
          <w:szCs w:val="30"/>
          <w:lang w:val="en-US" w:eastAsia="zh-CN"/>
        </w:rPr>
        <w:t>6</w:t>
      </w:r>
      <w:r>
        <w:rPr>
          <w:rFonts w:hint="eastAsia" w:ascii="仿宋" w:hAnsi="仿宋" w:eastAsia="仿宋"/>
          <w:sz w:val="30"/>
          <w:szCs w:val="30"/>
        </w:rPr>
        <w:t>年12月，共认定省级创新型企业试点</w:t>
      </w:r>
      <w:r>
        <w:rPr>
          <w:rFonts w:hint="eastAsia" w:ascii="仿宋" w:hAnsi="仿宋" w:eastAsia="仿宋"/>
          <w:sz w:val="30"/>
          <w:szCs w:val="30"/>
          <w:lang w:val="en-US" w:eastAsia="zh-CN"/>
        </w:rPr>
        <w:t>651</w:t>
      </w:r>
      <w:r>
        <w:rPr>
          <w:rFonts w:hint="eastAsia" w:ascii="仿宋" w:hAnsi="仿宋" w:eastAsia="仿宋"/>
          <w:sz w:val="30"/>
          <w:szCs w:val="30"/>
        </w:rPr>
        <w:t>家，省级创新型企业</w:t>
      </w:r>
      <w:r>
        <w:rPr>
          <w:rFonts w:hint="eastAsia" w:ascii="仿宋" w:hAnsi="仿宋" w:eastAsia="仿宋"/>
          <w:sz w:val="30"/>
          <w:szCs w:val="30"/>
          <w:lang w:val="en-US" w:eastAsia="zh-CN"/>
        </w:rPr>
        <w:t>516</w:t>
      </w:r>
      <w:r>
        <w:rPr>
          <w:rFonts w:hint="eastAsia" w:ascii="仿宋" w:hAnsi="仿宋" w:eastAsia="仿宋"/>
          <w:sz w:val="30"/>
          <w:szCs w:val="30"/>
        </w:rPr>
        <w:t>家。</w:t>
      </w:r>
    </w:p>
    <w:p>
      <w:pPr>
        <w:widowControl/>
        <w:shd w:val="clear" w:color="auto" w:fill="FFFFFF"/>
        <w:spacing w:line="360" w:lineRule="atLeast"/>
        <w:ind w:firstLine="600" w:firstLineChars="200"/>
        <w:jc w:val="left"/>
        <w:rPr>
          <w:rFonts w:ascii="仿宋" w:hAnsi="仿宋" w:eastAsia="仿宋"/>
          <w:sz w:val="30"/>
          <w:szCs w:val="30"/>
        </w:rPr>
      </w:pPr>
      <w:r>
        <w:rPr>
          <w:rFonts w:hint="eastAsia" w:ascii="仿宋" w:hAnsi="仿宋" w:eastAsia="仿宋"/>
          <w:sz w:val="30"/>
          <w:szCs w:val="30"/>
        </w:rPr>
        <w:t>在省级创新型企业的扶持政策方面，《</w:t>
      </w:r>
      <w:r>
        <w:rPr>
          <w:rFonts w:ascii="仿宋" w:hAnsi="仿宋" w:eastAsia="仿宋"/>
          <w:sz w:val="30"/>
          <w:szCs w:val="30"/>
        </w:rPr>
        <w:t>广东省自主创新促进条例</w:t>
      </w:r>
      <w:r>
        <w:rPr>
          <w:rFonts w:hint="eastAsia" w:ascii="仿宋" w:hAnsi="仿宋" w:eastAsia="仿宋"/>
          <w:sz w:val="30"/>
          <w:szCs w:val="30"/>
          <w:lang w:eastAsia="zh-CN"/>
        </w:rPr>
        <w:t>（修正案）</w:t>
      </w:r>
      <w:r>
        <w:rPr>
          <w:rFonts w:hint="eastAsia" w:ascii="仿宋" w:hAnsi="仿宋" w:eastAsia="仿宋"/>
          <w:sz w:val="30"/>
          <w:szCs w:val="30"/>
        </w:rPr>
        <w:t>》中提到，</w:t>
      </w:r>
      <w:r>
        <w:rPr>
          <w:rFonts w:ascii="仿宋" w:hAnsi="仿宋" w:eastAsia="仿宋"/>
          <w:sz w:val="30"/>
          <w:szCs w:val="30"/>
        </w:rPr>
        <w:t>县级以上人民政府应当支持企业发展成为具有自主知识产权、自主品牌和持续创新能力的创新型企业。省级创新型企业可以优先承担省级自主创新重大专项，其相关研究开发和产业化涉及的资金及用地优先予以保障。</w:t>
      </w:r>
      <w:bookmarkStart w:id="0" w:name="_GoBack"/>
      <w:bookmarkEnd w:id="0"/>
      <w:r>
        <w:rPr>
          <w:rFonts w:ascii="仿宋" w:hAnsi="仿宋" w:eastAsia="仿宋"/>
          <w:sz w:val="30"/>
          <w:szCs w:val="30"/>
        </w:rPr>
        <w:t>鼓励和支持创新型企业组建科学技术研究开发机构，制定企业创新发展战略，整合优化各类创新资源，从事核心技术、关键技术和公共技术研究。</w:t>
      </w:r>
    </w:p>
    <w:p>
      <w:pPr>
        <w:ind w:firstLine="600" w:firstLineChars="200"/>
        <w:rPr>
          <w:rFonts w:ascii="仿宋" w:hAnsi="仿宋" w:eastAsia="仿宋"/>
          <w:sz w:val="30"/>
          <w:szCs w:val="30"/>
        </w:rPr>
      </w:pPr>
      <w:r>
        <w:rPr>
          <w:rFonts w:hint="eastAsia" w:ascii="仿宋" w:hAnsi="仿宋" w:eastAsia="仿宋"/>
          <w:sz w:val="30"/>
          <w:szCs w:val="30"/>
        </w:rPr>
        <w:t>部分地市对创新型企业制定了相应的奖励及扶持政策。2016年2月，东莞市科学技术局发布《关于组织申报东莞市创新型企业税收奖励、贷款贴息补助和国家级、省级创新型企业奖励的通知》（东科函[2016]51号），根据该通知对东莞市2015年通过认定的国家级、省级创新型企业，分别给予一次性30万元、20万元奖励。同年6月份，惠州市科学技术局及惠州市财政局联合发布了《关于组织申报2016年惠州市高新技术企业和创新型企业认定专项经费资助的通知》，对2015年首次获得认定的国家级、省级创新型企业，分别给予30万元和10万元的资助。东莞市和惠州市自2015年开始，已连续两年对通过认定的国家级、省级创新型企业均给予了相应的资金奖励。佛山市在2016年7月发布的《佛山市人民政府办公室关于印发佛山市知识产权质押融资风险补偿资金管理试行办法的通知》中，将已获得广东省创新型试点企业或创新型企业称号的企业列为优先支持对象。</w:t>
      </w:r>
      <w:r>
        <w:rPr>
          <w:rFonts w:hint="eastAsia" w:ascii="仿宋" w:hAnsi="仿宋" w:eastAsia="仿宋"/>
          <w:sz w:val="30"/>
          <w:szCs w:val="30"/>
          <w:lang w:eastAsia="zh-CN"/>
        </w:rPr>
        <w:t>肇庆市在</w:t>
      </w:r>
      <w:r>
        <w:rPr>
          <w:rFonts w:hint="eastAsia" w:ascii="仿宋" w:hAnsi="仿宋" w:eastAsia="仿宋"/>
          <w:sz w:val="30"/>
          <w:szCs w:val="30"/>
          <w:lang w:val="en-US" w:eastAsia="zh-CN"/>
        </w:rPr>
        <w:t>2013年9月发布的《</w:t>
      </w:r>
      <w:r>
        <w:rPr>
          <w:rFonts w:hint="eastAsia" w:ascii="仿宋" w:hAnsi="仿宋" w:eastAsia="仿宋"/>
          <w:sz w:val="30"/>
          <w:szCs w:val="30"/>
        </w:rPr>
        <w:t>肇庆高新区技术创新工程专项资金管理暂行办法（修订）</w:t>
      </w:r>
      <w:r>
        <w:rPr>
          <w:rFonts w:hint="eastAsia" w:ascii="仿宋" w:hAnsi="仿宋" w:eastAsia="仿宋"/>
          <w:sz w:val="30"/>
          <w:szCs w:val="30"/>
          <w:lang w:val="en-US" w:eastAsia="zh-CN"/>
        </w:rPr>
        <w:t>》中，对通过国家、省创新型企业认定的企业，分别一次性给予20万元、10万元的奖励。</w:t>
      </w:r>
    </w:p>
    <w:p>
      <w:pPr>
        <w:rPr>
          <w:rFonts w:ascii="仿宋" w:hAnsi="仿宋" w:eastAsia="仿宋"/>
          <w:sz w:val="30"/>
          <w:szCs w:val="30"/>
        </w:rPr>
      </w:pPr>
    </w:p>
    <w:sectPr>
      <w:pgSz w:w="11906" w:h="16838"/>
      <w:pgMar w:top="1270" w:right="1797" w:bottom="127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仿宋">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B7410"/>
    <w:rsid w:val="0000388D"/>
    <w:rsid w:val="00073AFE"/>
    <w:rsid w:val="000835D6"/>
    <w:rsid w:val="000F5770"/>
    <w:rsid w:val="0015440E"/>
    <w:rsid w:val="0016042B"/>
    <w:rsid w:val="001B532D"/>
    <w:rsid w:val="00256E5A"/>
    <w:rsid w:val="002868C4"/>
    <w:rsid w:val="002923CB"/>
    <w:rsid w:val="0031390D"/>
    <w:rsid w:val="0031775F"/>
    <w:rsid w:val="00327543"/>
    <w:rsid w:val="00335EE2"/>
    <w:rsid w:val="003421B9"/>
    <w:rsid w:val="00346367"/>
    <w:rsid w:val="003556DE"/>
    <w:rsid w:val="003810E7"/>
    <w:rsid w:val="003A1417"/>
    <w:rsid w:val="003E0E6B"/>
    <w:rsid w:val="00437F2B"/>
    <w:rsid w:val="004B22B0"/>
    <w:rsid w:val="00507B26"/>
    <w:rsid w:val="005601BF"/>
    <w:rsid w:val="005B41C0"/>
    <w:rsid w:val="00681319"/>
    <w:rsid w:val="006B7410"/>
    <w:rsid w:val="006F4271"/>
    <w:rsid w:val="006F6760"/>
    <w:rsid w:val="007054CE"/>
    <w:rsid w:val="008734B9"/>
    <w:rsid w:val="008C1B60"/>
    <w:rsid w:val="00901E9F"/>
    <w:rsid w:val="009D5323"/>
    <w:rsid w:val="009E22D3"/>
    <w:rsid w:val="009E586B"/>
    <w:rsid w:val="00A5606D"/>
    <w:rsid w:val="00B074A1"/>
    <w:rsid w:val="00BF63DC"/>
    <w:rsid w:val="00C17811"/>
    <w:rsid w:val="00C71D83"/>
    <w:rsid w:val="00CC46E0"/>
    <w:rsid w:val="00CE4D5D"/>
    <w:rsid w:val="00D56161"/>
    <w:rsid w:val="00DB0768"/>
    <w:rsid w:val="00DF010A"/>
    <w:rsid w:val="00DF2E42"/>
    <w:rsid w:val="00E37DF1"/>
    <w:rsid w:val="00E92847"/>
    <w:rsid w:val="00F06F20"/>
    <w:rsid w:val="00F208D6"/>
    <w:rsid w:val="00F74196"/>
    <w:rsid w:val="00FA3C5E"/>
    <w:rsid w:val="0E5573B3"/>
    <w:rsid w:val="1F7734B7"/>
    <w:rsid w:val="30C700F8"/>
    <w:rsid w:val="32F57AFC"/>
    <w:rsid w:val="3BBF3F21"/>
    <w:rsid w:val="49891D4E"/>
    <w:rsid w:val="5ED64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kern w:val="2"/>
      <w:sz w:val="18"/>
      <w:szCs w:val="18"/>
    </w:rPr>
  </w:style>
  <w:style w:type="character" w:customStyle="1" w:styleId="7">
    <w:name w:val="页脚 Char"/>
    <w:basedOn w:val="4"/>
    <w:link w:val="2"/>
    <w:qFormat/>
    <w:uiPriority w:val="0"/>
    <w:rPr>
      <w:kern w:val="2"/>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177</Words>
  <Characters>1014</Characters>
  <Lines>8</Lines>
  <Paragraphs>2</Paragraphs>
  <ScaleCrop>false</ScaleCrop>
  <LinksUpToDate>false</LinksUpToDate>
  <CharactersWithSpaces>1189</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2014-11-19T02:37:00Z</dcterms:created>
  <dc:creator>ＤＥＬＬ</dc:creator>
  <cp:lastModifiedBy>Administrator</cp:lastModifiedBy>
  <cp:lastPrinted>2014-11-19T03:42:00Z</cp:lastPrinted>
  <dcterms:modified xsi:type="dcterms:W3CDTF">2017-08-21T03:05:30Z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