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286FF2">
      <w:pPr>
        <w:shd w:val="solid" w:color="FFFFFF" w:fill="auto"/>
        <w:autoSpaceDN w:val="0"/>
        <w:adjustRightInd w:val="0"/>
        <w:snapToGrid w:val="0"/>
        <w:spacing w:line="360" w:lineRule="auto"/>
        <w:ind w:firstLine="640"/>
        <w:jc w:val="center"/>
        <w:rPr>
          <w:rFonts w:ascii="仿宋_GB2312" w:hAnsi="仿宋" w:eastAsia="仿宋_GB2312"/>
          <w:b/>
          <w:kern w:val="0"/>
          <w:sz w:val="30"/>
          <w:szCs w:val="30"/>
          <w:lang w:val="zh-CN"/>
        </w:rPr>
      </w:pPr>
      <w:r>
        <w:rPr>
          <w:rFonts w:hint="eastAsia" w:ascii="仿宋_GB2312" w:hAnsi="仿宋" w:eastAsia="仿宋_GB2312"/>
          <w:b/>
          <w:sz w:val="30"/>
          <w:szCs w:val="30"/>
          <w:shd w:val="clear" w:color="auto" w:fill="FFFFFF"/>
        </w:rPr>
        <w:t>《</w:t>
      </w:r>
      <w:r>
        <w:rPr>
          <w:rFonts w:hint="eastAsia" w:ascii="仿宋_GB2312" w:hAnsi="仿宋" w:eastAsia="仿宋_GB2312"/>
          <w:b/>
          <w:kern w:val="0"/>
          <w:sz w:val="30"/>
          <w:szCs w:val="30"/>
          <w:lang w:val="zh-CN"/>
        </w:rPr>
        <w:t>云浮市云城区202</w:t>
      </w:r>
      <w:r>
        <w:rPr>
          <w:rFonts w:hint="eastAsia" w:ascii="仿宋_GB2312" w:hAnsi="仿宋" w:eastAsia="仿宋_GB2312"/>
          <w:b/>
          <w:kern w:val="0"/>
          <w:sz w:val="30"/>
          <w:szCs w:val="30"/>
          <w:lang w:val="en-US" w:eastAsia="zh-CN"/>
        </w:rPr>
        <w:t>4</w:t>
      </w:r>
      <w:r>
        <w:rPr>
          <w:rFonts w:hint="eastAsia" w:ascii="仿宋_GB2312" w:hAnsi="仿宋" w:eastAsia="仿宋_GB2312"/>
          <w:b/>
          <w:kern w:val="0"/>
          <w:sz w:val="30"/>
          <w:szCs w:val="30"/>
          <w:lang w:val="zh-CN"/>
        </w:rPr>
        <w:t>年城镇国有建设用地使用权基准地价更新》成果听证会意见采纳情况表</w:t>
      </w:r>
    </w:p>
    <w:tbl>
      <w:tblPr>
        <w:tblStyle w:val="6"/>
        <w:tblW w:w="506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3120"/>
        <w:gridCol w:w="3826"/>
        <w:gridCol w:w="6641"/>
      </w:tblGrid>
      <w:tr w14:paraId="14CA7C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tblHeader/>
          <w:jc w:val="center"/>
        </w:trPr>
        <w:tc>
          <w:tcPr>
            <w:tcW w:w="266" w:type="pct"/>
            <w:vAlign w:val="center"/>
          </w:tcPr>
          <w:p w14:paraId="2751A57A"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序号</w:t>
            </w:r>
          </w:p>
        </w:tc>
        <w:tc>
          <w:tcPr>
            <w:tcW w:w="1087" w:type="pct"/>
            <w:vAlign w:val="center"/>
          </w:tcPr>
          <w:p w14:paraId="2F132D43"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单位名称</w:t>
            </w:r>
          </w:p>
        </w:tc>
        <w:tc>
          <w:tcPr>
            <w:tcW w:w="1333" w:type="pct"/>
            <w:vAlign w:val="center"/>
          </w:tcPr>
          <w:p w14:paraId="63CB9D6A"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意见</w:t>
            </w:r>
            <w:r>
              <w:rPr>
                <w:rFonts w:hint="eastAsia" w:eastAsia="仿宋_GB2312"/>
                <w:b/>
                <w:sz w:val="24"/>
              </w:rPr>
              <w:t>/建议</w:t>
            </w:r>
          </w:p>
        </w:tc>
        <w:tc>
          <w:tcPr>
            <w:tcW w:w="2314" w:type="pct"/>
            <w:vAlign w:val="center"/>
          </w:tcPr>
          <w:p w14:paraId="631EDCD0"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采纳情况或</w:t>
            </w:r>
            <w:r>
              <w:rPr>
                <w:rFonts w:eastAsia="仿宋_GB2312"/>
                <w:b/>
                <w:sz w:val="24"/>
              </w:rPr>
              <w:t>回复</w:t>
            </w:r>
          </w:p>
        </w:tc>
      </w:tr>
      <w:tr w14:paraId="5AA7C1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58D32F36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</w:t>
            </w:r>
          </w:p>
        </w:tc>
        <w:tc>
          <w:tcPr>
            <w:tcW w:w="3120" w:type="dxa"/>
            <w:vAlign w:val="center"/>
          </w:tcPr>
          <w:p w14:paraId="012FCA17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eastAsia="仿宋_GB2312"/>
                <w:b w:val="0"/>
                <w:bCs/>
                <w:sz w:val="24"/>
              </w:rPr>
              <w:t>云城区云城街道办事处</w:t>
            </w:r>
          </w:p>
        </w:tc>
        <w:tc>
          <w:tcPr>
            <w:tcW w:w="3826" w:type="dxa"/>
            <w:vAlign w:val="center"/>
          </w:tcPr>
          <w:p w14:paraId="619073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“绿萍湖畔”应为“绿屏湖畔”</w:t>
            </w:r>
          </w:p>
        </w:tc>
        <w:tc>
          <w:tcPr>
            <w:tcW w:w="2314" w:type="pct"/>
            <w:vAlign w:val="center"/>
          </w:tcPr>
          <w:p w14:paraId="76714E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核实后修改完善</w:t>
            </w:r>
          </w:p>
        </w:tc>
      </w:tr>
      <w:tr w14:paraId="3DDD34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569E0B6B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</w:t>
            </w:r>
          </w:p>
        </w:tc>
        <w:tc>
          <w:tcPr>
            <w:tcW w:w="3120" w:type="dxa"/>
            <w:vAlign w:val="center"/>
          </w:tcPr>
          <w:p w14:paraId="1B73E972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eastAsia="仿宋_GB2312"/>
                <w:b w:val="0"/>
                <w:bCs/>
                <w:sz w:val="24"/>
              </w:rPr>
              <w:t>云城区高峰街道办事处</w:t>
            </w:r>
          </w:p>
        </w:tc>
        <w:tc>
          <w:tcPr>
            <w:tcW w:w="3826" w:type="dxa"/>
            <w:vAlign w:val="center"/>
          </w:tcPr>
          <w:p w14:paraId="47B62B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2314" w:type="pct"/>
            <w:vAlign w:val="center"/>
          </w:tcPr>
          <w:p w14:paraId="36474A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760024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57D0627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</w:t>
            </w:r>
          </w:p>
        </w:tc>
        <w:tc>
          <w:tcPr>
            <w:tcW w:w="3120" w:type="dxa"/>
            <w:vAlign w:val="center"/>
          </w:tcPr>
          <w:p w14:paraId="05B3B21B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eastAsia="仿宋_GB2312"/>
                <w:b w:val="0"/>
                <w:bCs/>
                <w:sz w:val="24"/>
              </w:rPr>
              <w:t>云城区河口街道办事处</w:t>
            </w:r>
          </w:p>
        </w:tc>
        <w:tc>
          <w:tcPr>
            <w:tcW w:w="3826" w:type="dxa"/>
            <w:vAlign w:val="center"/>
          </w:tcPr>
          <w:p w14:paraId="07E0AD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2314" w:type="pct"/>
            <w:vAlign w:val="center"/>
          </w:tcPr>
          <w:p w14:paraId="1A1752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12FA21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3D347B2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</w:t>
            </w:r>
          </w:p>
        </w:tc>
        <w:tc>
          <w:tcPr>
            <w:tcW w:w="3120" w:type="dxa"/>
            <w:vAlign w:val="center"/>
          </w:tcPr>
          <w:p w14:paraId="6922F251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eastAsia="仿宋_GB2312"/>
                <w:b w:val="0"/>
                <w:bCs/>
                <w:sz w:val="24"/>
              </w:rPr>
              <w:t>云城区安塘街道办事处</w:t>
            </w:r>
          </w:p>
        </w:tc>
        <w:tc>
          <w:tcPr>
            <w:tcW w:w="3826" w:type="dxa"/>
            <w:vAlign w:val="center"/>
          </w:tcPr>
          <w:p w14:paraId="50F295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2314" w:type="pct"/>
            <w:vAlign w:val="center"/>
          </w:tcPr>
          <w:p w14:paraId="2C0D41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7821FE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4D6AC964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</w:t>
            </w:r>
          </w:p>
        </w:tc>
        <w:tc>
          <w:tcPr>
            <w:tcW w:w="3120" w:type="dxa"/>
            <w:vAlign w:val="center"/>
          </w:tcPr>
          <w:p w14:paraId="15783082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eastAsia="仿宋_GB2312"/>
                <w:b w:val="0"/>
                <w:bCs/>
                <w:sz w:val="24"/>
              </w:rPr>
              <w:t>云城区思劳镇人民政府</w:t>
            </w:r>
          </w:p>
        </w:tc>
        <w:tc>
          <w:tcPr>
            <w:tcW w:w="3826" w:type="dxa"/>
            <w:vAlign w:val="center"/>
          </w:tcPr>
          <w:p w14:paraId="342135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2314" w:type="pct"/>
            <w:vAlign w:val="center"/>
          </w:tcPr>
          <w:p w14:paraId="09DDE7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63BED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68BDB74F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</w:t>
            </w:r>
          </w:p>
        </w:tc>
        <w:tc>
          <w:tcPr>
            <w:tcW w:w="3120" w:type="dxa"/>
            <w:vAlign w:val="center"/>
          </w:tcPr>
          <w:p w14:paraId="3E62A139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eastAsia="仿宋_GB2312"/>
                <w:b w:val="0"/>
                <w:bCs/>
                <w:sz w:val="24"/>
              </w:rPr>
              <w:t>云城区腰古镇人民政府</w:t>
            </w:r>
          </w:p>
        </w:tc>
        <w:tc>
          <w:tcPr>
            <w:tcW w:w="3826" w:type="dxa"/>
            <w:vAlign w:val="center"/>
          </w:tcPr>
          <w:p w14:paraId="33A4F1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2314" w:type="pct"/>
            <w:vAlign w:val="center"/>
          </w:tcPr>
          <w:p w14:paraId="7031F1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2F5884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15CF5CFA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7</w:t>
            </w:r>
          </w:p>
        </w:tc>
        <w:tc>
          <w:tcPr>
            <w:tcW w:w="3120" w:type="dxa"/>
            <w:vAlign w:val="center"/>
          </w:tcPr>
          <w:p w14:paraId="530E48FC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eastAsia="仿宋_GB2312"/>
                <w:b w:val="0"/>
                <w:bCs/>
                <w:sz w:val="24"/>
              </w:rPr>
              <w:t>云城区南盛镇人民政府</w:t>
            </w:r>
          </w:p>
        </w:tc>
        <w:tc>
          <w:tcPr>
            <w:tcW w:w="3826" w:type="dxa"/>
            <w:vAlign w:val="center"/>
          </w:tcPr>
          <w:p w14:paraId="64B462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2314" w:type="pct"/>
            <w:vAlign w:val="center"/>
          </w:tcPr>
          <w:p w14:paraId="6D8200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3D7044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2C22E815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8</w:t>
            </w:r>
          </w:p>
        </w:tc>
        <w:tc>
          <w:tcPr>
            <w:tcW w:w="3120" w:type="dxa"/>
            <w:vAlign w:val="center"/>
          </w:tcPr>
          <w:p w14:paraId="37EFD959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eastAsia="仿宋_GB2312"/>
                <w:b w:val="0"/>
                <w:bCs/>
                <w:sz w:val="24"/>
              </w:rPr>
              <w:t>云城区前锋镇人民政府</w:t>
            </w:r>
          </w:p>
        </w:tc>
        <w:tc>
          <w:tcPr>
            <w:tcW w:w="3826" w:type="dxa"/>
            <w:vAlign w:val="center"/>
          </w:tcPr>
          <w:p w14:paraId="70407B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2314" w:type="pct"/>
            <w:vAlign w:val="center"/>
          </w:tcPr>
          <w:p w14:paraId="56E1B9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66A3F0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3F5D6542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9</w:t>
            </w:r>
          </w:p>
        </w:tc>
        <w:tc>
          <w:tcPr>
            <w:tcW w:w="3120" w:type="dxa"/>
            <w:vAlign w:val="center"/>
          </w:tcPr>
          <w:p w14:paraId="1729E3F5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广东智信土地房地产资产评估有限公司</w:t>
            </w:r>
          </w:p>
        </w:tc>
        <w:tc>
          <w:tcPr>
            <w:tcW w:w="1333" w:type="pct"/>
            <w:vAlign w:val="center"/>
          </w:tcPr>
          <w:p w14:paraId="1AD9D0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left"/>
              <w:textAlignment w:val="auto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云城区商业用途路线价下降幅度较大，现2024年基准地价比市场价偏高。住宅用地、工业用地基本反映了市场变化，基本合理。</w:t>
            </w:r>
          </w:p>
        </w:tc>
        <w:tc>
          <w:tcPr>
            <w:tcW w:w="2314" w:type="pct"/>
            <w:vAlign w:val="center"/>
          </w:tcPr>
          <w:p w14:paraId="5CB05394">
            <w:pPr>
              <w:ind w:firstLine="480" w:firstLineChars="200"/>
              <w:jc w:val="left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default" w:eastAsia="仿宋_GB2312"/>
                <w:sz w:val="24"/>
                <w:lang w:val="en-US" w:eastAsia="zh-CN"/>
              </w:rPr>
              <w:t>本轮基准地价商服路线价对比上一轮平均降幅约13%，部分路线价降幅达到30%-40%，其中上一轮29条商服路段由于商业氛围差、空置率高、租金水平低等原因，测算的商服路线价价格水平与所在区片的商服用地区片价格接近，因此，本轮更新对其进行删减处理。这充分体现了本轮商服路线价已结合市场实际情况进行了适当调整，符合市场变化规律。</w:t>
            </w:r>
          </w:p>
        </w:tc>
      </w:tr>
      <w:tr w14:paraId="1A523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3A527546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10</w:t>
            </w:r>
          </w:p>
        </w:tc>
        <w:tc>
          <w:tcPr>
            <w:tcW w:w="3120" w:type="dxa"/>
            <w:vAlign w:val="center"/>
          </w:tcPr>
          <w:p w14:paraId="0F684399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云浮科信土地房地产资产评估有限公司</w:t>
            </w:r>
          </w:p>
        </w:tc>
        <w:tc>
          <w:tcPr>
            <w:tcW w:w="1333" w:type="pct"/>
            <w:vAlign w:val="center"/>
          </w:tcPr>
          <w:p w14:paraId="66292A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6641" w:type="dxa"/>
            <w:vAlign w:val="center"/>
          </w:tcPr>
          <w:p w14:paraId="11801E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3FDD3A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2DD5CC84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11</w:t>
            </w:r>
          </w:p>
        </w:tc>
        <w:tc>
          <w:tcPr>
            <w:tcW w:w="3120" w:type="dxa"/>
            <w:vAlign w:val="center"/>
          </w:tcPr>
          <w:p w14:paraId="14B84226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云浮市永信中土源土地与房地产评估有限公司</w:t>
            </w:r>
          </w:p>
        </w:tc>
        <w:tc>
          <w:tcPr>
            <w:tcW w:w="3826" w:type="dxa"/>
            <w:vAlign w:val="center"/>
          </w:tcPr>
          <w:p w14:paraId="764F90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6641" w:type="dxa"/>
            <w:vAlign w:val="center"/>
          </w:tcPr>
          <w:p w14:paraId="6355BB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402B22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0E51F8C2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12</w:t>
            </w:r>
          </w:p>
        </w:tc>
        <w:tc>
          <w:tcPr>
            <w:tcW w:w="3120" w:type="dxa"/>
            <w:vAlign w:val="center"/>
          </w:tcPr>
          <w:p w14:paraId="05701A41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广东博亿美房地产资产评估有限公司</w:t>
            </w:r>
          </w:p>
        </w:tc>
        <w:tc>
          <w:tcPr>
            <w:tcW w:w="1333" w:type="pct"/>
            <w:vAlign w:val="center"/>
          </w:tcPr>
          <w:p w14:paraId="64C2E5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left"/>
              <w:textAlignment w:val="auto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1、近年来云浮的石材工业不景气，工业用地的增幅存在疑问？</w:t>
            </w:r>
          </w:p>
          <w:p w14:paraId="69A34E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left"/>
              <w:textAlignment w:val="auto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2、跨级别的宗地如何确定级别？</w:t>
            </w:r>
          </w:p>
        </w:tc>
        <w:tc>
          <w:tcPr>
            <w:tcW w:w="2314" w:type="pct"/>
            <w:vAlign w:val="center"/>
          </w:tcPr>
          <w:p w14:paraId="34637903">
            <w:pPr>
              <w:ind w:firstLine="480" w:firstLineChars="200"/>
              <w:jc w:val="left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、工业用地基准地价的价格内涵是一般工业用地的价格，与石材工业用地有所不同，近年来各项征地成本、土地开发成本在逐步上涨，各区域的道路、交通等基础设施、公共配套设施不断完善，因此带动了工业用地价格整体上涨。</w:t>
            </w:r>
          </w:p>
          <w:p w14:paraId="7F5B0710">
            <w:pPr>
              <w:ind w:firstLine="480" w:firstLineChars="200"/>
              <w:jc w:val="left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2、对于跨级别的宗地，在运用基准地价系数修正法进行评估的时候，建议根据宗地所在各级别（或区片）的面积比例进行加权后测算。</w:t>
            </w:r>
          </w:p>
        </w:tc>
      </w:tr>
      <w:tr w14:paraId="194D15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10A2EA8C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13</w:t>
            </w:r>
          </w:p>
        </w:tc>
        <w:tc>
          <w:tcPr>
            <w:tcW w:w="3120" w:type="dxa"/>
            <w:vAlign w:val="center"/>
          </w:tcPr>
          <w:p w14:paraId="30CDBB74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云浮市达信土地房地产资产估价有限公司</w:t>
            </w:r>
          </w:p>
        </w:tc>
        <w:tc>
          <w:tcPr>
            <w:tcW w:w="1333" w:type="pct"/>
            <w:vAlign w:val="center"/>
          </w:tcPr>
          <w:p w14:paraId="10FDC3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left"/>
              <w:textAlignment w:val="auto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云浮站各用途的增长率疑问</w:t>
            </w:r>
          </w:p>
        </w:tc>
        <w:tc>
          <w:tcPr>
            <w:tcW w:w="2314" w:type="pct"/>
            <w:vAlign w:val="center"/>
          </w:tcPr>
          <w:p w14:paraId="5623F766">
            <w:pPr>
              <w:ind w:firstLine="480" w:firstLineChars="200"/>
              <w:jc w:val="left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4"/>
                <w:lang w:eastAsia="zh-CN"/>
              </w:rPr>
              <w:t>根据</w:t>
            </w:r>
            <w:r>
              <w:rPr>
                <w:rFonts w:hint="eastAsia" w:eastAsia="仿宋_GB2312"/>
                <w:color w:val="auto"/>
                <w:sz w:val="24"/>
              </w:rPr>
              <w:t>《云浮市国土空间总体规划（2021-2035年）》，</w:t>
            </w:r>
            <w:r>
              <w:rPr>
                <w:rFonts w:hint="eastAsia" w:eastAsia="仿宋_GB2312"/>
                <w:color w:val="auto"/>
                <w:sz w:val="24"/>
                <w:lang w:eastAsia="zh-CN"/>
              </w:rPr>
              <w:t>云浮站片区属</w:t>
            </w:r>
            <w:bookmarkStart w:id="0" w:name="_GoBack"/>
            <w:bookmarkEnd w:id="0"/>
            <w:r>
              <w:rPr>
                <w:rFonts w:hint="eastAsia" w:eastAsia="仿宋_GB2312"/>
                <w:color w:val="auto"/>
                <w:sz w:val="24"/>
                <w:lang w:eastAsia="zh-CN"/>
              </w:rPr>
              <w:t>于近期重点更新区域，依托深南高铁云浮南站的设立，未来云浮站片区在交通枢纽上发挥重要作用。周边根据规划分区确定有交通枢纽区、商业商务区、综合服务区和居住生活区。根据区域发展及未来规划，该区</w:t>
            </w:r>
            <w:r>
              <w:rPr>
                <w:rFonts w:hint="eastAsia" w:eastAsia="仿宋_GB2312"/>
                <w:color w:val="auto"/>
                <w:sz w:val="24"/>
                <w:lang w:val="en-US" w:eastAsia="zh-CN"/>
              </w:rPr>
              <w:t>域</w:t>
            </w:r>
            <w:r>
              <w:rPr>
                <w:rFonts w:hint="eastAsia" w:eastAsia="仿宋_GB2312"/>
                <w:color w:val="auto"/>
                <w:sz w:val="24"/>
              </w:rPr>
              <w:t>土地价值</w:t>
            </w:r>
            <w:r>
              <w:rPr>
                <w:rFonts w:hint="eastAsia" w:eastAsia="仿宋_GB2312"/>
                <w:color w:val="auto"/>
                <w:sz w:val="24"/>
                <w:lang w:val="en-US" w:eastAsia="zh-CN"/>
              </w:rPr>
              <w:t>与上一轮对比不同用途变化情况有所不同</w:t>
            </w:r>
            <w:r>
              <w:rPr>
                <w:rFonts w:hint="eastAsia" w:eastAsia="仿宋_GB2312"/>
                <w:color w:val="auto"/>
                <w:sz w:val="24"/>
                <w:lang w:eastAsia="zh-CN"/>
              </w:rPr>
              <w:t>。</w:t>
            </w:r>
          </w:p>
        </w:tc>
      </w:tr>
      <w:tr w14:paraId="1052AD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2D05F13D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14</w:t>
            </w:r>
          </w:p>
        </w:tc>
        <w:tc>
          <w:tcPr>
            <w:tcW w:w="3120" w:type="dxa"/>
            <w:vAlign w:val="center"/>
          </w:tcPr>
          <w:p w14:paraId="448A473E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广东衡达房地产土地资产评估与测绘有限公司</w:t>
            </w:r>
          </w:p>
        </w:tc>
        <w:tc>
          <w:tcPr>
            <w:tcW w:w="3826" w:type="dxa"/>
            <w:vAlign w:val="center"/>
          </w:tcPr>
          <w:p w14:paraId="33C3FB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6641" w:type="dxa"/>
            <w:vAlign w:val="center"/>
          </w:tcPr>
          <w:p w14:paraId="4BB6CE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  <w:tr w14:paraId="067B40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66" w:type="pct"/>
            <w:vAlign w:val="center"/>
          </w:tcPr>
          <w:p w14:paraId="5372B718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15</w:t>
            </w:r>
          </w:p>
        </w:tc>
        <w:tc>
          <w:tcPr>
            <w:tcW w:w="3120" w:type="dxa"/>
            <w:vAlign w:val="center"/>
          </w:tcPr>
          <w:p w14:paraId="57C8C874">
            <w:pPr>
              <w:jc w:val="center"/>
              <w:rPr>
                <w:rFonts w:eastAsia="仿宋_GB2312"/>
                <w:b w:val="0"/>
                <w:bCs/>
                <w:sz w:val="24"/>
              </w:rPr>
            </w:pPr>
            <w:r>
              <w:rPr>
                <w:rFonts w:hint="eastAsia" w:eastAsia="仿宋_GB2312"/>
                <w:b w:val="0"/>
                <w:bCs/>
                <w:sz w:val="24"/>
              </w:rPr>
              <w:t>广东国汇土地房地产评估有限公司</w:t>
            </w:r>
          </w:p>
        </w:tc>
        <w:tc>
          <w:tcPr>
            <w:tcW w:w="3826" w:type="dxa"/>
            <w:vAlign w:val="center"/>
          </w:tcPr>
          <w:p w14:paraId="43FA15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0" w:firstLineChars="0"/>
              <w:jc w:val="center"/>
              <w:textAlignment w:val="auto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无意见</w:t>
            </w:r>
          </w:p>
        </w:tc>
        <w:tc>
          <w:tcPr>
            <w:tcW w:w="6641" w:type="dxa"/>
            <w:vAlign w:val="center"/>
          </w:tcPr>
          <w:p w14:paraId="7E7422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——</w:t>
            </w:r>
          </w:p>
        </w:tc>
      </w:tr>
    </w:tbl>
    <w:p w14:paraId="304E38B5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zNDRjYmM5MzhiOGFkY2YyYmNmYTg1YzA4ZDA1MzQifQ=="/>
  </w:docVars>
  <w:rsids>
    <w:rsidRoot w:val="00821B03"/>
    <w:rsid w:val="00055C99"/>
    <w:rsid w:val="000B1390"/>
    <w:rsid w:val="0022346F"/>
    <w:rsid w:val="00223618"/>
    <w:rsid w:val="00280E76"/>
    <w:rsid w:val="002E23C1"/>
    <w:rsid w:val="00351664"/>
    <w:rsid w:val="003D0FB8"/>
    <w:rsid w:val="003F3CF0"/>
    <w:rsid w:val="004F5DD6"/>
    <w:rsid w:val="00532429"/>
    <w:rsid w:val="005B4CC3"/>
    <w:rsid w:val="006E028F"/>
    <w:rsid w:val="006E3BF5"/>
    <w:rsid w:val="006E72A9"/>
    <w:rsid w:val="007A7A83"/>
    <w:rsid w:val="00821B03"/>
    <w:rsid w:val="008B69AA"/>
    <w:rsid w:val="008C215E"/>
    <w:rsid w:val="009C7508"/>
    <w:rsid w:val="009C77D5"/>
    <w:rsid w:val="009D1A03"/>
    <w:rsid w:val="009D340F"/>
    <w:rsid w:val="00A732CD"/>
    <w:rsid w:val="00B375EB"/>
    <w:rsid w:val="00BC2B9D"/>
    <w:rsid w:val="00D77257"/>
    <w:rsid w:val="00E04BDD"/>
    <w:rsid w:val="00E17334"/>
    <w:rsid w:val="00EA45EE"/>
    <w:rsid w:val="00ED2447"/>
    <w:rsid w:val="00F323BD"/>
    <w:rsid w:val="02586D2D"/>
    <w:rsid w:val="034F5D29"/>
    <w:rsid w:val="06CA3834"/>
    <w:rsid w:val="08843074"/>
    <w:rsid w:val="08AA5E51"/>
    <w:rsid w:val="08E65545"/>
    <w:rsid w:val="0BBF2615"/>
    <w:rsid w:val="1008458B"/>
    <w:rsid w:val="1361677C"/>
    <w:rsid w:val="15277B3D"/>
    <w:rsid w:val="17D12FAE"/>
    <w:rsid w:val="180D268E"/>
    <w:rsid w:val="199D3F05"/>
    <w:rsid w:val="1CBC2A99"/>
    <w:rsid w:val="1FE3088A"/>
    <w:rsid w:val="22FA7CE7"/>
    <w:rsid w:val="259C06D2"/>
    <w:rsid w:val="25DF22F1"/>
    <w:rsid w:val="2B4A5600"/>
    <w:rsid w:val="2B7C57B4"/>
    <w:rsid w:val="2E921785"/>
    <w:rsid w:val="383B4C4E"/>
    <w:rsid w:val="3BE058FC"/>
    <w:rsid w:val="3EEC6CA2"/>
    <w:rsid w:val="436E7039"/>
    <w:rsid w:val="46F2150D"/>
    <w:rsid w:val="47136DA9"/>
    <w:rsid w:val="485F6522"/>
    <w:rsid w:val="4ACA1E61"/>
    <w:rsid w:val="507D4DA8"/>
    <w:rsid w:val="56642A34"/>
    <w:rsid w:val="576B079D"/>
    <w:rsid w:val="5C51790A"/>
    <w:rsid w:val="6525046B"/>
    <w:rsid w:val="675D1DA9"/>
    <w:rsid w:val="6A881AD2"/>
    <w:rsid w:val="713E68F1"/>
    <w:rsid w:val="734E009D"/>
    <w:rsid w:val="76E67A73"/>
    <w:rsid w:val="788D5E0C"/>
    <w:rsid w:val="7C3B6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275</Words>
  <Characters>284</Characters>
  <Lines>16</Lines>
  <Paragraphs>4</Paragraphs>
  <TotalTime>0</TotalTime>
  <ScaleCrop>false</ScaleCrop>
  <LinksUpToDate>false</LinksUpToDate>
  <CharactersWithSpaces>284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2020-12-01T06:33:00Z</dcterms:created>
  <dc:creator>Administrator</dc:creator>
  <cp:lastModifiedBy>PC2023-1-5</cp:lastModifiedBy>
  <dcterms:modified xsi:type="dcterms:W3CDTF">2024-11-12T08:14:31Z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A41402F352E34B039DC87A39BF635967_12</vt:lpwstr>
  </property>
</Properties>
</file>