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2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E0BD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广东省医疗</w:t>
      </w:r>
    </w:p>
    <w:p w14:paraId="7A8E2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保障局关于开展医疗服务价格规范治理</w:t>
      </w:r>
    </w:p>
    <w:p w14:paraId="1BDA6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（第一批）的通知（征求意见稿）</w:t>
      </w:r>
    </w:p>
    <w:p w14:paraId="228CD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715E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各县（市）医疗保障局、社会保险基金管理局、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市医疗保障局云城分局、云安分局，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市社会保险基金管理局云城分局、云安分局，市医保中心，各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BBFF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现将《广东省医疗保障局关于开展医疗服务价格规范治理（第一批）的通知》（粤医保函〔2024〕255号）转发给你们，并提出以下要求，请一并贯彻落实：</w:t>
      </w:r>
    </w:p>
    <w:p w14:paraId="219BE2AA"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一、调整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血栓弹力图试验（TEG）医疗服务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价格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项目的政府指导价</w:t>
      </w:r>
    </w:p>
    <w:p w14:paraId="4DBB8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根据粤医保函〔2024〕255号规定，结合我市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公立医疗机构血栓弹力图试验（TEG）等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4项检查类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医疗服务项目及其子项目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政府指导价（详见附件1）。我市公立医疗机构在不超过《云浮市“血栓弹力图试验（TEG）”等检验类项目价格表》规定的范围内自主确定具体医疗服务价格，不得上浮，下浮不限。并按要求做好价格信息公开工作。</w:t>
      </w:r>
    </w:p>
    <w:p w14:paraId="6BE0E85B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二、治理要求</w:t>
      </w:r>
    </w:p>
    <w:p w14:paraId="2E8DDBD0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请各辖区医疗保障局按规定做好政策落实工作，加强对辖区内医疗机构项目和价格执行的指导监督。密切关注治理后项目服务量和总费用变化情况，防范同类可替代项目服务量激增，防止设备耗材迭代后以申报新增项目等形式变相回潮。如出现医疗机构同类可替代项目服务量激增的情况，医保部门将按规定严格查处。</w:t>
      </w:r>
    </w:p>
    <w:p w14:paraId="22511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本通知自2024年11月30日起实施，有效期到2029年11月29日止。凡国家、省、市原政策文件与本通知不符的，以本通知为准。如遇国家或省出台新政策，按新政策执行。</w:t>
      </w:r>
    </w:p>
    <w:p w14:paraId="37D0C6B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EBD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附件：1.云浮市“血栓弹力图试验（TEG）”等检验类项目价格表</w:t>
      </w:r>
    </w:p>
    <w:p w14:paraId="5FFEA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2.广东省医疗保障局关于开展医疗服务价格规范治理（第一批）的通知（粤医保函〔2024〕255号）</w:t>
      </w:r>
    </w:p>
    <w:p w14:paraId="456BA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72D6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AD1E40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FC06650">
      <w:pPr>
        <w:rPr>
          <w:rFonts w:hint="eastAsia"/>
          <w:lang w:val="en-US" w:eastAsia="zh-CN"/>
        </w:rPr>
      </w:pPr>
    </w:p>
    <w:p w14:paraId="1AA97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云浮市医疗保障局2024年11月4日</w:t>
      </w:r>
    </w:p>
    <w:p w14:paraId="5E942479">
      <w:pPr>
        <w:pStyle w:val="2"/>
        <w:rPr>
          <w:rFonts w:hint="eastAsia"/>
          <w:lang w:val="en-US" w:eastAsia="zh-CN"/>
        </w:rPr>
      </w:pPr>
    </w:p>
    <w:p w14:paraId="5D7C2363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148A2068"/>
    <w:rsid w:val="210579A2"/>
    <w:rsid w:val="326418F3"/>
    <w:rsid w:val="37FB2C20"/>
    <w:rsid w:val="43E4469D"/>
    <w:rsid w:val="46F8475F"/>
    <w:rsid w:val="4AF26D8C"/>
    <w:rsid w:val="59560828"/>
    <w:rsid w:val="66B1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658</Characters>
  <Lines>0</Lines>
  <Paragraphs>0</Paragraphs>
  <TotalTime>6</TotalTime>
  <ScaleCrop>false</ScaleCrop>
  <LinksUpToDate>false</LinksUpToDate>
  <CharactersWithSpaces>658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2024-09-03T02:47:00Z</dcterms:created>
  <dc:creator>王锐清</dc:creator>
  <cp:lastModifiedBy>洪文驹</cp:lastModifiedBy>
  <dcterms:modified xsi:type="dcterms:W3CDTF">2024-11-04T01:34:57Z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1FF80390249243139BD06E627C852178_11</vt:lpwstr>
  </property>
</Properties>
</file>