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AEEF6EF">
      <w:pPr>
        <w:jc w:val="both"/>
        <w:rPr>
          <w:b/>
          <w:bCs/>
          <w:sz w:val="44"/>
          <w:szCs w:val="44"/>
        </w:rPr>
      </w:pPr>
    </w:p>
    <w:p w14:paraId="4D8E4513">
      <w:pPr>
        <w:jc w:val="center"/>
        <w:rPr>
          <w:b/>
          <w:bCs/>
          <w:sz w:val="44"/>
          <w:szCs w:val="44"/>
        </w:rPr>
      </w:pPr>
      <w:r>
        <w:rPr>
          <w:b/>
          <w:bCs/>
          <w:sz w:val="44"/>
          <w:szCs w:val="44"/>
        </w:rPr>
        <w:t>不合格报告说明</w:t>
      </w:r>
    </w:p>
    <w:p w14:paraId="797AE5B2">
      <w:pPr>
        <w:rPr>
          <w:rFonts w:hint="eastAsia"/>
          <w:sz w:val="24"/>
        </w:rPr>
      </w:pPr>
    </w:p>
    <w:p w14:paraId="7F13D24D">
      <w:pPr>
        <w:rPr>
          <w:rFonts w:hint="eastAsia"/>
          <w:sz w:val="24"/>
        </w:rPr>
      </w:pPr>
    </w:p>
    <w:p w14:paraId="3FF9ABA6">
      <w:pPr>
        <w:rPr>
          <w:rFonts w:hint="eastAsia" w:eastAsia="宋体"/>
          <w:sz w:val="24"/>
          <w:lang w:val="en-US" w:eastAsia="zh-CN"/>
        </w:rPr>
      </w:pPr>
      <w:r>
        <w:rPr>
          <w:rFonts w:hint="eastAsia"/>
          <w:sz w:val="24"/>
        </w:rPr>
        <w:t>检验报告书编号：SP20240262</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418"/>
        <w:gridCol w:w="1842"/>
        <w:gridCol w:w="1843"/>
        <w:gridCol w:w="3544"/>
        <w:gridCol w:w="3037"/>
        <w:gridCol w:w="1106"/>
      </w:tblGrid>
      <w:tr w14:paraId="38BAE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1384" w:type="dxa"/>
            <w:tcBorders>
              <w:top w:val="single" w:color="auto" w:sz="4" w:space="0"/>
              <w:left w:val="single" w:color="auto" w:sz="4" w:space="0"/>
              <w:bottom w:val="single" w:color="auto" w:sz="4" w:space="0"/>
              <w:right w:val="single" w:color="auto" w:sz="4" w:space="0"/>
            </w:tcBorders>
            <w:noWrap w:val="0"/>
            <w:vAlign w:val="center"/>
          </w:tcPr>
          <w:p w14:paraId="0F794BED">
            <w:pPr>
              <w:spacing w:line="36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不合格</w:t>
            </w:r>
          </w:p>
          <w:p w14:paraId="2FAD4624">
            <w:pPr>
              <w:spacing w:line="36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项目</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2C47109B">
            <w:pPr>
              <w:spacing w:line="36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不合格项目所属</w:t>
            </w:r>
          </w:p>
          <w:p w14:paraId="021D6D86">
            <w:pPr>
              <w:spacing w:line="36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指标</w:t>
            </w:r>
          </w:p>
        </w:tc>
        <w:tc>
          <w:tcPr>
            <w:tcW w:w="1842" w:type="dxa"/>
            <w:tcBorders>
              <w:top w:val="single" w:color="auto" w:sz="4" w:space="0"/>
              <w:left w:val="single" w:color="auto" w:sz="4" w:space="0"/>
              <w:bottom w:val="single" w:color="auto" w:sz="4" w:space="0"/>
              <w:right w:val="single" w:color="auto" w:sz="4" w:space="0"/>
            </w:tcBorders>
            <w:noWrap w:val="0"/>
            <w:vAlign w:val="center"/>
          </w:tcPr>
          <w:p w14:paraId="131E3552">
            <w:pPr>
              <w:spacing w:line="36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检验</w:t>
            </w:r>
          </w:p>
          <w:p w14:paraId="3D5DAAC6">
            <w:pPr>
              <w:spacing w:line="36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结果</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71E49F00">
            <w:pPr>
              <w:spacing w:line="36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标准值</w:t>
            </w:r>
          </w:p>
          <w:p w14:paraId="3D74F2E6">
            <w:pPr>
              <w:spacing w:line="36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要求</w:t>
            </w:r>
          </w:p>
        </w:tc>
        <w:tc>
          <w:tcPr>
            <w:tcW w:w="3544" w:type="dxa"/>
            <w:tcBorders>
              <w:top w:val="single" w:color="auto" w:sz="4" w:space="0"/>
              <w:left w:val="single" w:color="auto" w:sz="4" w:space="0"/>
              <w:bottom w:val="single" w:color="auto" w:sz="4" w:space="0"/>
              <w:right w:val="single" w:color="auto" w:sz="4" w:space="0"/>
            </w:tcBorders>
            <w:noWrap w:val="0"/>
            <w:vAlign w:val="center"/>
          </w:tcPr>
          <w:p w14:paraId="7473530E">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不合格原因分析</w:t>
            </w:r>
          </w:p>
        </w:tc>
        <w:tc>
          <w:tcPr>
            <w:tcW w:w="3037" w:type="dxa"/>
            <w:tcBorders>
              <w:top w:val="single" w:color="auto" w:sz="4" w:space="0"/>
              <w:left w:val="single" w:color="auto" w:sz="4" w:space="0"/>
              <w:bottom w:val="single" w:color="auto" w:sz="4" w:space="0"/>
              <w:right w:val="single" w:color="auto" w:sz="4" w:space="0"/>
            </w:tcBorders>
            <w:noWrap w:val="0"/>
            <w:vAlign w:val="center"/>
          </w:tcPr>
          <w:p w14:paraId="7D9E86A4">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可能引起的危害</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5B128F71">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备注</w:t>
            </w:r>
          </w:p>
        </w:tc>
      </w:tr>
      <w:tr w14:paraId="7EB36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6" w:hRule="atLeast"/>
        </w:trPr>
        <w:tc>
          <w:tcPr>
            <w:tcW w:w="1384" w:type="dxa"/>
            <w:tcBorders>
              <w:top w:val="single" w:color="auto" w:sz="4" w:space="0"/>
              <w:left w:val="single" w:color="auto" w:sz="4" w:space="0"/>
              <w:bottom w:val="single" w:color="auto" w:sz="4" w:space="0"/>
              <w:right w:val="single" w:color="auto" w:sz="4" w:space="0"/>
            </w:tcBorders>
            <w:noWrap w:val="0"/>
            <w:vAlign w:val="center"/>
          </w:tcPr>
          <w:p w14:paraId="12694ECD">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黄曲霉毒素B</w:t>
            </w:r>
            <w:r>
              <w:rPr>
                <w:rFonts w:hint="eastAsia" w:asciiTheme="minorEastAsia" w:hAnsiTheme="minorEastAsia" w:eastAsiaTheme="minorEastAsia" w:cstheme="minorEastAsia"/>
                <w:sz w:val="21"/>
                <w:szCs w:val="21"/>
                <w:vertAlign w:val="subscript"/>
              </w:rPr>
              <w:t>1</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065F686">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eastAsia="zh-CN"/>
              </w:rPr>
              <w:t>生物毒素</w:t>
            </w:r>
            <w:r>
              <w:rPr>
                <w:rFonts w:hint="eastAsia" w:asciiTheme="minorEastAsia" w:hAnsiTheme="minorEastAsia" w:eastAsiaTheme="minorEastAsia" w:cstheme="minorEastAsia"/>
                <w:sz w:val="21"/>
                <w:szCs w:val="21"/>
              </w:rPr>
              <w:t>指标</w:t>
            </w:r>
          </w:p>
        </w:tc>
        <w:tc>
          <w:tcPr>
            <w:tcW w:w="1842" w:type="dxa"/>
            <w:tcBorders>
              <w:top w:val="single" w:color="auto" w:sz="4" w:space="0"/>
              <w:left w:val="single" w:color="auto" w:sz="4" w:space="0"/>
              <w:bottom w:val="single" w:color="auto" w:sz="4" w:space="0"/>
              <w:right w:val="single" w:color="auto" w:sz="4" w:space="0"/>
            </w:tcBorders>
            <w:noWrap w:val="0"/>
            <w:vAlign w:val="center"/>
          </w:tcPr>
          <w:p w14:paraId="746C1DD2">
            <w:pPr>
              <w:spacing w:line="400" w:lineRule="exact"/>
              <w:jc w:val="center"/>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sz w:val="21"/>
                <w:szCs w:val="21"/>
                <w:lang w:val="en-US" w:eastAsia="zh-CN"/>
              </w:rPr>
              <w:t>44.9</w:t>
            </w:r>
            <w:r>
              <w:rPr>
                <w:rFonts w:hint="eastAsia" w:asciiTheme="minorEastAsia" w:hAnsiTheme="minorEastAsia" w:eastAsiaTheme="minorEastAsia" w:cstheme="minorEastAsia"/>
                <w:sz w:val="21"/>
                <w:szCs w:val="21"/>
              </w:rPr>
              <w:t>μg/kg</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6C730E60">
            <w:pPr>
              <w:spacing w:line="40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≤20μg/kg</w:t>
            </w:r>
          </w:p>
        </w:tc>
        <w:tc>
          <w:tcPr>
            <w:tcW w:w="3544" w:type="dxa"/>
            <w:tcBorders>
              <w:top w:val="single" w:color="auto" w:sz="4" w:space="0"/>
              <w:left w:val="single" w:color="auto" w:sz="4" w:space="0"/>
              <w:bottom w:val="single" w:color="auto" w:sz="4" w:space="0"/>
              <w:right w:val="single" w:color="auto" w:sz="4" w:space="0"/>
            </w:tcBorders>
            <w:noWrap w:val="0"/>
            <w:vAlign w:val="center"/>
          </w:tcPr>
          <w:p w14:paraId="561D358F">
            <w:pPr>
              <w:spacing w:line="400" w:lineRule="exact"/>
              <w:rPr>
                <w:rFonts w:hint="eastAsia" w:asciiTheme="minorEastAsia" w:hAnsiTheme="minorEastAsia" w:eastAsiaTheme="minorEastAsia" w:cstheme="minorEastAsia"/>
                <w:color w:val="434343"/>
                <w:kern w:val="0"/>
                <w:sz w:val="21"/>
                <w:szCs w:val="21"/>
              </w:rPr>
            </w:pPr>
            <w:r>
              <w:rPr>
                <w:rFonts w:hint="eastAsia" w:asciiTheme="minorEastAsia" w:hAnsiTheme="minorEastAsia" w:eastAsiaTheme="minorEastAsia" w:cstheme="minorEastAsia"/>
                <w:color w:val="434343"/>
                <w:kern w:val="0"/>
                <w:sz w:val="21"/>
                <w:szCs w:val="21"/>
              </w:rPr>
              <w:t>黄曲霉毒素普遍存在于霉变的食物中，花生、玉米、稻谷、花生油等粮油食品最容易受黄曲霉毒素B</w:t>
            </w:r>
            <w:r>
              <w:rPr>
                <w:rFonts w:hint="eastAsia" w:asciiTheme="minorEastAsia" w:hAnsiTheme="minorEastAsia" w:eastAsiaTheme="minorEastAsia" w:cstheme="minorEastAsia"/>
                <w:color w:val="434343"/>
                <w:kern w:val="0"/>
                <w:sz w:val="21"/>
                <w:szCs w:val="21"/>
                <w:vertAlign w:val="subscript"/>
              </w:rPr>
              <w:t>1</w:t>
            </w:r>
            <w:r>
              <w:rPr>
                <w:rFonts w:hint="eastAsia" w:asciiTheme="minorEastAsia" w:hAnsiTheme="minorEastAsia" w:eastAsiaTheme="minorEastAsia" w:cstheme="minorEastAsia"/>
                <w:color w:val="434343"/>
                <w:kern w:val="0"/>
                <w:sz w:val="21"/>
                <w:szCs w:val="21"/>
              </w:rPr>
              <w:t>污染，若生产厂家未能把好原料关，很容易生产出黄曲霉毒素B</w:t>
            </w:r>
            <w:r>
              <w:rPr>
                <w:rFonts w:hint="eastAsia" w:asciiTheme="minorEastAsia" w:hAnsiTheme="minorEastAsia" w:eastAsiaTheme="minorEastAsia" w:cstheme="minorEastAsia"/>
                <w:color w:val="434343"/>
                <w:kern w:val="0"/>
                <w:sz w:val="21"/>
                <w:szCs w:val="21"/>
                <w:vertAlign w:val="subscript"/>
              </w:rPr>
              <w:t>1</w:t>
            </w:r>
            <w:r>
              <w:rPr>
                <w:rFonts w:hint="eastAsia" w:asciiTheme="minorEastAsia" w:hAnsiTheme="minorEastAsia" w:eastAsiaTheme="minorEastAsia" w:cstheme="minorEastAsia"/>
                <w:color w:val="434343"/>
                <w:kern w:val="0"/>
                <w:sz w:val="21"/>
                <w:szCs w:val="21"/>
              </w:rPr>
              <w:t>含量超标的产品。散装食用油是该问题的多发区，一些散装油或作坊现榨油在生产过程中缺乏严格的原料质量管理、缺乏必要的加工设备和工艺、缺乏适当的保存环境、缺乏后续出厂检测程序，其出现黄曲霉毒素B</w:t>
            </w:r>
            <w:r>
              <w:rPr>
                <w:rFonts w:hint="eastAsia" w:asciiTheme="minorEastAsia" w:hAnsiTheme="minorEastAsia" w:eastAsiaTheme="minorEastAsia" w:cstheme="minorEastAsia"/>
                <w:color w:val="434343"/>
                <w:kern w:val="0"/>
                <w:sz w:val="21"/>
                <w:szCs w:val="21"/>
                <w:vertAlign w:val="subscript"/>
              </w:rPr>
              <w:t>1</w:t>
            </w:r>
            <w:r>
              <w:rPr>
                <w:rFonts w:hint="eastAsia" w:asciiTheme="minorEastAsia" w:hAnsiTheme="minorEastAsia" w:eastAsiaTheme="minorEastAsia" w:cstheme="minorEastAsia"/>
                <w:color w:val="434343"/>
                <w:kern w:val="0"/>
                <w:sz w:val="21"/>
                <w:szCs w:val="21"/>
              </w:rPr>
              <w:t>含量超标的风险远高于正规企业生产的预包装食用油。</w:t>
            </w:r>
          </w:p>
        </w:tc>
        <w:tc>
          <w:tcPr>
            <w:tcW w:w="3037" w:type="dxa"/>
            <w:tcBorders>
              <w:top w:val="single" w:color="auto" w:sz="4" w:space="0"/>
              <w:left w:val="single" w:color="auto" w:sz="4" w:space="0"/>
              <w:bottom w:val="single" w:color="auto" w:sz="4" w:space="0"/>
              <w:right w:val="single" w:color="auto" w:sz="4" w:space="0"/>
            </w:tcBorders>
            <w:noWrap w:val="0"/>
            <w:vAlign w:val="center"/>
          </w:tcPr>
          <w:p w14:paraId="017DE59F">
            <w:pPr>
              <w:spacing w:line="400" w:lineRule="exact"/>
              <w:rPr>
                <w:rFonts w:hint="eastAsia" w:asciiTheme="minorEastAsia" w:hAnsiTheme="minorEastAsia" w:eastAsiaTheme="minorEastAsia" w:cstheme="minorEastAsia"/>
                <w:color w:val="000000"/>
                <w:sz w:val="21"/>
                <w:szCs w:val="21"/>
                <w:shd w:val="clear" w:color="auto" w:fill="FFFFFF"/>
              </w:rPr>
            </w:pPr>
            <w:r>
              <w:rPr>
                <w:rFonts w:hint="eastAsia" w:asciiTheme="minorEastAsia" w:hAnsiTheme="minorEastAsia" w:eastAsiaTheme="minorEastAsia" w:cstheme="minorEastAsia"/>
                <w:color w:val="434343"/>
                <w:kern w:val="0"/>
                <w:sz w:val="21"/>
                <w:szCs w:val="21"/>
              </w:rPr>
              <w:t>人的原发性肝癌也很可能与黄曲霉毒素有关。早在上世纪，世界卫生安排(WHO)的癌症研究机构就将它划定为1类致癌物。</w:t>
            </w:r>
          </w:p>
        </w:tc>
        <w:tc>
          <w:tcPr>
            <w:tcW w:w="1106" w:type="dxa"/>
            <w:tcBorders>
              <w:top w:val="single" w:color="auto" w:sz="4" w:space="0"/>
              <w:left w:val="single" w:color="auto" w:sz="4" w:space="0"/>
              <w:bottom w:val="single" w:color="auto" w:sz="4" w:space="0"/>
              <w:right w:val="single" w:color="auto" w:sz="4" w:space="0"/>
            </w:tcBorders>
            <w:noWrap w:val="0"/>
            <w:vAlign w:val="center"/>
          </w:tcPr>
          <w:p w14:paraId="2BA3DB79">
            <w:pPr>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w:t>
            </w:r>
          </w:p>
        </w:tc>
      </w:tr>
    </w:tbl>
    <w:p w14:paraId="74C5D83E">
      <w:pPr>
        <w:rPr>
          <w:rFonts w:hint="eastAsia"/>
          <w:sz w:val="24"/>
        </w:rPr>
      </w:pPr>
    </w:p>
    <w:p w14:paraId="20A444AE">
      <w:pPr>
        <w:rPr>
          <w:rFonts w:hint="eastAsia"/>
          <w:sz w:val="24"/>
        </w:rPr>
      </w:pPr>
    </w:p>
    <w:p w14:paraId="58CB21FB">
      <w:pPr>
        <w:rPr>
          <w:rFonts w:hint="eastAsia"/>
          <w:sz w:val="24"/>
        </w:rPr>
      </w:pPr>
    </w:p>
    <w:p w14:paraId="17829146">
      <w:pPr>
        <w:rPr>
          <w:rFonts w:hint="eastAsia"/>
          <w:sz w:val="24"/>
        </w:rPr>
      </w:pPr>
    </w:p>
    <w:p w14:paraId="138C77F0">
      <w:pPr>
        <w:rPr>
          <w:rFonts w:hint="eastAsia"/>
          <w:sz w:val="24"/>
        </w:rPr>
      </w:pPr>
    </w:p>
    <w:p w14:paraId="68098385">
      <w:pPr>
        <w:rPr>
          <w:rFonts w:hint="eastAsia"/>
          <w:sz w:val="24"/>
        </w:rPr>
      </w:pPr>
    </w:p>
    <w:p w14:paraId="668E158F">
      <w:pPr>
        <w:rPr>
          <w:rFonts w:hint="eastAsia"/>
          <w:sz w:val="24"/>
        </w:rPr>
      </w:pPr>
      <w:r>
        <w:rPr>
          <w:rFonts w:hint="eastAsia"/>
          <w:sz w:val="24"/>
        </w:rPr>
        <w:t>检验报告书编号：JQT24FC01888</w:t>
      </w:r>
      <w:r>
        <w:rPr>
          <w:rFonts w:hint="eastAsia"/>
          <w:sz w:val="24"/>
        </w:rPr>
        <w:tab/>
      </w:r>
    </w:p>
    <w:tbl>
      <w:tblPr>
        <w:tblStyle w:val="10"/>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418"/>
        <w:gridCol w:w="1842"/>
        <w:gridCol w:w="1843"/>
        <w:gridCol w:w="3260"/>
        <w:gridCol w:w="3321"/>
        <w:gridCol w:w="1106"/>
      </w:tblGrid>
      <w:tr w14:paraId="7B04C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1384" w:type="dxa"/>
            <w:vAlign w:val="center"/>
          </w:tcPr>
          <w:p w14:paraId="5A46CDA0">
            <w:pPr>
              <w:spacing w:line="360" w:lineRule="exact"/>
              <w:jc w:val="center"/>
              <w:rPr>
                <w:sz w:val="24"/>
              </w:rPr>
            </w:pPr>
            <w:r>
              <w:rPr>
                <w:rFonts w:hint="eastAsia"/>
                <w:sz w:val="24"/>
              </w:rPr>
              <w:t>不合格</w:t>
            </w:r>
          </w:p>
          <w:p w14:paraId="61AAB96A">
            <w:pPr>
              <w:spacing w:line="360" w:lineRule="exact"/>
              <w:jc w:val="center"/>
              <w:rPr>
                <w:sz w:val="24"/>
              </w:rPr>
            </w:pPr>
            <w:r>
              <w:rPr>
                <w:rFonts w:hint="eastAsia"/>
                <w:sz w:val="24"/>
              </w:rPr>
              <w:t>项目</w:t>
            </w:r>
          </w:p>
        </w:tc>
        <w:tc>
          <w:tcPr>
            <w:tcW w:w="1418" w:type="dxa"/>
            <w:vAlign w:val="center"/>
          </w:tcPr>
          <w:p w14:paraId="43D9CEEF">
            <w:pPr>
              <w:spacing w:line="360" w:lineRule="exact"/>
              <w:jc w:val="center"/>
              <w:rPr>
                <w:sz w:val="24"/>
              </w:rPr>
            </w:pPr>
            <w:r>
              <w:rPr>
                <w:rFonts w:hint="eastAsia"/>
                <w:sz w:val="24"/>
              </w:rPr>
              <w:t>不合格项目所属</w:t>
            </w:r>
          </w:p>
          <w:p w14:paraId="4DCB102D">
            <w:pPr>
              <w:spacing w:line="360" w:lineRule="exact"/>
              <w:jc w:val="center"/>
              <w:rPr>
                <w:sz w:val="24"/>
              </w:rPr>
            </w:pPr>
            <w:r>
              <w:rPr>
                <w:rFonts w:hint="eastAsia"/>
                <w:sz w:val="24"/>
              </w:rPr>
              <w:t>指标</w:t>
            </w:r>
          </w:p>
        </w:tc>
        <w:tc>
          <w:tcPr>
            <w:tcW w:w="1842" w:type="dxa"/>
            <w:vAlign w:val="center"/>
          </w:tcPr>
          <w:p w14:paraId="18C63080">
            <w:pPr>
              <w:spacing w:line="360" w:lineRule="exact"/>
              <w:jc w:val="center"/>
              <w:rPr>
                <w:sz w:val="24"/>
              </w:rPr>
            </w:pPr>
            <w:r>
              <w:rPr>
                <w:rFonts w:hint="eastAsia"/>
                <w:sz w:val="24"/>
              </w:rPr>
              <w:t>检验</w:t>
            </w:r>
          </w:p>
          <w:p w14:paraId="6D946CC5">
            <w:pPr>
              <w:spacing w:line="360" w:lineRule="exact"/>
              <w:jc w:val="center"/>
              <w:rPr>
                <w:sz w:val="24"/>
              </w:rPr>
            </w:pPr>
            <w:r>
              <w:rPr>
                <w:rFonts w:hint="eastAsia"/>
                <w:sz w:val="24"/>
              </w:rPr>
              <w:t>结果</w:t>
            </w:r>
          </w:p>
        </w:tc>
        <w:tc>
          <w:tcPr>
            <w:tcW w:w="1843" w:type="dxa"/>
            <w:vAlign w:val="center"/>
          </w:tcPr>
          <w:p w14:paraId="40148E92">
            <w:pPr>
              <w:spacing w:line="360" w:lineRule="exact"/>
              <w:jc w:val="center"/>
              <w:rPr>
                <w:sz w:val="24"/>
              </w:rPr>
            </w:pPr>
            <w:r>
              <w:rPr>
                <w:rFonts w:hint="eastAsia"/>
                <w:sz w:val="24"/>
              </w:rPr>
              <w:t>标准值</w:t>
            </w:r>
          </w:p>
          <w:p w14:paraId="2C258D61">
            <w:pPr>
              <w:spacing w:line="360" w:lineRule="exact"/>
              <w:jc w:val="center"/>
              <w:rPr>
                <w:sz w:val="24"/>
              </w:rPr>
            </w:pPr>
            <w:r>
              <w:rPr>
                <w:rFonts w:hint="eastAsia"/>
                <w:sz w:val="24"/>
              </w:rPr>
              <w:t>要求</w:t>
            </w:r>
          </w:p>
        </w:tc>
        <w:tc>
          <w:tcPr>
            <w:tcW w:w="3260" w:type="dxa"/>
            <w:vAlign w:val="center"/>
          </w:tcPr>
          <w:p w14:paraId="2EFF3F37">
            <w:pPr>
              <w:jc w:val="center"/>
              <w:rPr>
                <w:sz w:val="24"/>
              </w:rPr>
            </w:pPr>
            <w:r>
              <w:rPr>
                <w:rFonts w:hint="eastAsia"/>
                <w:sz w:val="24"/>
              </w:rPr>
              <w:t>不合格原因分析</w:t>
            </w:r>
          </w:p>
        </w:tc>
        <w:tc>
          <w:tcPr>
            <w:tcW w:w="3321" w:type="dxa"/>
            <w:vAlign w:val="center"/>
          </w:tcPr>
          <w:p w14:paraId="5D152CEA">
            <w:pPr>
              <w:jc w:val="center"/>
              <w:rPr>
                <w:sz w:val="24"/>
              </w:rPr>
            </w:pPr>
            <w:r>
              <w:rPr>
                <w:rFonts w:hint="eastAsia"/>
                <w:sz w:val="24"/>
              </w:rPr>
              <w:t>可能引起的危害</w:t>
            </w:r>
          </w:p>
        </w:tc>
        <w:tc>
          <w:tcPr>
            <w:tcW w:w="1106" w:type="dxa"/>
            <w:vAlign w:val="center"/>
          </w:tcPr>
          <w:p w14:paraId="1D334FE4">
            <w:pPr>
              <w:jc w:val="center"/>
              <w:rPr>
                <w:sz w:val="24"/>
              </w:rPr>
            </w:pPr>
            <w:r>
              <w:rPr>
                <w:rFonts w:hint="eastAsia"/>
                <w:sz w:val="24"/>
              </w:rPr>
              <w:t>备注</w:t>
            </w:r>
          </w:p>
        </w:tc>
      </w:tr>
      <w:tr w14:paraId="7DA44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3" w:hRule="atLeast"/>
        </w:trPr>
        <w:tc>
          <w:tcPr>
            <w:tcW w:w="1384" w:type="dxa"/>
            <w:vAlign w:val="center"/>
          </w:tcPr>
          <w:p w14:paraId="1AD19E17">
            <w:pPr>
              <w:jc w:val="center"/>
              <w:rPr>
                <w:rFonts w:hint="eastAsia"/>
                <w:szCs w:val="21"/>
                <w:lang w:val="en-US" w:eastAsia="zh-CN"/>
              </w:rPr>
            </w:pPr>
            <w:r>
              <w:rPr>
                <w:rFonts w:hint="eastAsia"/>
                <w:szCs w:val="21"/>
                <w:lang w:val="en-US" w:eastAsia="zh-CN"/>
              </w:rPr>
              <w:t>三氯蔗糖、多菌灵、</w:t>
            </w:r>
          </w:p>
        </w:tc>
        <w:tc>
          <w:tcPr>
            <w:tcW w:w="1418" w:type="dxa"/>
            <w:vAlign w:val="center"/>
          </w:tcPr>
          <w:p w14:paraId="0077286F">
            <w:pPr>
              <w:jc w:val="center"/>
              <w:rPr>
                <w:rFonts w:hint="eastAsia"/>
                <w:szCs w:val="21"/>
                <w:lang w:val="en-US" w:eastAsia="zh-CN"/>
              </w:rPr>
            </w:pPr>
            <w:r>
              <w:rPr>
                <w:rFonts w:hint="eastAsia"/>
                <w:szCs w:val="21"/>
                <w:lang w:val="en-US" w:eastAsia="zh-CN"/>
              </w:rPr>
              <w:t>食品添加剂、农药残留</w:t>
            </w:r>
          </w:p>
        </w:tc>
        <w:tc>
          <w:tcPr>
            <w:tcW w:w="1842" w:type="dxa"/>
            <w:vAlign w:val="center"/>
          </w:tcPr>
          <w:p w14:paraId="2EAD32FF">
            <w:pPr>
              <w:jc w:val="center"/>
              <w:rPr>
                <w:rFonts w:hint="eastAsia"/>
                <w:szCs w:val="21"/>
                <w:lang w:val="en-US" w:eastAsia="zh-CN"/>
              </w:rPr>
            </w:pPr>
            <w:r>
              <w:rPr>
                <w:rFonts w:hint="eastAsia"/>
                <w:szCs w:val="21"/>
                <w:lang w:val="en-US" w:eastAsia="zh-CN"/>
              </w:rPr>
              <w:t>0.311g/kg、2.9mg/kg</w:t>
            </w:r>
          </w:p>
        </w:tc>
        <w:tc>
          <w:tcPr>
            <w:tcW w:w="1843" w:type="dxa"/>
            <w:vAlign w:val="center"/>
          </w:tcPr>
          <w:p w14:paraId="006C9C1F">
            <w:pPr>
              <w:jc w:val="center"/>
              <w:rPr>
                <w:rFonts w:hint="eastAsia"/>
                <w:szCs w:val="21"/>
                <w:lang w:val="en-US" w:eastAsia="zh-CN"/>
              </w:rPr>
            </w:pPr>
            <w:r>
              <w:rPr>
                <w:rFonts w:hint="eastAsia"/>
                <w:szCs w:val="21"/>
                <w:lang w:val="en-US" w:eastAsia="zh-CN"/>
              </w:rPr>
              <w:t>不得使用、≤0.5mg/kg</w:t>
            </w:r>
          </w:p>
        </w:tc>
        <w:tc>
          <w:tcPr>
            <w:tcW w:w="3260" w:type="dxa"/>
            <w:vAlign w:val="center"/>
          </w:tcPr>
          <w:p w14:paraId="49E09F97">
            <w:pPr>
              <w:keepNext w:val="0"/>
              <w:keepLines w:val="0"/>
              <w:pageBreakBefore w:val="0"/>
              <w:widowControl w:val="0"/>
              <w:kinsoku/>
              <w:wordWrap/>
              <w:overflowPunct/>
              <w:topLinePunct w:val="0"/>
              <w:autoSpaceDE/>
              <w:autoSpaceDN/>
              <w:bidi w:val="0"/>
              <w:adjustRightInd/>
              <w:snapToGrid/>
              <w:ind w:firstLine="420" w:firstLineChars="200"/>
              <w:jc w:val="center"/>
              <w:textAlignment w:val="auto"/>
              <w:rPr>
                <w:rFonts w:hint="eastAsia"/>
                <w:szCs w:val="21"/>
                <w:lang w:eastAsia="zh-CN"/>
              </w:rPr>
            </w:pPr>
            <w:r>
              <w:rPr>
                <w:rFonts w:hint="eastAsia"/>
                <w:szCs w:val="21"/>
                <w:lang w:eastAsia="zh-CN"/>
              </w:rPr>
              <w:t>三氯蔗糖不合格的原因可能是大多数商家为了提高水果甜度而添加三氯蔗糖，从而促进销售，可能采用浸泡等方式进行超范围使用食品添加剂；多菌灵残留量超标的原因，可能是为快速控制病情，加大用药量或未遵守采摘间隔期规定，致使上市销售的产品中残留量超标。</w:t>
            </w:r>
          </w:p>
        </w:tc>
        <w:tc>
          <w:tcPr>
            <w:tcW w:w="3321" w:type="dxa"/>
            <w:vAlign w:val="center"/>
          </w:tcPr>
          <w:p w14:paraId="102262D6">
            <w:pPr>
              <w:keepNext w:val="0"/>
              <w:keepLines w:val="0"/>
              <w:pageBreakBefore w:val="0"/>
              <w:widowControl w:val="0"/>
              <w:kinsoku/>
              <w:wordWrap/>
              <w:overflowPunct/>
              <w:topLinePunct w:val="0"/>
              <w:autoSpaceDE/>
              <w:autoSpaceDN/>
              <w:bidi w:val="0"/>
              <w:adjustRightInd/>
              <w:snapToGrid/>
              <w:ind w:firstLine="420" w:firstLineChars="200"/>
              <w:jc w:val="center"/>
              <w:textAlignment w:val="auto"/>
              <w:rPr>
                <w:rFonts w:hint="eastAsia"/>
                <w:szCs w:val="21"/>
                <w:lang w:eastAsia="zh-CN"/>
              </w:rPr>
            </w:pPr>
            <w:r>
              <w:rPr>
                <w:rFonts w:hint="eastAsia"/>
                <w:szCs w:val="21"/>
                <w:lang w:eastAsia="zh-CN"/>
              </w:rPr>
              <w:t>三氯蔗糖又名蔗糖素、蔗糖精，是食品生产中常用的甜味剂。长期食用三氯蔗糖超标的食品，可能会对健康造成一定影响。</w:t>
            </w:r>
          </w:p>
          <w:p w14:paraId="24C5206D">
            <w:pPr>
              <w:keepNext w:val="0"/>
              <w:keepLines w:val="0"/>
              <w:pageBreakBefore w:val="0"/>
              <w:widowControl w:val="0"/>
              <w:kinsoku/>
              <w:wordWrap/>
              <w:overflowPunct/>
              <w:topLinePunct w:val="0"/>
              <w:autoSpaceDE/>
              <w:autoSpaceDN/>
              <w:bidi w:val="0"/>
              <w:adjustRightInd/>
              <w:snapToGrid/>
              <w:ind w:firstLine="420" w:firstLineChars="200"/>
              <w:jc w:val="center"/>
              <w:textAlignment w:val="auto"/>
              <w:rPr>
                <w:rFonts w:hint="eastAsia"/>
                <w:szCs w:val="21"/>
                <w:lang w:eastAsia="zh-CN"/>
              </w:rPr>
            </w:pPr>
            <w:r>
              <w:rPr>
                <w:rFonts w:hint="eastAsia"/>
                <w:szCs w:val="21"/>
                <w:lang w:eastAsia="zh-CN"/>
              </w:rPr>
              <w:t>《食品安全国家标准 食品添加剂使用标准》(GB 2760-2014)关于食品分类及允许使用的食品添加剂种类条例明确，橄榄、杨梅、桑葚属于新鲜水果，不允许使用甜蜜素、糖精钠、三氯蔗糖等食品添加剂；多菌灵是一种广谱性杀菌剂，对多种作物因真菌引起的病害具有防治效果。长期食用多菌灵超标的食品，对人体健康可能有一定影响。</w:t>
            </w:r>
          </w:p>
        </w:tc>
        <w:tc>
          <w:tcPr>
            <w:tcW w:w="1106" w:type="dxa"/>
            <w:vAlign w:val="center"/>
          </w:tcPr>
          <w:p w14:paraId="233C5724">
            <w:pPr>
              <w:jc w:val="center"/>
              <w:rPr>
                <w:rFonts w:hint="eastAsia"/>
                <w:szCs w:val="21"/>
              </w:rPr>
            </w:pPr>
            <w:r>
              <w:rPr>
                <w:rFonts w:hint="eastAsia"/>
                <w:szCs w:val="21"/>
              </w:rPr>
              <w:t>食用农产品（</w:t>
            </w:r>
            <w:r>
              <w:rPr>
                <w:rFonts w:hint="eastAsia"/>
                <w:szCs w:val="21"/>
                <w:lang w:val="en-US" w:eastAsia="zh-CN"/>
              </w:rPr>
              <w:t>橄榄</w:t>
            </w:r>
            <w:r>
              <w:rPr>
                <w:rFonts w:hint="eastAsia"/>
                <w:szCs w:val="21"/>
              </w:rPr>
              <w:t>）</w:t>
            </w:r>
          </w:p>
        </w:tc>
      </w:tr>
    </w:tbl>
    <w:p w14:paraId="0735EFDB">
      <w:pPr>
        <w:rPr>
          <w:sz w:val="24"/>
        </w:rPr>
      </w:pPr>
    </w:p>
    <w:p w14:paraId="1CFFA397">
      <w:pPr>
        <w:rPr>
          <w:sz w:val="24"/>
        </w:rPr>
      </w:pPr>
    </w:p>
    <w:p w14:paraId="2561A3BD">
      <w:pPr>
        <w:rPr>
          <w:sz w:val="24"/>
        </w:rPr>
      </w:pPr>
    </w:p>
    <w:p w14:paraId="15FD2AD2">
      <w:pPr>
        <w:rPr>
          <w:sz w:val="24"/>
        </w:rPr>
      </w:pPr>
    </w:p>
    <w:p w14:paraId="79C50AC2">
      <w:pPr>
        <w:rPr>
          <w:sz w:val="24"/>
        </w:rPr>
      </w:pPr>
    </w:p>
    <w:p w14:paraId="31A4FB9C">
      <w:pPr>
        <w:rPr>
          <w:sz w:val="24"/>
        </w:rPr>
      </w:pPr>
    </w:p>
    <w:p w14:paraId="47509878">
      <w:pPr>
        <w:rPr>
          <w:rFonts w:hint="default" w:ascii="Times New Roman" w:hAnsi="Times New Roman" w:eastAsia="黑体" w:cs="Times New Roman"/>
          <w:sz w:val="28"/>
          <w:szCs w:val="28"/>
        </w:rPr>
      </w:pPr>
    </w:p>
    <w:p w14:paraId="739E4FEA">
      <w:pPr>
        <w:rPr>
          <w:rFonts w:hint="default" w:ascii="Times New Roman" w:hAnsi="Times New Roman" w:eastAsia="黑体" w:cs="Times New Roman"/>
          <w:sz w:val="28"/>
          <w:szCs w:val="28"/>
        </w:rPr>
      </w:pPr>
      <w:bookmarkStart w:id="0" w:name="_GoBack"/>
      <w:bookmarkEnd w:id="0"/>
    </w:p>
    <w:p w14:paraId="5FB4D729">
      <w:pPr>
        <w:rPr>
          <w:rFonts w:hint="default" w:ascii="Times New Roman" w:hAnsi="Times New Roman" w:eastAsia="黑体" w:cs="Times New Roman"/>
          <w:sz w:val="28"/>
          <w:szCs w:val="28"/>
        </w:rPr>
      </w:pPr>
      <w:r>
        <w:rPr>
          <w:rFonts w:hint="default" w:ascii="Times New Roman" w:hAnsi="Times New Roman" w:eastAsia="黑体" w:cs="Times New Roman"/>
          <w:sz w:val="28"/>
          <w:szCs w:val="28"/>
        </w:rPr>
        <w:t>检验报告书编号：EB2405F14604</w:t>
      </w:r>
    </w:p>
    <w:tbl>
      <w:tblPr>
        <w:tblStyle w:val="10"/>
        <w:tblW w:w="144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6"/>
        <w:gridCol w:w="1564"/>
        <w:gridCol w:w="1118"/>
        <w:gridCol w:w="1427"/>
        <w:gridCol w:w="3595"/>
        <w:gridCol w:w="4320"/>
        <w:gridCol w:w="960"/>
      </w:tblGrid>
      <w:tr w14:paraId="35386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1446" w:type="dxa"/>
            <w:noWrap w:val="0"/>
            <w:vAlign w:val="center"/>
          </w:tcPr>
          <w:p w14:paraId="7652021A">
            <w:pPr>
              <w:spacing w:line="36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不合格项目</w:t>
            </w:r>
          </w:p>
        </w:tc>
        <w:tc>
          <w:tcPr>
            <w:tcW w:w="1564" w:type="dxa"/>
            <w:noWrap w:val="0"/>
            <w:vAlign w:val="center"/>
          </w:tcPr>
          <w:p w14:paraId="2D2D97EA">
            <w:pPr>
              <w:spacing w:line="36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不合格项目所属指标</w:t>
            </w:r>
          </w:p>
        </w:tc>
        <w:tc>
          <w:tcPr>
            <w:tcW w:w="1118" w:type="dxa"/>
            <w:noWrap w:val="0"/>
            <w:vAlign w:val="center"/>
          </w:tcPr>
          <w:p w14:paraId="7123AEB4">
            <w:pPr>
              <w:spacing w:line="36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检验结果</w:t>
            </w:r>
          </w:p>
        </w:tc>
        <w:tc>
          <w:tcPr>
            <w:tcW w:w="1427" w:type="dxa"/>
            <w:noWrap w:val="0"/>
            <w:vAlign w:val="center"/>
          </w:tcPr>
          <w:p w14:paraId="7ACB8221">
            <w:pPr>
              <w:spacing w:line="36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标准值要求</w:t>
            </w:r>
          </w:p>
        </w:tc>
        <w:tc>
          <w:tcPr>
            <w:tcW w:w="3595" w:type="dxa"/>
            <w:noWrap w:val="0"/>
            <w:vAlign w:val="center"/>
          </w:tcPr>
          <w:p w14:paraId="6B708BBD">
            <w:pPr>
              <w:spacing w:line="36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不合格原因分析</w:t>
            </w:r>
          </w:p>
        </w:tc>
        <w:tc>
          <w:tcPr>
            <w:tcW w:w="4320" w:type="dxa"/>
            <w:noWrap w:val="0"/>
            <w:vAlign w:val="center"/>
          </w:tcPr>
          <w:p w14:paraId="43916DEE">
            <w:pPr>
              <w:spacing w:line="36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可能引起的危害</w:t>
            </w:r>
          </w:p>
        </w:tc>
        <w:tc>
          <w:tcPr>
            <w:tcW w:w="960" w:type="dxa"/>
            <w:noWrap w:val="0"/>
            <w:vAlign w:val="center"/>
          </w:tcPr>
          <w:p w14:paraId="673CC0B1">
            <w:pPr>
              <w:spacing w:line="36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备注</w:t>
            </w:r>
          </w:p>
        </w:tc>
      </w:tr>
      <w:tr w14:paraId="3711E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8" w:hRule="atLeast"/>
        </w:trPr>
        <w:tc>
          <w:tcPr>
            <w:tcW w:w="1446" w:type="dxa"/>
            <w:noWrap w:val="0"/>
            <w:vAlign w:val="center"/>
          </w:tcPr>
          <w:p w14:paraId="29C5F22D">
            <w:pPr>
              <w:spacing w:line="360" w:lineRule="exact"/>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val="en-US" w:eastAsia="zh-CN"/>
              </w:rPr>
              <w:t>苯甲酸及其钠盐(以苯甲酸计)</w:t>
            </w:r>
          </w:p>
        </w:tc>
        <w:tc>
          <w:tcPr>
            <w:tcW w:w="1564" w:type="dxa"/>
            <w:noWrap w:val="0"/>
            <w:vAlign w:val="center"/>
          </w:tcPr>
          <w:p w14:paraId="2F17DB52">
            <w:pPr>
              <w:spacing w:line="360" w:lineRule="exact"/>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食品添加剂</w:t>
            </w:r>
          </w:p>
        </w:tc>
        <w:tc>
          <w:tcPr>
            <w:tcW w:w="1118" w:type="dxa"/>
            <w:noWrap w:val="0"/>
            <w:vAlign w:val="center"/>
          </w:tcPr>
          <w:p w14:paraId="58E6842D">
            <w:pPr>
              <w:spacing w:line="360" w:lineRule="exact"/>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0.190g/</w:t>
            </w:r>
            <w:r>
              <w:rPr>
                <w:rFonts w:hint="default" w:ascii="Times New Roman" w:hAnsi="Times New Roman" w:cs="Times New Roman"/>
                <w:sz w:val="21"/>
                <w:szCs w:val="21"/>
                <w:lang w:val="en-US" w:eastAsia="zh-CN"/>
              </w:rPr>
              <w:t>k</w:t>
            </w:r>
            <w:r>
              <w:rPr>
                <w:rFonts w:hint="default" w:ascii="Times New Roman" w:hAnsi="Times New Roman" w:eastAsia="宋体" w:cs="Times New Roman"/>
                <w:sz w:val="21"/>
                <w:szCs w:val="21"/>
                <w:lang w:val="en-US" w:eastAsia="zh-CN"/>
              </w:rPr>
              <w:t>g</w:t>
            </w:r>
          </w:p>
        </w:tc>
        <w:tc>
          <w:tcPr>
            <w:tcW w:w="1427" w:type="dxa"/>
            <w:noWrap w:val="0"/>
            <w:vAlign w:val="center"/>
          </w:tcPr>
          <w:p w14:paraId="74694637">
            <w:pPr>
              <w:spacing w:line="360" w:lineRule="exact"/>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不得使用</w:t>
            </w:r>
          </w:p>
        </w:tc>
        <w:tc>
          <w:tcPr>
            <w:tcW w:w="3595" w:type="dxa"/>
            <w:noWrap w:val="0"/>
            <w:vAlign w:val="center"/>
          </w:tcPr>
          <w:p w14:paraId="1B3E6E06">
            <w:pPr>
              <w:numPr>
                <w:ilvl w:val="0"/>
                <w:numId w:val="1"/>
              </w:numPr>
              <w:spacing w:line="360" w:lineRule="exact"/>
              <w:jc w:val="left"/>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可能是在生产过程中违法添加了苯甲酸及其钠盐；</w:t>
            </w:r>
          </w:p>
          <w:p w14:paraId="0818540E">
            <w:pPr>
              <w:pStyle w:val="2"/>
              <w:ind w:left="0" w:leftChars="0" w:firstLine="0" w:firstLineChars="0"/>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2.可能包装材料或存储容器受到污染。</w:t>
            </w:r>
          </w:p>
        </w:tc>
        <w:tc>
          <w:tcPr>
            <w:tcW w:w="4320" w:type="dxa"/>
            <w:noWrap w:val="0"/>
            <w:vAlign w:val="center"/>
          </w:tcPr>
          <w:p w14:paraId="3A52F94E">
            <w:pPr>
              <w:spacing w:line="360" w:lineRule="exact"/>
              <w:ind w:firstLine="420" w:firstLineChars="200"/>
              <w:jc w:val="left"/>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苯甲酸的不良反应包括轻微的刺激性。长期接触苯甲酸可能会对人体产生不利影响，如对皮肤造成刺激，吸入量过大则可能伴随急性中毒，表现为头晕、恶心呕吐，严重时甚至可能导致昏迷。此外，苯甲酸还可能引起呼吸道刺激，皮肤黏膜损伤，眼睛接触后可能导致损伤、发红、肿胀和流泪，甚至视物模糊。</w:t>
            </w:r>
          </w:p>
        </w:tc>
        <w:tc>
          <w:tcPr>
            <w:tcW w:w="960" w:type="dxa"/>
            <w:noWrap w:val="0"/>
            <w:vAlign w:val="center"/>
          </w:tcPr>
          <w:p w14:paraId="1636733E">
            <w:pPr>
              <w:spacing w:line="360" w:lineRule="exact"/>
              <w:jc w:val="center"/>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调味品</w:t>
            </w:r>
            <w:r>
              <w:rPr>
                <w:rFonts w:hint="default" w:ascii="Times New Roman" w:hAnsi="Times New Roman" w:eastAsia="宋体" w:cs="Times New Roman"/>
                <w:sz w:val="21"/>
                <w:szCs w:val="21"/>
                <w:lang w:val="en-US" w:eastAsia="zh-CN"/>
              </w:rPr>
              <w:t>（</w:t>
            </w:r>
            <w:r>
              <w:rPr>
                <w:rFonts w:hint="default" w:ascii="Times New Roman" w:hAnsi="Times New Roman" w:cs="Times New Roman"/>
                <w:sz w:val="21"/>
                <w:szCs w:val="21"/>
                <w:lang w:val="en-US" w:eastAsia="zh-CN"/>
              </w:rPr>
              <w:t>食醋</w:t>
            </w:r>
            <w:r>
              <w:rPr>
                <w:rFonts w:hint="default" w:ascii="Times New Roman" w:hAnsi="Times New Roman" w:eastAsia="宋体" w:cs="Times New Roman"/>
                <w:sz w:val="21"/>
                <w:szCs w:val="21"/>
                <w:lang w:val="en-US" w:eastAsia="zh-CN"/>
              </w:rPr>
              <w:t>）</w:t>
            </w:r>
          </w:p>
        </w:tc>
      </w:tr>
    </w:tbl>
    <w:p w14:paraId="7F3B7EC8">
      <w:pPr>
        <w:rPr>
          <w:sz w:val="24"/>
        </w:rPr>
      </w:pPr>
    </w:p>
    <w:sectPr>
      <w:pgSz w:w="16838" w:h="11906" w:orient="landscape"/>
      <w:pgMar w:top="1247" w:right="1440" w:bottom="1247"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880946"/>
    <w:multiLevelType w:val="singleLevel"/>
    <w:tmpl w:val="E0880946"/>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IwZTJiYjkyMmQwYWY2NTUwZGYxNTE4OWRhMTM3ODMifQ=="/>
  </w:docVars>
  <w:rsids>
    <w:rsidRoot w:val="00172A27"/>
    <w:rsid w:val="00004BF0"/>
    <w:rsid w:val="00021E1E"/>
    <w:rsid w:val="0004452C"/>
    <w:rsid w:val="00054D9F"/>
    <w:rsid w:val="00113C00"/>
    <w:rsid w:val="0015253B"/>
    <w:rsid w:val="00172A27"/>
    <w:rsid w:val="001F1D15"/>
    <w:rsid w:val="00213700"/>
    <w:rsid w:val="00277263"/>
    <w:rsid w:val="003419A7"/>
    <w:rsid w:val="003C3CDC"/>
    <w:rsid w:val="003F3B16"/>
    <w:rsid w:val="0048297A"/>
    <w:rsid w:val="006E19FA"/>
    <w:rsid w:val="0076439A"/>
    <w:rsid w:val="0080192F"/>
    <w:rsid w:val="00867AF8"/>
    <w:rsid w:val="008A508F"/>
    <w:rsid w:val="009074DA"/>
    <w:rsid w:val="009A3E14"/>
    <w:rsid w:val="00A0105D"/>
    <w:rsid w:val="00A4460A"/>
    <w:rsid w:val="00A63396"/>
    <w:rsid w:val="00A63B4A"/>
    <w:rsid w:val="00AD3134"/>
    <w:rsid w:val="00B1689F"/>
    <w:rsid w:val="00B50016"/>
    <w:rsid w:val="00CA74C0"/>
    <w:rsid w:val="00D661E2"/>
    <w:rsid w:val="00D956C6"/>
    <w:rsid w:val="00DC3F25"/>
    <w:rsid w:val="00E15386"/>
    <w:rsid w:val="00E60345"/>
    <w:rsid w:val="00E7600A"/>
    <w:rsid w:val="022445C5"/>
    <w:rsid w:val="029605BF"/>
    <w:rsid w:val="02F83936"/>
    <w:rsid w:val="040C25C7"/>
    <w:rsid w:val="04885D00"/>
    <w:rsid w:val="04C41CAB"/>
    <w:rsid w:val="04FC43EA"/>
    <w:rsid w:val="052E656A"/>
    <w:rsid w:val="05950139"/>
    <w:rsid w:val="06764C22"/>
    <w:rsid w:val="06DD0EB4"/>
    <w:rsid w:val="070D7EC5"/>
    <w:rsid w:val="07B95AB3"/>
    <w:rsid w:val="07BA6423"/>
    <w:rsid w:val="0807527E"/>
    <w:rsid w:val="09B74ED8"/>
    <w:rsid w:val="0AA60A13"/>
    <w:rsid w:val="0B7E72CA"/>
    <w:rsid w:val="0B85226B"/>
    <w:rsid w:val="0E0539B6"/>
    <w:rsid w:val="0EA5395E"/>
    <w:rsid w:val="0FA6540C"/>
    <w:rsid w:val="11693AF3"/>
    <w:rsid w:val="12505D75"/>
    <w:rsid w:val="14FC2BBF"/>
    <w:rsid w:val="15490981"/>
    <w:rsid w:val="17290724"/>
    <w:rsid w:val="199E12F3"/>
    <w:rsid w:val="19EA74AD"/>
    <w:rsid w:val="1B023DCB"/>
    <w:rsid w:val="1B917B2A"/>
    <w:rsid w:val="1D0D1692"/>
    <w:rsid w:val="1D51161C"/>
    <w:rsid w:val="1E0669AA"/>
    <w:rsid w:val="1F992259"/>
    <w:rsid w:val="20273B9D"/>
    <w:rsid w:val="20F12F9F"/>
    <w:rsid w:val="22C56520"/>
    <w:rsid w:val="22E91FFA"/>
    <w:rsid w:val="23137B2B"/>
    <w:rsid w:val="238D507B"/>
    <w:rsid w:val="23D34A58"/>
    <w:rsid w:val="2421689B"/>
    <w:rsid w:val="249C4A5A"/>
    <w:rsid w:val="24D23D68"/>
    <w:rsid w:val="24F3691F"/>
    <w:rsid w:val="25060276"/>
    <w:rsid w:val="256E4199"/>
    <w:rsid w:val="26B8181C"/>
    <w:rsid w:val="291B0A33"/>
    <w:rsid w:val="29593EAF"/>
    <w:rsid w:val="298F4F7D"/>
    <w:rsid w:val="299F78B6"/>
    <w:rsid w:val="2A3034C7"/>
    <w:rsid w:val="2E0E0B44"/>
    <w:rsid w:val="2E0F4702"/>
    <w:rsid w:val="30204B81"/>
    <w:rsid w:val="307F7146"/>
    <w:rsid w:val="30A112BC"/>
    <w:rsid w:val="30FB21C7"/>
    <w:rsid w:val="332E5837"/>
    <w:rsid w:val="33B46B27"/>
    <w:rsid w:val="39036BAD"/>
    <w:rsid w:val="398A37EC"/>
    <w:rsid w:val="398C12A7"/>
    <w:rsid w:val="39E62997"/>
    <w:rsid w:val="3B532C89"/>
    <w:rsid w:val="3B7C2F28"/>
    <w:rsid w:val="3BAD62FC"/>
    <w:rsid w:val="3C180293"/>
    <w:rsid w:val="3C81295B"/>
    <w:rsid w:val="3CF75781"/>
    <w:rsid w:val="3E480050"/>
    <w:rsid w:val="3F6956C4"/>
    <w:rsid w:val="406B52E0"/>
    <w:rsid w:val="41AC322C"/>
    <w:rsid w:val="420336C3"/>
    <w:rsid w:val="423749B1"/>
    <w:rsid w:val="425D7EB7"/>
    <w:rsid w:val="42664C0F"/>
    <w:rsid w:val="44FF0DB1"/>
    <w:rsid w:val="45120AE5"/>
    <w:rsid w:val="45594B71"/>
    <w:rsid w:val="46BA36DB"/>
    <w:rsid w:val="46C83575"/>
    <w:rsid w:val="47E524E0"/>
    <w:rsid w:val="48795182"/>
    <w:rsid w:val="49564BCC"/>
    <w:rsid w:val="496008C3"/>
    <w:rsid w:val="4A527FA5"/>
    <w:rsid w:val="4AD56FE2"/>
    <w:rsid w:val="4B9235C3"/>
    <w:rsid w:val="4BB62215"/>
    <w:rsid w:val="4CE16790"/>
    <w:rsid w:val="4EB9395C"/>
    <w:rsid w:val="4F116D63"/>
    <w:rsid w:val="50062548"/>
    <w:rsid w:val="50970790"/>
    <w:rsid w:val="509B3233"/>
    <w:rsid w:val="513E2C61"/>
    <w:rsid w:val="52280AC9"/>
    <w:rsid w:val="52B777E5"/>
    <w:rsid w:val="52DB4680"/>
    <w:rsid w:val="539B303F"/>
    <w:rsid w:val="55B014D8"/>
    <w:rsid w:val="576C7EE5"/>
    <w:rsid w:val="57F234C9"/>
    <w:rsid w:val="57F64A30"/>
    <w:rsid w:val="5A101121"/>
    <w:rsid w:val="5B4A3771"/>
    <w:rsid w:val="5BA92AD9"/>
    <w:rsid w:val="5BF47C6E"/>
    <w:rsid w:val="5C3C2CDA"/>
    <w:rsid w:val="5D255365"/>
    <w:rsid w:val="5EED6EC6"/>
    <w:rsid w:val="5F4C206F"/>
    <w:rsid w:val="5F812FDF"/>
    <w:rsid w:val="5F8C0E12"/>
    <w:rsid w:val="5FA74252"/>
    <w:rsid w:val="5FF17B2D"/>
    <w:rsid w:val="61E57855"/>
    <w:rsid w:val="62CA2486"/>
    <w:rsid w:val="63222DBD"/>
    <w:rsid w:val="63853103"/>
    <w:rsid w:val="6468612F"/>
    <w:rsid w:val="64761B65"/>
    <w:rsid w:val="661243AA"/>
    <w:rsid w:val="66AE0A74"/>
    <w:rsid w:val="67CB235A"/>
    <w:rsid w:val="68365A5A"/>
    <w:rsid w:val="68572B2F"/>
    <w:rsid w:val="68DD61AE"/>
    <w:rsid w:val="6900625C"/>
    <w:rsid w:val="69540E4B"/>
    <w:rsid w:val="69AE49D0"/>
    <w:rsid w:val="6C5671C2"/>
    <w:rsid w:val="6C575044"/>
    <w:rsid w:val="6E081074"/>
    <w:rsid w:val="6EF116A7"/>
    <w:rsid w:val="6F216FB3"/>
    <w:rsid w:val="70C7355E"/>
    <w:rsid w:val="71111C33"/>
    <w:rsid w:val="712D7413"/>
    <w:rsid w:val="71461992"/>
    <w:rsid w:val="714E2468"/>
    <w:rsid w:val="71685DAD"/>
    <w:rsid w:val="72555796"/>
    <w:rsid w:val="72CE347B"/>
    <w:rsid w:val="736A1485"/>
    <w:rsid w:val="73910128"/>
    <w:rsid w:val="73A3787F"/>
    <w:rsid w:val="74435B42"/>
    <w:rsid w:val="74474A79"/>
    <w:rsid w:val="74A829EE"/>
    <w:rsid w:val="74E71787"/>
    <w:rsid w:val="77B43AFA"/>
    <w:rsid w:val="78306968"/>
    <w:rsid w:val="79754E2A"/>
    <w:rsid w:val="79A1746A"/>
    <w:rsid w:val="79A75FA3"/>
    <w:rsid w:val="7A8A1038"/>
    <w:rsid w:val="7B307D05"/>
    <w:rsid w:val="7B3A4FF7"/>
    <w:rsid w:val="7B660DD5"/>
    <w:rsid w:val="7C3E4761"/>
    <w:rsid w:val="7CBD7BEF"/>
    <w:rsid w:val="7CF5015E"/>
    <w:rsid w:val="7DBC330C"/>
    <w:rsid w:val="7EBA1E2E"/>
    <w:rsid w:val="7EE30820"/>
    <w:rsid w:val="7F665026"/>
    <w:rsid w:val="7FA82C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autoRedefine/>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qFormat/>
    <w:uiPriority w:val="0"/>
    <w:pPr>
      <w:ind w:left="0" w:leftChars="0" w:firstLine="420" w:firstLineChars="200"/>
    </w:pPr>
  </w:style>
  <w:style w:type="paragraph" w:styleId="3">
    <w:name w:val="Body Text Indent"/>
    <w:basedOn w:val="1"/>
    <w:qFormat/>
    <w:uiPriority w:val="0"/>
    <w:pPr>
      <w:spacing w:before="120" w:after="120"/>
      <w:ind w:firstLine="480"/>
    </w:pPr>
    <w:rPr>
      <w:rFonts w:ascii="宋体" w:hAnsi="宋体"/>
      <w:sz w:val="24"/>
      <w:szCs w:val="20"/>
    </w:rPr>
  </w:style>
  <w:style w:type="paragraph" w:styleId="4">
    <w:name w:val="Body Text First Indent"/>
    <w:basedOn w:val="5"/>
    <w:qFormat/>
    <w:uiPriority w:val="0"/>
    <w:pPr>
      <w:spacing w:before="260" w:line="415" w:lineRule="auto"/>
      <w:ind w:firstLine="420" w:firstLineChars="100"/>
    </w:pPr>
    <w:rPr>
      <w:rFonts w:ascii="Times New Roman" w:hAnsi="Times New Roman"/>
      <w:szCs w:val="24"/>
    </w:rPr>
  </w:style>
  <w:style w:type="paragraph" w:styleId="5">
    <w:name w:val="Body Text"/>
    <w:basedOn w:val="1"/>
    <w:qFormat/>
    <w:uiPriority w:val="0"/>
    <w:pPr>
      <w:spacing w:after="120"/>
    </w:pPr>
  </w:style>
  <w:style w:type="paragraph" w:styleId="6">
    <w:name w:val="footer"/>
    <w:basedOn w:val="1"/>
    <w:autoRedefine/>
    <w:qFormat/>
    <w:uiPriority w:val="0"/>
    <w:pPr>
      <w:tabs>
        <w:tab w:val="center" w:pos="4153"/>
        <w:tab w:val="right" w:pos="8306"/>
      </w:tabs>
      <w:snapToGrid w:val="0"/>
      <w:jc w:val="left"/>
    </w:pPr>
    <w:rPr>
      <w:sz w:val="18"/>
      <w:szCs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9">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character" w:styleId="12">
    <w:name w:val="Hyperlink"/>
    <w:basedOn w:val="11"/>
    <w:autoRedefine/>
    <w:qFormat/>
    <w:uiPriority w:val="0"/>
    <w:rPr>
      <w:color w:val="0000FF"/>
      <w:u w:val="single"/>
    </w:rPr>
  </w:style>
  <w:style w:type="paragraph" w:styleId="13">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Pages>
  <Words>715</Words>
  <Characters>790</Characters>
  <Lines>6</Lines>
  <Paragraphs>1</Paragraphs>
  <TotalTime>0</TotalTime>
  <ScaleCrop>false</ScaleCrop>
  <LinksUpToDate>false</LinksUpToDate>
  <CharactersWithSpaces>793</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2020-08-17T02:47:00Z</dcterms:created>
  <dc:creator>微软用户</dc:creator>
  <cp:lastModifiedBy>正南</cp:lastModifiedBy>
  <cp:lastPrinted>2017-06-02T00:38:00Z</cp:lastPrinted>
  <dcterms:modified xsi:type="dcterms:W3CDTF">2024-08-21T03:18:31Z</dcterms:modified>
  <dc:title>不合格报告说明</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88DEC00F62AF48D084A851DC406E99C7</vt:lpwstr>
  </property>
  <property fmtid="{D5CDD505-2E9C-101B-9397-08002B2CF9AE}" pid="4" name="commondata">
    <vt:lpwstr>eyJoZGlkIjoiNWFiNWNmM2E3YjRjZDI2YjM2ZmQ2ZDE4ZDhhMzM5MDgifQ==</vt:lpwstr>
  </property>
</Properties>
</file>