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pacing w:val="-2"/>
          <w:sz w:val="44"/>
          <w:szCs w:val="48"/>
        </w:rPr>
      </w:pPr>
      <w:bookmarkStart w:id="0" w:name="_Hlk161995272"/>
      <w:r>
        <w:rPr>
          <w:rFonts w:hint="eastAsia" w:ascii="宋体" w:hAnsi="宋体" w:eastAsia="宋体"/>
          <w:b/>
          <w:bCs/>
          <w:spacing w:val="-2"/>
          <w:sz w:val="44"/>
          <w:szCs w:val="48"/>
        </w:rPr>
        <w:t>云浮国际石材产业城主园控制性详细规划</w:t>
      </w:r>
    </w:p>
    <w:p>
      <w:pPr>
        <w:pageBreakBefore w:val="0"/>
        <w:widowControl w:val="0"/>
        <w:wordWrap/>
        <w:topLinePunct w:val="0"/>
        <w:bidi w:val="0"/>
        <w:snapToGrid/>
        <w:spacing w:line="580" w:lineRule="exact"/>
        <w:ind w:left="0" w:right="0"/>
        <w:jc w:val="both"/>
        <w:textAlignment w:val="auto"/>
        <w:rPr>
          <w:rFonts w:hint="eastAsia" w:ascii="宋体" w:hAnsi="宋体" w:eastAsia="宋体"/>
          <w:b/>
          <w:bCs/>
          <w:spacing w:val="-2"/>
          <w:sz w:val="44"/>
          <w:szCs w:val="48"/>
        </w:rPr>
      </w:pPr>
    </w:p>
    <w:bookmarkEnd w:id="0"/>
    <w:p>
      <w:pPr>
        <w:pStyle w:val="10"/>
        <w:pageBreakBefore w:val="0"/>
        <w:widowControl w:val="0"/>
        <w:wordWrap/>
        <w:topLinePunct w:val="0"/>
        <w:bidi w:val="0"/>
        <w:snapToGrid/>
        <w:spacing w:after="0" w:line="580" w:lineRule="exact"/>
        <w:ind w:left="0" w:right="0"/>
        <w:jc w:val="both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 xml:space="preserve">    </w:t>
      </w:r>
      <w:r>
        <w:rPr>
          <w:rFonts w:hint="eastAsia" w:ascii="黑体" w:hAnsi="黑体" w:eastAsia="黑体"/>
          <w:b w:val="0"/>
          <w:bCs w:val="0"/>
        </w:rPr>
        <w:t>一、制定背景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spacing w:val="-6"/>
          <w:kern w:val="0"/>
          <w:sz w:val="28"/>
          <w:szCs w:val="21"/>
          <w14:ligatures w14:val="none"/>
        </w:rPr>
        <w:t>云浮国际石材产业园主园</w:t>
      </w:r>
      <w:r>
        <w:rPr>
          <w:rFonts w:ascii="仿宋_GB2312" w:hAnsi="宋体" w:eastAsia="仿宋_GB2312" w:cs="宋体"/>
          <w:bCs/>
          <w:spacing w:val="-6"/>
          <w:kern w:val="0"/>
          <w:sz w:val="28"/>
          <w:szCs w:val="21"/>
          <w14:ligatures w14:val="none"/>
        </w:rPr>
        <w:t>项目</w:t>
      </w:r>
      <w:r>
        <w:rPr>
          <w:rFonts w:hint="eastAsia" w:ascii="仿宋_GB2312" w:hAnsi="宋体" w:eastAsia="仿宋_GB2312" w:cs="宋体"/>
          <w:bCs/>
          <w:spacing w:val="-6"/>
          <w:kern w:val="0"/>
          <w:sz w:val="28"/>
          <w:szCs w:val="21"/>
          <w14:ligatures w14:val="none"/>
        </w:rPr>
        <w:t>位于云城区安塘街下属都涝、安塘、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布贯、</w:t>
      </w:r>
      <w:r>
        <w:rPr>
          <w:rFonts w:hint="eastAsia" w:ascii="微软雅黑" w:hAnsi="微软雅黑" w:eastAsia="微软雅黑" w:cs="微软雅黑"/>
          <w:bCs/>
          <w:kern w:val="0"/>
          <w:sz w:val="28"/>
          <w:szCs w:val="21"/>
          <w14:ligatures w14:val="none"/>
        </w:rPr>
        <w:t>塱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1"/>
          <w14:ligatures w14:val="none"/>
        </w:rPr>
        <w:t>头、都栗村五个行政村交界处。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目前，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项目已有大部分区域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已纳入城镇开发边界（城镇集中建设区）范围，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面积223.83公顷，约占项目面积的77.72%，但目前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控规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未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覆盖。根据《广东省城市控制性详细规划管理条例》第二十条有关规定，经市政府同意，市自然资源局会同云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城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区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自然资源局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组织开展了《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云浮国际石材产业城主园控制性详细规划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》（以下简称《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石材城控规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》）编制工作，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广东省城乡规划设计研究院科技集团股份有限公司与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云浮市国土空间技术服务中心为规划编制单位。本规划已于20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24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年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3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月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>27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日经市人民政府印发实施，旨在谋划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云浮国际石材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产业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城主园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的用地布局及用地控制指标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，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为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云</w:t>
      </w:r>
      <w:r>
        <w:rPr>
          <w:rFonts w:hint="eastAsia" w:ascii="仿宋_GB2312" w:hAnsi="宋体" w:eastAsia="仿宋_GB2312" w:cs="宋体"/>
          <w:bCs/>
          <w:spacing w:val="-6"/>
          <w:kern w:val="0"/>
          <w:sz w:val="28"/>
          <w:szCs w:val="21"/>
          <w14:ligatures w14:val="none"/>
        </w:rPr>
        <w:t>浮国际石材产业城主园</w:t>
      </w:r>
      <w:r>
        <w:rPr>
          <w:rFonts w:ascii="仿宋_GB2312" w:hAnsi="宋体" w:eastAsia="仿宋_GB2312" w:cs="宋体"/>
          <w:bCs/>
          <w:spacing w:val="-6"/>
          <w:kern w:val="0"/>
          <w:sz w:val="28"/>
          <w:szCs w:val="21"/>
          <w14:ligatures w14:val="none"/>
        </w:rPr>
        <w:t>的用地出让及相关项目建设提供规划支撑。</w:t>
      </w:r>
    </w:p>
    <w:p>
      <w:pPr>
        <w:pStyle w:val="10"/>
        <w:pageBreakBefore w:val="0"/>
        <w:widowControl w:val="0"/>
        <w:wordWrap/>
        <w:topLinePunct w:val="0"/>
        <w:bidi w:val="0"/>
        <w:snapToGrid/>
        <w:spacing w:after="0" w:line="580" w:lineRule="exact"/>
        <w:ind w:left="0" w:right="0"/>
        <w:jc w:val="both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 xml:space="preserve">    </w:t>
      </w:r>
      <w:r>
        <w:rPr>
          <w:rFonts w:hint="eastAsia" w:ascii="黑体" w:hAnsi="黑体" w:eastAsia="黑体"/>
          <w:b w:val="0"/>
          <w:bCs w:val="0"/>
        </w:rPr>
        <w:t>二、规划范围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本次规划范围面积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288.01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1"/>
          <w14:ligatures w14:val="none"/>
        </w:rPr>
        <w:t>西至都涝村至云龙村乡道，南至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G324改线，东至汕湛高速，北至云龙村。</w:t>
      </w:r>
    </w:p>
    <w:p>
      <w:pPr>
        <w:pStyle w:val="10"/>
        <w:pageBreakBefore w:val="0"/>
        <w:widowControl w:val="0"/>
        <w:wordWrap/>
        <w:topLinePunct w:val="0"/>
        <w:bidi w:val="0"/>
        <w:snapToGrid/>
        <w:spacing w:after="0" w:line="580" w:lineRule="exact"/>
        <w:ind w:left="0" w:right="0"/>
        <w:jc w:val="both"/>
        <w:textAlignment w:val="auto"/>
        <w:rPr>
          <w:sz w:val="28"/>
          <w:szCs w:val="44"/>
        </w:rPr>
      </w:pPr>
      <w:r>
        <w:rPr>
          <w:rFonts w:hint="eastAsia"/>
          <w:sz w:val="28"/>
          <w:szCs w:val="4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8"/>
          <w:szCs w:val="44"/>
        </w:rPr>
        <w:t>三、规划主要内容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为以石材产业加工及销售作为主导产业，整体布局以工业用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地为主，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规划区内配套设施主要采取“片区级——园区级”统筹规划，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规划配套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便民超市、园区卫生服务中心、运动健身设施、幼儿园、公共厕所、社区服务中心等生活性配套设施及园区服务中心、智慧数据中心、国际博览中心、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110KV变电站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等生产性设施。主要内容包括用地布局、用地指标、市政专项等。</w:t>
      </w:r>
    </w:p>
    <w:p>
      <w:pPr>
        <w:pStyle w:val="3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leftChars="0" w:right="0" w:rightChars="0"/>
        <w:jc w:val="both"/>
        <w:textAlignment w:val="auto"/>
        <w:rPr>
          <w:rFonts w:hint="eastAsia" w:ascii="楷体" w:hAnsi="楷体" w:eastAsia="楷体" w:cs="楷体"/>
          <w:bCs/>
          <w:kern w:val="0"/>
          <w:sz w:val="28"/>
          <w:szCs w:val="21"/>
          <w14:ligatures w14:val="none"/>
        </w:rPr>
      </w:pPr>
      <w:r>
        <w:rPr>
          <w:rFonts w:hint="eastAsia" w:ascii="楷体" w:hAnsi="楷体" w:eastAsia="楷体" w:cs="楷体"/>
          <w:bCs/>
          <w:kern w:val="0"/>
          <w:sz w:val="28"/>
          <w:szCs w:val="21"/>
          <w:lang w:val="en-US" w:eastAsia="zh-CN"/>
          <w14:ligatures w14:val="none"/>
        </w:rPr>
        <w:t xml:space="preserve">   </w:t>
      </w:r>
      <w:r>
        <w:rPr>
          <w:rFonts w:hint="eastAsia" w:ascii="楷体" w:hAnsi="楷体" w:eastAsia="楷体" w:cs="楷体"/>
          <w:bCs/>
          <w:kern w:val="0"/>
          <w:sz w:val="28"/>
          <w:szCs w:val="21"/>
          <w:lang w:eastAsia="zh-CN"/>
          <w14:ligatures w14:val="none"/>
        </w:rPr>
        <w:t>（一）</w:t>
      </w:r>
      <w:r>
        <w:rPr>
          <w:rFonts w:hint="eastAsia" w:ascii="楷体" w:hAnsi="楷体" w:eastAsia="楷体" w:cs="楷体"/>
          <w:bCs/>
          <w:kern w:val="0"/>
          <w:sz w:val="28"/>
          <w:szCs w:val="21"/>
          <w14:ligatures w14:val="none"/>
        </w:rPr>
        <w:t>用地布局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规划按照突出产业产业、配置必要市政设施及公服设施、满足生产生活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需求的原则，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内部布局工业用地为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162.49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，包括新型工业用地兼容科研用地（M0/A35）18.92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，一类工业用地兼容商业用地（M1/B）13.69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，二类工业用地兼容一类工业用地（M2/M1）129.88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。商住用地，6.81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。商业服务业设施用地，20.26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。公共配套设施用地，98.45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公顷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，主要包括城市道路用地、交通场站用地、社会停车场用地、绿地与广场用地。</w:t>
      </w:r>
    </w:p>
    <w:p>
      <w:pPr>
        <w:pStyle w:val="3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leftChars="0" w:right="0" w:rightChars="0"/>
        <w:jc w:val="both"/>
        <w:textAlignment w:val="auto"/>
        <w:rPr>
          <w:rFonts w:hint="eastAsia" w:ascii="楷体" w:hAnsi="楷体" w:eastAsia="楷体" w:cs="楷体"/>
          <w:bCs/>
          <w:kern w:val="0"/>
          <w:sz w:val="28"/>
          <w:szCs w:val="21"/>
          <w14:ligatures w14:val="none"/>
        </w:rPr>
      </w:pPr>
      <w:r>
        <w:rPr>
          <w:rFonts w:hint="eastAsia" w:ascii="楷体" w:hAnsi="楷体" w:eastAsia="楷体" w:cs="楷体"/>
          <w:bCs/>
          <w:kern w:val="0"/>
          <w:sz w:val="28"/>
          <w:szCs w:val="21"/>
          <w:lang w:val="en-US" w:eastAsia="zh-CN"/>
          <w14:ligatures w14:val="none"/>
        </w:rPr>
        <w:t xml:space="preserve">   </w:t>
      </w:r>
      <w:r>
        <w:rPr>
          <w:rFonts w:hint="eastAsia" w:ascii="楷体" w:hAnsi="楷体" w:eastAsia="楷体" w:cs="楷体"/>
          <w:bCs/>
          <w:kern w:val="0"/>
          <w:sz w:val="28"/>
          <w:szCs w:val="21"/>
          <w:lang w:eastAsia="zh-CN"/>
          <w14:ligatures w14:val="none"/>
        </w:rPr>
        <w:t>（二）</w:t>
      </w:r>
      <w:r>
        <w:rPr>
          <w:rFonts w:hint="eastAsia" w:ascii="楷体" w:hAnsi="楷体" w:eastAsia="楷体" w:cs="楷体"/>
          <w:bCs/>
          <w:kern w:val="0"/>
          <w:sz w:val="28"/>
          <w:szCs w:val="21"/>
          <w14:ligatures w14:val="none"/>
        </w:rPr>
        <w:t>用地指标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1.商住用地（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RB）：容积率≤3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建筑密度≤35%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绿地率≥35%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建筑高度≤60m；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2.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商业服务业设施用地兼容公共管理与公共服务用地(B/A)：容积率≤3.5或3.0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建筑密度≤40%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绿地率≥35%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建筑高度≤80或60m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；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3.</w:t>
      </w:r>
      <w:r>
        <w:rPr>
          <w:rFonts w:ascii="仿宋_GB2312" w:hAnsi="宋体" w:eastAsia="仿宋_GB2312" w:cs="宋体"/>
          <w:bCs/>
          <w:spacing w:val="-11"/>
          <w:kern w:val="0"/>
          <w:sz w:val="28"/>
          <w:szCs w:val="21"/>
          <w14:ligatures w14:val="none"/>
        </w:rPr>
        <w:t>工业用地(M2/M1)：容积率≥1.0</w:t>
      </w:r>
      <w:r>
        <w:rPr>
          <w:rFonts w:hint="eastAsia" w:ascii="仿宋_GB2312" w:hAnsi="宋体" w:eastAsia="仿宋_GB2312" w:cs="宋体"/>
          <w:bCs/>
          <w:spacing w:val="-11"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spacing w:val="-11"/>
          <w:kern w:val="0"/>
          <w:sz w:val="28"/>
          <w:szCs w:val="21"/>
          <w14:ligatures w14:val="none"/>
        </w:rPr>
        <w:t>建筑系数≥40%</w:t>
      </w:r>
      <w:r>
        <w:rPr>
          <w:rFonts w:hint="eastAsia" w:ascii="仿宋_GB2312" w:hAnsi="宋体" w:eastAsia="仿宋_GB2312" w:cs="宋体"/>
          <w:bCs/>
          <w:spacing w:val="-11"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spacing w:val="-11"/>
          <w:kern w:val="0"/>
          <w:sz w:val="28"/>
          <w:szCs w:val="21"/>
          <w14:ligatures w14:val="none"/>
        </w:rPr>
        <w:t>绿地率≤20%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建筑高度不做控制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新型工业用地（M0/A35）及一类工业用地兼容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。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 xml:space="preserve">  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>4.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商业用地（M1/B）</w:t>
      </w:r>
      <w:r>
        <w:rPr>
          <w:rFonts w:ascii="仿宋_GB2312" w:hAnsi="宋体" w:eastAsia="仿宋_GB2312" w:cs="宋体"/>
          <w:bCs/>
          <w:spacing w:val="-17"/>
          <w:kern w:val="0"/>
          <w:sz w:val="28"/>
          <w:szCs w:val="21"/>
          <w14:ligatures w14:val="none"/>
        </w:rPr>
        <w:t>：容积率≥2.0</w:t>
      </w:r>
      <w:r>
        <w:rPr>
          <w:rFonts w:hint="eastAsia" w:ascii="仿宋_GB2312" w:hAnsi="宋体" w:eastAsia="仿宋_GB2312" w:cs="宋体"/>
          <w:bCs/>
          <w:spacing w:val="-17"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spacing w:val="-17"/>
          <w:kern w:val="0"/>
          <w:sz w:val="28"/>
          <w:szCs w:val="21"/>
          <w14:ligatures w14:val="none"/>
        </w:rPr>
        <w:t>建筑密度≥30%</w:t>
      </w:r>
      <w:r>
        <w:rPr>
          <w:rFonts w:hint="eastAsia" w:ascii="仿宋_GB2312" w:hAnsi="宋体" w:eastAsia="仿宋_GB2312" w:cs="宋体"/>
          <w:bCs/>
          <w:spacing w:val="-17"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spacing w:val="-17"/>
          <w:kern w:val="0"/>
          <w:sz w:val="28"/>
          <w:szCs w:val="21"/>
          <w14:ligatures w14:val="none"/>
        </w:rPr>
        <w:t>绿地率≥35%</w:t>
      </w:r>
      <w:r>
        <w:rPr>
          <w:rFonts w:hint="eastAsia" w:ascii="仿宋_GB2312" w:hAnsi="宋体" w:eastAsia="仿宋_GB2312" w:cs="宋体"/>
          <w:bCs/>
          <w:spacing w:val="-17"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建筑高度不做控制；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>5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.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交通枢纽用地兼容二类工业用地及二类物流仓储用地（S3/W2/M2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）：容积率≥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1.0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建筑密度≥40%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绿地率≤20%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eastAsia="zh-CN"/>
          <w14:ligatures w14:val="none"/>
        </w:rPr>
        <w:t>、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建筑高度不做控制。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>6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.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建筑退让控制：依据规划区内道路红线的宽度，根据《云浮市城市规划技术管理规定》中要求，园区主干道退让10米，园区次干道退让8米，其他道路退让5米。退让各类绿</w:t>
      </w:r>
      <w:bookmarkStart w:id="1" w:name="_GoBack"/>
      <w:bookmarkEnd w:id="1"/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地的距离不少于5m。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>7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.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建筑间距控制：建筑间距综合考虑日照、采光、通风、消防、防灾、管线埋设和视觉卫生等要求，并结合建设用地的实际情况而确定。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:lang w:val="en-US" w:eastAsia="zh-CN"/>
          <w14:ligatures w14:val="none"/>
        </w:rPr>
        <w:t xml:space="preserve">   </w:t>
      </w:r>
      <w:r>
        <w:rPr>
          <w:rFonts w:hint="eastAsia" w:ascii="楷体" w:hAnsi="楷体" w:eastAsia="楷体" w:cs="楷体"/>
          <w:bCs/>
          <w:kern w:val="0"/>
          <w:sz w:val="28"/>
          <w:szCs w:val="21"/>
          <w:lang w:eastAsia="zh-CN"/>
          <w14:ligatures w14:val="none"/>
        </w:rPr>
        <w:t>（三）</w:t>
      </w:r>
      <w:r>
        <w:rPr>
          <w:rFonts w:hint="eastAsia" w:ascii="楷体" w:hAnsi="楷体" w:eastAsia="楷体" w:cs="楷体"/>
          <w:bCs/>
          <w:kern w:val="0"/>
          <w:sz w:val="28"/>
          <w:szCs w:val="21"/>
          <w14:ligatures w14:val="none"/>
        </w:rPr>
        <w:t>市政专项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市政设施根据《云浮市国土空间总体规划（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2021-2035年）》，按照相关规范标准进行规划，其中市政专项的核心重点为综合交通、竖向标高、给水、污水、电力规划。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1.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综合交通规划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规划谋划外界的交通组织，并预留远期对外通道。规划衔接云新快线及疏港铁路。内部采用棋盘式路网布局，外环与中部布设园区主干道为核心骨架，形成高效的交通体系。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2.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竖向标高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规划区内现状地形起伏较大，最大高差达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85m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以上，地势呈南高北低，本次规划重点衔接关键节点标高（北部衔接汕湛高速桥下标高、南侧衔接国道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G324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改线标高）的基础上，内部采用台地式布局，保障项目的落地；二是在满足规范要求前提下，以修建性详细规划实施深度梳理分析，研究得出场地的竖向标高，尽可能实现场地内部土方平衡。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3.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给水、污水、电力规划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基础设施主要从给水、污水、供电等方面考虑，结合周边金属智造园及安塘石材产业基地综合统筹规划。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给水：采用西江第二水厂作为供给水源，园区内规划一处给水加压泵站，满足园区供水需求。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污水：沿国道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G324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改线布有一个区域型污水处理设施（古宠污水处理厂），满足金属智造园西南侧与石材园污水处理需求。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供电：从硫都站引入双回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110kV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架空线，在园区内规划一处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110KV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变电站。</w:t>
      </w:r>
    </w:p>
    <w:p>
      <w:pPr>
        <w:pStyle w:val="10"/>
        <w:pageBreakBefore w:val="0"/>
        <w:widowControl w:val="0"/>
        <w:wordWrap/>
        <w:topLinePunct w:val="0"/>
        <w:bidi w:val="0"/>
        <w:snapToGrid/>
        <w:spacing w:after="0" w:line="58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44"/>
        </w:rPr>
      </w:pPr>
      <w:r>
        <w:rPr>
          <w:rFonts w:hint="eastAsia"/>
          <w:sz w:val="28"/>
          <w:szCs w:val="4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8"/>
          <w:szCs w:val="44"/>
        </w:rPr>
        <w:t>四、实施《石材城控规》的意义</w:t>
      </w:r>
    </w:p>
    <w:p>
      <w:pPr>
        <w:pStyle w:val="3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left="0" w:right="0" w:firstLine="619"/>
        <w:jc w:val="both"/>
        <w:textAlignment w:val="auto"/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《石材城控规》经批准实施后，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将作为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云浮国际石材产业城主园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的法定规划管理依据。通过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《石材城控规》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的引导与管控，可更好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推动石材产业高质量集约发展，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科学规划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石材企业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开发布局，加快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石材产业城主园的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项目建设，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锚定“园区化、数字化、品牌化、集群化、绿色化”发展方向，建设国家级智慧石材产业园、云浮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-RCEP国际石材产业城。着力打造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以石材加工为主，产业功能完善、用地布局紧凑、交通组织高效、经济效益突出、融入地域文化特色的全国石材绿色低碳智慧发展基地、石材工业互联新动能示范区。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为加快土地出让，指导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石材产业城主园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的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配套</w:t>
      </w:r>
      <w:r>
        <w:rPr>
          <w:rFonts w:ascii="仿宋_GB2312" w:hAnsi="宋体" w:eastAsia="仿宋_GB2312" w:cs="宋体"/>
          <w:bCs/>
          <w:kern w:val="0"/>
          <w:sz w:val="28"/>
          <w:szCs w:val="21"/>
          <w14:ligatures w14:val="none"/>
        </w:rPr>
        <w:t>设施、道路交通、市政工程等方面</w:t>
      </w:r>
      <w:r>
        <w:rPr>
          <w:rFonts w:hint="eastAsia" w:ascii="仿宋_GB2312" w:hAnsi="宋体" w:eastAsia="仿宋_GB2312" w:cs="宋体"/>
          <w:bCs/>
          <w:kern w:val="0"/>
          <w:sz w:val="28"/>
          <w:szCs w:val="21"/>
          <w14:ligatures w14:val="none"/>
        </w:rPr>
        <w:t>建设实施提供科学依据和蓝图。</w:t>
      </w:r>
    </w:p>
    <w:p>
      <w:pPr>
        <w:jc w:val="center"/>
        <w:rPr>
          <w:rFonts w:ascii="宋体" w:hAnsi="宋体" w:eastAsia="宋体"/>
          <w:sz w:val="44"/>
          <w:szCs w:val="48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wZTAyYThiMWNhZGM3NWYzNmIwOWYxZjAwNjEwYmQifQ=="/>
  </w:docVars>
  <w:rsids>
    <w:rsidRoot w:val="00474356"/>
    <w:rsid w:val="00124225"/>
    <w:rsid w:val="001664D2"/>
    <w:rsid w:val="00202514"/>
    <w:rsid w:val="002131DB"/>
    <w:rsid w:val="00326CEB"/>
    <w:rsid w:val="00474356"/>
    <w:rsid w:val="00550324"/>
    <w:rsid w:val="006266A4"/>
    <w:rsid w:val="00915F99"/>
    <w:rsid w:val="00A46066"/>
    <w:rsid w:val="00C20728"/>
    <w:rsid w:val="00C55719"/>
    <w:rsid w:val="00C762E6"/>
    <w:rsid w:val="00CF26BE"/>
    <w:rsid w:val="00D32A1B"/>
    <w:rsid w:val="00D464C2"/>
    <w:rsid w:val="00D67125"/>
    <w:rsid w:val="00DF6D0D"/>
    <w:rsid w:val="00EC6BC1"/>
    <w:rsid w:val="00FD051B"/>
    <w:rsid w:val="00FD61E1"/>
    <w:rsid w:val="3FFD0D76"/>
    <w:rsid w:val="6068254A"/>
    <w:rsid w:val="6E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autoRedefine/>
    <w:unhideWhenUsed/>
    <w:qFormat/>
    <w:uiPriority w:val="1"/>
    <w:pPr>
      <w:spacing w:after="12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paragraph" w:customStyle="1" w:styleId="10">
    <w:name w:val="21bc9c4b-6a32-43e5-beaa-fd2d792c5735"/>
    <w:basedOn w:val="2"/>
    <w:next w:val="11"/>
    <w:link w:val="12"/>
    <w:autoRedefine/>
    <w:qFormat/>
    <w:uiPriority w:val="0"/>
    <w:pPr>
      <w:spacing w:before="0" w:after="0" w:line="288" w:lineRule="auto"/>
      <w:jc w:val="left"/>
    </w:pPr>
    <w:rPr>
      <w:rFonts w:ascii="微软雅黑" w:hAnsi="微软雅黑" w:eastAsia="微软雅黑"/>
      <w:color w:val="000000"/>
      <w:spacing w:val="-2"/>
      <w:sz w:val="32"/>
      <w:szCs w:val="48"/>
    </w:rPr>
  </w:style>
  <w:style w:type="paragraph" w:customStyle="1" w:styleId="11">
    <w:name w:val="acbfdd8b-e11b-4d36-88ff-6049b138f862"/>
    <w:basedOn w:val="3"/>
    <w:link w:val="14"/>
    <w:autoRedefine/>
    <w:qFormat/>
    <w:uiPriority w:val="0"/>
    <w:pPr>
      <w:spacing w:after="0"/>
      <w:jc w:val="left"/>
    </w:pPr>
    <w:rPr>
      <w:rFonts w:ascii="微软雅黑" w:hAnsi="微软雅黑" w:eastAsia="微软雅黑"/>
      <w:color w:val="000000"/>
      <w:spacing w:val="-2"/>
      <w:sz w:val="22"/>
      <w:szCs w:val="48"/>
    </w:rPr>
  </w:style>
  <w:style w:type="character" w:customStyle="1" w:styleId="12">
    <w:name w:val="21bc9c4b-6a32-43e5-beaa-fd2d792c5735 字符"/>
    <w:basedOn w:val="7"/>
    <w:link w:val="10"/>
    <w:autoRedefine/>
    <w:qFormat/>
    <w:uiPriority w:val="0"/>
    <w:rPr>
      <w:rFonts w:ascii="微软雅黑" w:hAnsi="微软雅黑" w:eastAsia="微软雅黑"/>
      <w:b/>
      <w:bCs/>
      <w:color w:val="000000"/>
      <w:spacing w:val="-2"/>
      <w:kern w:val="44"/>
      <w:sz w:val="32"/>
      <w:szCs w:val="48"/>
    </w:rPr>
  </w:style>
  <w:style w:type="character" w:customStyle="1" w:styleId="13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4">
    <w:name w:val="acbfdd8b-e11b-4d36-88ff-6049b138f862 字符"/>
    <w:basedOn w:val="7"/>
    <w:link w:val="11"/>
    <w:autoRedefine/>
    <w:qFormat/>
    <w:uiPriority w:val="0"/>
    <w:rPr>
      <w:rFonts w:ascii="微软雅黑" w:hAnsi="微软雅黑" w:eastAsia="微软雅黑"/>
      <w:color w:val="000000"/>
      <w:spacing w:val="-2"/>
      <w:sz w:val="22"/>
      <w:szCs w:val="48"/>
    </w:rPr>
  </w:style>
  <w:style w:type="character" w:customStyle="1" w:styleId="15">
    <w:name w:val="正文文本 字符"/>
    <w:basedOn w:val="7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317</Words>
  <Characters>1810</Characters>
  <Lines>15</Lines>
  <Paragraphs>4</Paragraphs>
  <TotalTime>693</TotalTime>
  <ScaleCrop>false</ScaleCrop>
  <LinksUpToDate>false</LinksUpToDate>
  <CharactersWithSpaces>2123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2024-03-22T02:06:00Z</dcterms:created>
  <dc:creator>admin</dc:creator>
  <cp:lastModifiedBy>哪由</cp:lastModifiedBy>
  <dcterms:modified xsi:type="dcterms:W3CDTF">2024-04-08T00:52:30Z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944D1EAC7FFB43F2AC4A571AAA0C3A0D_12</vt:lpwstr>
  </property>
</Properties>
</file>