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napToGrid w:val="0"/>
        <w:spacing w:line="600" w:lineRule="exact"/>
        <w:jc w:val="center"/>
        <w:rPr>
          <w:rFonts w:eastAsia="方正小标宋简体"/>
          <w:sz w:val="44"/>
          <w:szCs w:val="44"/>
        </w:rPr>
      </w:pPr>
      <w:r>
        <w:rPr>
          <w:rFonts w:hint="eastAsia" w:eastAsia="方正小标宋简体"/>
          <w:sz w:val="44"/>
          <w:szCs w:val="44"/>
        </w:rPr>
        <w:t>云浮市云城区2023年度城镇国有建设用地标定地价更新项目政策解读</w:t>
      </w:r>
    </w:p>
    <w:p>
      <w:pPr>
        <w:pStyle w:val="15"/>
        <w:snapToGrid w:val="0"/>
        <w:spacing w:line="600" w:lineRule="exact"/>
        <w:ind w:firstLine="640" w:firstLineChars="200"/>
        <w:rPr>
          <w:rFonts w:eastAsia="仿宋_GB2312"/>
          <w:sz w:val="32"/>
        </w:rPr>
      </w:pPr>
    </w:p>
    <w:p>
      <w:pPr>
        <w:pStyle w:val="15"/>
        <w:snapToGrid w:val="0"/>
        <w:spacing w:line="600" w:lineRule="exact"/>
        <w:ind w:firstLine="640" w:firstLineChars="200"/>
        <w:rPr>
          <w:rFonts w:eastAsia="仿宋_GB2312"/>
          <w:sz w:val="32"/>
        </w:rPr>
      </w:pPr>
      <w:r>
        <w:rPr>
          <w:rFonts w:hint="eastAsia" w:eastAsia="仿宋_GB2312"/>
          <w:sz w:val="32"/>
        </w:rPr>
        <w:t>经云浮市人民政府批准，我市将从2024年</w:t>
      </w:r>
      <w:r>
        <w:rPr>
          <w:rFonts w:hint="eastAsia" w:eastAsia="仿宋_GB2312"/>
          <w:sz w:val="32"/>
          <w:lang w:val="en-US" w:eastAsia="zh-CN"/>
        </w:rPr>
        <w:t>3</w:t>
      </w:r>
      <w:r>
        <w:rPr>
          <w:rFonts w:hint="eastAsia" w:eastAsia="仿宋_GB2312"/>
          <w:sz w:val="32"/>
        </w:rPr>
        <w:t>月</w:t>
      </w:r>
      <w:r>
        <w:rPr>
          <w:rFonts w:hint="eastAsia" w:eastAsia="仿宋_GB2312"/>
          <w:sz w:val="32"/>
          <w:lang w:val="en-US" w:eastAsia="zh-CN"/>
        </w:rPr>
        <w:t>13</w:t>
      </w:r>
      <w:bookmarkStart w:id="0" w:name="_GoBack"/>
      <w:bookmarkEnd w:id="0"/>
      <w:r>
        <w:rPr>
          <w:rFonts w:hint="eastAsia" w:eastAsia="仿宋_GB2312"/>
          <w:sz w:val="32"/>
        </w:rPr>
        <w:t>日起实施估价期日为2023年1月1日的国有建设用地使用权标定地价更新成果。</w:t>
      </w:r>
    </w:p>
    <w:p>
      <w:pPr>
        <w:pStyle w:val="15"/>
        <w:snapToGrid w:val="0"/>
        <w:spacing w:line="600" w:lineRule="exact"/>
        <w:ind w:firstLine="640" w:firstLineChars="200"/>
        <w:outlineLvl w:val="0"/>
        <w:rPr>
          <w:rFonts w:eastAsia="黑体"/>
          <w:sz w:val="32"/>
        </w:rPr>
      </w:pPr>
      <w:r>
        <w:rPr>
          <w:rFonts w:eastAsia="黑体"/>
          <w:sz w:val="32"/>
        </w:rPr>
        <w:t>一、</w:t>
      </w:r>
      <w:r>
        <w:rPr>
          <w:rFonts w:hint="eastAsia" w:eastAsia="黑体"/>
          <w:sz w:val="32"/>
        </w:rPr>
        <w:t>标定地价成果更新依据</w:t>
      </w:r>
    </w:p>
    <w:p>
      <w:pPr>
        <w:pStyle w:val="15"/>
        <w:snapToGrid w:val="0"/>
        <w:spacing w:line="600" w:lineRule="exact"/>
        <w:ind w:firstLine="640" w:firstLineChars="200"/>
        <w:rPr>
          <w:rFonts w:eastAsia="仿宋_GB2312"/>
          <w:sz w:val="36"/>
          <w:szCs w:val="36"/>
        </w:rPr>
      </w:pPr>
      <w:r>
        <w:rPr>
          <w:rFonts w:hint="eastAsia" w:eastAsia="仿宋_GB2312"/>
          <w:sz w:val="32"/>
        </w:rPr>
        <w:t>根据《中华人民共和国城市房地产管理法》第三十二条“基准地价、标定地价和各类房屋的重置价格应当定期确定并公布”以及《广东省自然资源厅转发自然资源部办公厅关于做好2022年度自然资源评价评估有关工作的通知》（粤自然资利用〔2022〕1274 号）文件规定，各地要严格按照自然资源部和省自然资源厅的有关工作要求，推动落实标定地价成果年度更新。我市云城区现行公布的标定地价为估价期日2022年1月1日的成果，估价期日现已超1年，本次2023年度标定地价更新工作有利于健全云浮市云城区公示地价体系，及时反映国有建设用地使用权出让价格的动态变化，</w:t>
      </w:r>
      <w:r>
        <w:rPr>
          <w:rFonts w:hint="eastAsia" w:eastAsia="仿宋_GB2312"/>
          <w:sz w:val="36"/>
          <w:szCs w:val="36"/>
        </w:rPr>
        <w:t>优化土地资源配置。</w:t>
      </w:r>
    </w:p>
    <w:p>
      <w:pPr>
        <w:pStyle w:val="15"/>
        <w:snapToGrid w:val="0"/>
        <w:spacing w:line="600" w:lineRule="exact"/>
        <w:ind w:firstLine="640" w:firstLineChars="200"/>
        <w:outlineLvl w:val="0"/>
        <w:rPr>
          <w:rFonts w:eastAsia="黑体"/>
          <w:sz w:val="32"/>
        </w:rPr>
      </w:pPr>
      <w:r>
        <w:rPr>
          <w:rFonts w:hint="eastAsia" w:eastAsia="黑体"/>
          <w:sz w:val="32"/>
        </w:rPr>
        <w:t>二</w:t>
      </w:r>
      <w:r>
        <w:rPr>
          <w:rFonts w:eastAsia="黑体"/>
          <w:sz w:val="32"/>
        </w:rPr>
        <w:t>、</w:t>
      </w:r>
      <w:r>
        <w:rPr>
          <w:rFonts w:hint="eastAsia" w:eastAsia="黑体"/>
          <w:sz w:val="32"/>
        </w:rPr>
        <w:t>标定地价的概念</w:t>
      </w:r>
    </w:p>
    <w:p>
      <w:pPr>
        <w:pStyle w:val="15"/>
        <w:snapToGrid w:val="0"/>
        <w:spacing w:line="600" w:lineRule="exact"/>
        <w:ind w:firstLine="640" w:firstLineChars="200"/>
        <w:rPr>
          <w:rFonts w:eastAsia="仿宋_GB2312"/>
          <w:sz w:val="32"/>
        </w:rPr>
      </w:pPr>
      <w:r>
        <w:rPr>
          <w:rFonts w:hint="eastAsia" w:eastAsia="仿宋_GB2312"/>
          <w:sz w:val="32"/>
        </w:rPr>
        <w:t>标定地价是政府为管理需要确定的，标准宗地在现状开发利用、正常市场条件、法定最高使用年期或政策规定年期下，某一估价期日的土地权利价格。</w:t>
      </w:r>
    </w:p>
    <w:p>
      <w:pPr>
        <w:pStyle w:val="15"/>
        <w:snapToGrid w:val="0"/>
        <w:spacing w:line="600" w:lineRule="exact"/>
        <w:ind w:firstLine="640" w:firstLineChars="200"/>
        <w:rPr>
          <w:rFonts w:eastAsia="仿宋_GB2312"/>
          <w:sz w:val="32"/>
        </w:rPr>
      </w:pPr>
      <w:r>
        <w:rPr>
          <w:rFonts w:hint="eastAsia" w:eastAsia="仿宋_GB2312"/>
          <w:sz w:val="32"/>
        </w:rPr>
        <w:t>标定地价是我国法定公示地价体系的一部分，是宗地地价中一定地域范围内设定的土地质量、个别条件、土地利用效益以及反映的地价水平等具有代表性、稳定性和易辨性，可作为该区域中地价比较标准的若干地块的价格，它反映的是更微观的具体宗地的价格。</w:t>
      </w:r>
    </w:p>
    <w:p>
      <w:pPr>
        <w:pStyle w:val="15"/>
        <w:snapToGrid w:val="0"/>
        <w:spacing w:line="600" w:lineRule="exact"/>
        <w:ind w:firstLine="640" w:firstLineChars="200"/>
        <w:outlineLvl w:val="0"/>
        <w:rPr>
          <w:rFonts w:eastAsia="黑体"/>
          <w:sz w:val="32"/>
        </w:rPr>
      </w:pPr>
      <w:r>
        <w:rPr>
          <w:rFonts w:hint="eastAsia" w:eastAsia="黑体"/>
          <w:sz w:val="32"/>
        </w:rPr>
        <w:t>三</w:t>
      </w:r>
      <w:r>
        <w:rPr>
          <w:rFonts w:eastAsia="黑体"/>
          <w:sz w:val="32"/>
        </w:rPr>
        <w:t>、</w:t>
      </w:r>
      <w:r>
        <w:rPr>
          <w:rFonts w:hint="eastAsia" w:eastAsia="黑体"/>
          <w:sz w:val="32"/>
        </w:rPr>
        <w:t>标定地价编制的依据</w:t>
      </w:r>
    </w:p>
    <w:p>
      <w:pPr>
        <w:pStyle w:val="15"/>
        <w:snapToGrid w:val="0"/>
        <w:spacing w:line="600" w:lineRule="exact"/>
        <w:ind w:firstLine="640" w:firstLineChars="200"/>
        <w:rPr>
          <w:rFonts w:eastAsia="仿宋_GB2312"/>
          <w:sz w:val="32"/>
        </w:rPr>
      </w:pPr>
      <w:r>
        <w:rPr>
          <w:rFonts w:hint="eastAsia" w:eastAsia="仿宋_GB2312"/>
          <w:sz w:val="32"/>
        </w:rPr>
        <w:t>1</w:t>
      </w:r>
      <w:r>
        <w:rPr>
          <w:rFonts w:hint="eastAsia" w:eastAsia="仿宋_GB2312"/>
          <w:sz w:val="32"/>
          <w:lang w:val="en-US" w:eastAsia="zh-CN"/>
        </w:rPr>
        <w:t>.</w:t>
      </w:r>
      <w:r>
        <w:rPr>
          <w:rFonts w:hint="eastAsia" w:eastAsia="仿宋_GB2312"/>
          <w:sz w:val="32"/>
        </w:rPr>
        <w:t>《中华人民共和国土地管理法》（2019年8月26日第十三届全国人民代表大会常务委员会第十二次会议修订，自2020年1月1日起施行）；</w:t>
      </w:r>
    </w:p>
    <w:p>
      <w:pPr>
        <w:pStyle w:val="15"/>
        <w:snapToGrid w:val="0"/>
        <w:spacing w:line="600" w:lineRule="exact"/>
        <w:ind w:firstLine="640" w:firstLineChars="200"/>
        <w:rPr>
          <w:rFonts w:eastAsia="仿宋_GB2312"/>
          <w:sz w:val="32"/>
        </w:rPr>
      </w:pPr>
      <w:r>
        <w:rPr>
          <w:rFonts w:hint="eastAsia" w:eastAsia="仿宋_GB2312"/>
          <w:sz w:val="32"/>
        </w:rPr>
        <w:t>2</w:t>
      </w:r>
      <w:r>
        <w:rPr>
          <w:rFonts w:hint="eastAsia" w:eastAsia="仿宋_GB2312"/>
          <w:sz w:val="32"/>
          <w:lang w:val="en-US" w:eastAsia="zh-CN"/>
        </w:rPr>
        <w:t>.</w:t>
      </w:r>
      <w:r>
        <w:rPr>
          <w:rFonts w:hint="eastAsia" w:eastAsia="仿宋_GB2312"/>
          <w:sz w:val="32"/>
        </w:rPr>
        <w:t>《中华人民共和国城市房地产管理法》（2019年8月26日第十三届全国人民代表大会常务委员会第十二次会议修订，自2020年1月1日起施行）；</w:t>
      </w:r>
    </w:p>
    <w:p>
      <w:pPr>
        <w:pStyle w:val="15"/>
        <w:snapToGrid w:val="0"/>
        <w:spacing w:line="600" w:lineRule="exact"/>
        <w:ind w:firstLine="640" w:firstLineChars="200"/>
        <w:rPr>
          <w:rFonts w:eastAsia="仿宋_GB2312"/>
          <w:sz w:val="32"/>
        </w:rPr>
      </w:pPr>
      <w:r>
        <w:rPr>
          <w:rFonts w:hint="eastAsia" w:eastAsia="仿宋_GB2312"/>
          <w:sz w:val="32"/>
        </w:rPr>
        <w:t>3</w:t>
      </w:r>
      <w:r>
        <w:rPr>
          <w:rFonts w:hint="eastAsia" w:eastAsia="仿宋_GB2312"/>
          <w:sz w:val="32"/>
          <w:lang w:val="en-US" w:eastAsia="zh-CN"/>
        </w:rPr>
        <w:t>.</w:t>
      </w:r>
      <w:r>
        <w:rPr>
          <w:rFonts w:hint="eastAsia" w:eastAsia="仿宋_GB2312"/>
          <w:sz w:val="32"/>
        </w:rPr>
        <w:t>《广东省自然资源厅转发自然资源部办公厅关于做好2022年度自然资源评价评估有关工作的通知》（粤自然资利用〔2022〕1274 号）；</w:t>
      </w:r>
    </w:p>
    <w:p>
      <w:pPr>
        <w:pStyle w:val="15"/>
        <w:snapToGrid w:val="0"/>
        <w:spacing w:line="600" w:lineRule="exact"/>
        <w:ind w:firstLine="640" w:firstLineChars="200"/>
        <w:rPr>
          <w:rFonts w:eastAsia="仿宋_GB2312"/>
          <w:sz w:val="32"/>
        </w:rPr>
      </w:pPr>
      <w:r>
        <w:rPr>
          <w:rFonts w:hint="eastAsia" w:eastAsia="仿宋_GB2312"/>
          <w:sz w:val="32"/>
        </w:rPr>
        <w:t>4</w:t>
      </w:r>
      <w:r>
        <w:rPr>
          <w:rFonts w:hint="eastAsia" w:eastAsia="仿宋_GB2312"/>
          <w:sz w:val="32"/>
          <w:lang w:val="en-US" w:eastAsia="zh-CN"/>
        </w:rPr>
        <w:t>.</w:t>
      </w:r>
      <w:r>
        <w:rPr>
          <w:rFonts w:hint="eastAsia" w:eastAsia="仿宋_GB2312"/>
          <w:sz w:val="32"/>
        </w:rPr>
        <w:t>《广东省人民政府关于印发广东省土地要素市场化配置改革行动方案的通知》（粤府函〔2022〕301 号）；</w:t>
      </w:r>
    </w:p>
    <w:p>
      <w:pPr>
        <w:pStyle w:val="15"/>
        <w:snapToGrid w:val="0"/>
        <w:spacing w:line="600" w:lineRule="exact"/>
        <w:ind w:firstLine="640" w:firstLineChars="200"/>
        <w:rPr>
          <w:rFonts w:eastAsia="仿宋_GB2312"/>
          <w:sz w:val="32"/>
        </w:rPr>
      </w:pPr>
      <w:r>
        <w:rPr>
          <w:rFonts w:hint="eastAsia" w:eastAsia="仿宋_GB2312"/>
          <w:sz w:val="32"/>
        </w:rPr>
        <w:t>5</w:t>
      </w:r>
      <w:r>
        <w:rPr>
          <w:rFonts w:hint="eastAsia" w:eastAsia="仿宋_GB2312"/>
          <w:sz w:val="32"/>
          <w:lang w:val="en-US" w:eastAsia="zh-CN"/>
        </w:rPr>
        <w:t>.</w:t>
      </w:r>
      <w:r>
        <w:rPr>
          <w:rFonts w:hint="eastAsia" w:eastAsia="仿宋_GB2312"/>
          <w:sz w:val="32"/>
        </w:rPr>
        <w:t>《标定地价规程》（TD/T 1052-2017）；</w:t>
      </w:r>
    </w:p>
    <w:p>
      <w:pPr>
        <w:pStyle w:val="15"/>
        <w:snapToGrid w:val="0"/>
        <w:spacing w:line="600" w:lineRule="exact"/>
        <w:ind w:firstLine="640" w:firstLineChars="200"/>
        <w:rPr>
          <w:rFonts w:eastAsia="仿宋_GB2312"/>
          <w:sz w:val="32"/>
        </w:rPr>
      </w:pPr>
      <w:r>
        <w:rPr>
          <w:rFonts w:hint="eastAsia" w:eastAsia="仿宋_GB2312"/>
          <w:sz w:val="32"/>
        </w:rPr>
        <w:t>6</w:t>
      </w:r>
      <w:r>
        <w:rPr>
          <w:rFonts w:hint="eastAsia" w:eastAsia="仿宋_GB2312"/>
          <w:sz w:val="32"/>
          <w:lang w:val="en-US" w:eastAsia="zh-CN"/>
        </w:rPr>
        <w:t>.</w:t>
      </w:r>
      <w:r>
        <w:rPr>
          <w:rFonts w:hint="eastAsia" w:eastAsia="仿宋_GB2312"/>
          <w:sz w:val="32"/>
        </w:rPr>
        <w:t>《土地利用现状分类》（GB/T 21010-2017）；</w:t>
      </w:r>
    </w:p>
    <w:p>
      <w:pPr>
        <w:pStyle w:val="15"/>
        <w:snapToGrid w:val="0"/>
        <w:spacing w:line="600" w:lineRule="exact"/>
        <w:ind w:firstLine="640" w:firstLineChars="200"/>
        <w:rPr>
          <w:rFonts w:eastAsia="仿宋_GB2312"/>
          <w:sz w:val="32"/>
        </w:rPr>
      </w:pPr>
      <w:r>
        <w:rPr>
          <w:rFonts w:hint="eastAsia" w:eastAsia="仿宋_GB2312"/>
          <w:sz w:val="32"/>
        </w:rPr>
        <w:t>7</w:t>
      </w:r>
      <w:r>
        <w:rPr>
          <w:rFonts w:hint="eastAsia" w:eastAsia="仿宋_GB2312"/>
          <w:sz w:val="32"/>
          <w:lang w:val="en-US" w:eastAsia="zh-CN"/>
        </w:rPr>
        <w:t>.</w:t>
      </w:r>
      <w:r>
        <w:rPr>
          <w:rFonts w:hint="eastAsia" w:eastAsia="仿宋_GB2312"/>
          <w:sz w:val="32"/>
        </w:rPr>
        <w:t>《国土空间调查、规划、用途管制用地用海分类指南（试行）》（自然资办发〔2020〕51号）；</w:t>
      </w:r>
    </w:p>
    <w:p>
      <w:pPr>
        <w:pStyle w:val="15"/>
        <w:snapToGrid w:val="0"/>
        <w:spacing w:line="600" w:lineRule="exact"/>
        <w:ind w:firstLine="640" w:firstLineChars="200"/>
        <w:rPr>
          <w:rFonts w:eastAsia="仿宋_GB2312"/>
          <w:sz w:val="32"/>
        </w:rPr>
      </w:pPr>
      <w:r>
        <w:rPr>
          <w:rFonts w:hint="eastAsia" w:eastAsia="仿宋_GB2312"/>
          <w:sz w:val="32"/>
        </w:rPr>
        <w:t>8</w:t>
      </w:r>
      <w:r>
        <w:rPr>
          <w:rFonts w:hint="eastAsia" w:eastAsia="仿宋_GB2312"/>
          <w:sz w:val="32"/>
          <w:lang w:val="en-US" w:eastAsia="zh-CN"/>
        </w:rPr>
        <w:t>.</w:t>
      </w:r>
      <w:r>
        <w:rPr>
          <w:rFonts w:hint="eastAsia" w:eastAsia="仿宋_GB2312"/>
          <w:sz w:val="32"/>
        </w:rPr>
        <w:t>《自然资源分等定级通则》（TD/T 1060-2021）；</w:t>
      </w:r>
    </w:p>
    <w:p>
      <w:pPr>
        <w:pStyle w:val="15"/>
        <w:snapToGrid w:val="0"/>
        <w:spacing w:line="600" w:lineRule="exact"/>
        <w:ind w:firstLine="640" w:firstLineChars="200"/>
        <w:rPr>
          <w:rFonts w:eastAsia="仿宋_GB2312"/>
          <w:sz w:val="32"/>
        </w:rPr>
      </w:pPr>
      <w:r>
        <w:rPr>
          <w:rFonts w:hint="eastAsia" w:eastAsia="仿宋_GB2312"/>
          <w:sz w:val="32"/>
        </w:rPr>
        <w:t>9</w:t>
      </w:r>
      <w:r>
        <w:rPr>
          <w:rFonts w:hint="eastAsia" w:eastAsia="仿宋_GB2312"/>
          <w:sz w:val="32"/>
          <w:lang w:val="en-US" w:eastAsia="zh-CN"/>
        </w:rPr>
        <w:t>.</w:t>
      </w:r>
      <w:r>
        <w:rPr>
          <w:rFonts w:hint="eastAsia" w:eastAsia="仿宋_GB2312"/>
          <w:sz w:val="32"/>
        </w:rPr>
        <w:t>《自然资源价格评估通则》（TD/T 1061-2021）；</w:t>
      </w:r>
    </w:p>
    <w:p>
      <w:pPr>
        <w:pStyle w:val="15"/>
        <w:snapToGrid w:val="0"/>
        <w:spacing w:line="600" w:lineRule="exact"/>
        <w:ind w:firstLine="640" w:firstLineChars="200"/>
        <w:rPr>
          <w:rFonts w:eastAsia="仿宋_GB2312"/>
          <w:sz w:val="32"/>
        </w:rPr>
      </w:pPr>
      <w:r>
        <w:rPr>
          <w:rFonts w:hint="eastAsia" w:eastAsia="仿宋_GB2312"/>
          <w:sz w:val="32"/>
        </w:rPr>
        <w:t>10</w:t>
      </w:r>
      <w:r>
        <w:rPr>
          <w:rFonts w:hint="eastAsia" w:eastAsia="仿宋_GB2312"/>
          <w:sz w:val="32"/>
          <w:lang w:val="en-US" w:eastAsia="zh-CN"/>
        </w:rPr>
        <w:t>.</w:t>
      </w:r>
      <w:r>
        <w:rPr>
          <w:rFonts w:hint="eastAsia" w:eastAsia="仿宋_GB2312"/>
          <w:sz w:val="32"/>
        </w:rPr>
        <w:t>城市发展规划、房地产市场状况。</w:t>
      </w:r>
    </w:p>
    <w:p>
      <w:pPr>
        <w:pStyle w:val="15"/>
        <w:keepNext/>
        <w:widowControl/>
        <w:snapToGrid w:val="0"/>
        <w:spacing w:line="600" w:lineRule="exact"/>
        <w:ind w:firstLine="640" w:firstLineChars="200"/>
        <w:outlineLvl w:val="0"/>
        <w:rPr>
          <w:rFonts w:eastAsia="黑体"/>
          <w:sz w:val="32"/>
        </w:rPr>
      </w:pPr>
      <w:r>
        <w:rPr>
          <w:rFonts w:hint="eastAsia" w:eastAsia="黑体"/>
          <w:sz w:val="32"/>
        </w:rPr>
        <w:t>四</w:t>
      </w:r>
      <w:r>
        <w:rPr>
          <w:rFonts w:eastAsia="黑体"/>
          <w:sz w:val="32"/>
        </w:rPr>
        <w:t>、</w:t>
      </w:r>
      <w:r>
        <w:rPr>
          <w:rFonts w:hint="eastAsia" w:eastAsia="黑体"/>
          <w:sz w:val="32"/>
        </w:rPr>
        <w:t>标定地价编制过程</w:t>
      </w:r>
    </w:p>
    <w:p>
      <w:pPr>
        <w:pStyle w:val="15"/>
        <w:keepNext/>
        <w:widowControl/>
        <w:snapToGrid w:val="0"/>
        <w:spacing w:line="600" w:lineRule="exact"/>
        <w:ind w:firstLine="640" w:firstLineChars="200"/>
        <w:rPr>
          <w:rFonts w:eastAsia="仿宋_GB2312"/>
          <w:sz w:val="32"/>
        </w:rPr>
      </w:pPr>
      <w:r>
        <w:rPr>
          <w:rFonts w:hint="eastAsia" w:eastAsia="仿宋_GB2312"/>
          <w:sz w:val="32"/>
        </w:rPr>
        <w:t>1</w:t>
      </w:r>
      <w:r>
        <w:rPr>
          <w:rFonts w:hint="eastAsia" w:eastAsia="仿宋_GB2312"/>
          <w:sz w:val="32"/>
          <w:lang w:val="en-US" w:eastAsia="zh-CN"/>
        </w:rPr>
        <w:t>.</w:t>
      </w:r>
      <w:r>
        <w:rPr>
          <w:rFonts w:hint="eastAsia" w:eastAsia="仿宋_GB2312"/>
          <w:sz w:val="32"/>
        </w:rPr>
        <w:t>前期工作准备；</w:t>
      </w:r>
    </w:p>
    <w:p>
      <w:pPr>
        <w:pStyle w:val="15"/>
        <w:snapToGrid w:val="0"/>
        <w:spacing w:line="600" w:lineRule="exact"/>
        <w:ind w:firstLine="640" w:firstLineChars="200"/>
        <w:rPr>
          <w:rFonts w:eastAsia="仿宋_GB2312"/>
          <w:sz w:val="32"/>
        </w:rPr>
      </w:pPr>
      <w:r>
        <w:rPr>
          <w:rFonts w:hint="eastAsia" w:eastAsia="仿宋_GB2312"/>
          <w:sz w:val="32"/>
        </w:rPr>
        <w:t>2</w:t>
      </w:r>
      <w:r>
        <w:rPr>
          <w:rFonts w:hint="eastAsia" w:eastAsia="仿宋_GB2312"/>
          <w:sz w:val="32"/>
          <w:lang w:val="en-US" w:eastAsia="zh-CN"/>
        </w:rPr>
        <w:t>.</w:t>
      </w:r>
      <w:r>
        <w:rPr>
          <w:rFonts w:hint="eastAsia" w:eastAsia="仿宋_GB2312"/>
          <w:sz w:val="32"/>
        </w:rPr>
        <w:t>资料收集、整理；</w:t>
      </w:r>
    </w:p>
    <w:p>
      <w:pPr>
        <w:pStyle w:val="15"/>
        <w:snapToGrid w:val="0"/>
        <w:spacing w:line="600" w:lineRule="exact"/>
        <w:ind w:firstLine="640" w:firstLineChars="200"/>
        <w:rPr>
          <w:rFonts w:eastAsia="仿宋_GB2312"/>
          <w:sz w:val="32"/>
        </w:rPr>
      </w:pPr>
      <w:r>
        <w:rPr>
          <w:rFonts w:hint="eastAsia" w:eastAsia="仿宋_GB2312"/>
          <w:sz w:val="32"/>
        </w:rPr>
        <w:t>3</w:t>
      </w:r>
      <w:r>
        <w:rPr>
          <w:rFonts w:hint="eastAsia" w:eastAsia="仿宋_GB2312"/>
          <w:sz w:val="32"/>
          <w:lang w:val="en-US" w:eastAsia="zh-CN"/>
        </w:rPr>
        <w:t>.</w:t>
      </w:r>
      <w:r>
        <w:rPr>
          <w:rFonts w:hint="eastAsia" w:eastAsia="仿宋_GB2312"/>
          <w:sz w:val="32"/>
        </w:rPr>
        <w:t>外业调查；</w:t>
      </w:r>
    </w:p>
    <w:p>
      <w:pPr>
        <w:pStyle w:val="15"/>
        <w:snapToGrid w:val="0"/>
        <w:spacing w:line="600" w:lineRule="exact"/>
        <w:ind w:firstLine="640" w:firstLineChars="200"/>
        <w:rPr>
          <w:rFonts w:eastAsia="仿宋_GB2312"/>
          <w:sz w:val="32"/>
        </w:rPr>
      </w:pPr>
      <w:r>
        <w:rPr>
          <w:rFonts w:hint="eastAsia" w:eastAsia="仿宋_GB2312"/>
          <w:sz w:val="32"/>
        </w:rPr>
        <w:t>4</w:t>
      </w:r>
      <w:r>
        <w:rPr>
          <w:rFonts w:hint="eastAsia" w:eastAsia="仿宋_GB2312"/>
          <w:sz w:val="32"/>
          <w:lang w:val="en-US" w:eastAsia="zh-CN"/>
        </w:rPr>
        <w:t>.</w:t>
      </w:r>
      <w:r>
        <w:rPr>
          <w:rFonts w:hint="eastAsia" w:eastAsia="仿宋_GB2312"/>
          <w:sz w:val="32"/>
        </w:rPr>
        <w:t>内业调整、评估；</w:t>
      </w:r>
    </w:p>
    <w:p>
      <w:pPr>
        <w:pStyle w:val="15"/>
        <w:snapToGrid w:val="0"/>
        <w:spacing w:line="600" w:lineRule="exact"/>
        <w:ind w:firstLine="640" w:firstLineChars="200"/>
        <w:rPr>
          <w:rFonts w:eastAsia="仿宋_GB2312"/>
          <w:sz w:val="32"/>
        </w:rPr>
      </w:pPr>
      <w:r>
        <w:rPr>
          <w:rFonts w:hint="eastAsia" w:eastAsia="仿宋_GB2312"/>
          <w:sz w:val="32"/>
        </w:rPr>
        <w:t>5</w:t>
      </w:r>
      <w:r>
        <w:rPr>
          <w:rFonts w:hint="eastAsia" w:eastAsia="仿宋_GB2312"/>
          <w:sz w:val="32"/>
          <w:lang w:val="en-US" w:eastAsia="zh-CN"/>
        </w:rPr>
        <w:t>.</w:t>
      </w:r>
      <w:r>
        <w:rPr>
          <w:rFonts w:hint="eastAsia" w:eastAsia="仿宋_GB2312"/>
          <w:sz w:val="32"/>
        </w:rPr>
        <w:t>修正体系编制；</w:t>
      </w:r>
    </w:p>
    <w:p>
      <w:pPr>
        <w:pStyle w:val="15"/>
        <w:snapToGrid w:val="0"/>
        <w:spacing w:line="600" w:lineRule="exact"/>
        <w:ind w:firstLine="640" w:firstLineChars="200"/>
        <w:rPr>
          <w:rFonts w:eastAsia="仿宋_GB2312"/>
          <w:sz w:val="32"/>
        </w:rPr>
      </w:pPr>
      <w:r>
        <w:rPr>
          <w:rFonts w:hint="eastAsia" w:eastAsia="仿宋_GB2312"/>
          <w:sz w:val="32"/>
        </w:rPr>
        <w:t>6</w:t>
      </w:r>
      <w:r>
        <w:rPr>
          <w:rFonts w:hint="eastAsia" w:eastAsia="仿宋_GB2312"/>
          <w:sz w:val="32"/>
          <w:lang w:val="en-US" w:eastAsia="zh-CN"/>
        </w:rPr>
        <w:t>.</w:t>
      </w:r>
      <w:r>
        <w:rPr>
          <w:rFonts w:hint="eastAsia" w:eastAsia="仿宋_GB2312"/>
          <w:sz w:val="32"/>
        </w:rPr>
        <w:t>初步成果提交、审议；</w:t>
      </w:r>
    </w:p>
    <w:p>
      <w:pPr>
        <w:pStyle w:val="15"/>
        <w:snapToGrid w:val="0"/>
        <w:spacing w:line="600" w:lineRule="exact"/>
        <w:ind w:firstLine="640" w:firstLineChars="200"/>
        <w:rPr>
          <w:rFonts w:eastAsia="仿宋_GB2312"/>
          <w:sz w:val="32"/>
        </w:rPr>
      </w:pPr>
      <w:r>
        <w:rPr>
          <w:rFonts w:hint="eastAsia" w:eastAsia="仿宋_GB2312"/>
          <w:sz w:val="32"/>
        </w:rPr>
        <w:t>7</w:t>
      </w:r>
      <w:r>
        <w:rPr>
          <w:rFonts w:hint="eastAsia" w:eastAsia="仿宋_GB2312"/>
          <w:sz w:val="32"/>
          <w:lang w:val="en-US" w:eastAsia="zh-CN"/>
        </w:rPr>
        <w:t>.</w:t>
      </w:r>
      <w:r>
        <w:rPr>
          <w:rFonts w:hint="eastAsia" w:eastAsia="仿宋_GB2312"/>
          <w:sz w:val="32"/>
        </w:rPr>
        <w:t>意见征询；</w:t>
      </w:r>
    </w:p>
    <w:p>
      <w:pPr>
        <w:pStyle w:val="15"/>
        <w:snapToGrid w:val="0"/>
        <w:spacing w:line="600" w:lineRule="exact"/>
        <w:ind w:firstLine="640" w:firstLineChars="200"/>
        <w:rPr>
          <w:rFonts w:eastAsia="仿宋_GB2312"/>
          <w:sz w:val="32"/>
        </w:rPr>
      </w:pPr>
      <w:r>
        <w:rPr>
          <w:rFonts w:hint="eastAsia" w:eastAsia="仿宋_GB2312"/>
          <w:sz w:val="32"/>
        </w:rPr>
        <w:t>8</w:t>
      </w:r>
      <w:r>
        <w:rPr>
          <w:rFonts w:hint="eastAsia" w:eastAsia="仿宋_GB2312"/>
          <w:sz w:val="32"/>
          <w:lang w:val="en-US" w:eastAsia="zh-CN"/>
        </w:rPr>
        <w:t>.</w:t>
      </w:r>
      <w:r>
        <w:rPr>
          <w:rFonts w:hint="eastAsia" w:eastAsia="仿宋_GB2312"/>
          <w:sz w:val="32"/>
        </w:rPr>
        <w:t>公开听证；</w:t>
      </w:r>
    </w:p>
    <w:p>
      <w:pPr>
        <w:pStyle w:val="15"/>
        <w:snapToGrid w:val="0"/>
        <w:spacing w:line="600" w:lineRule="exact"/>
        <w:ind w:firstLine="640" w:firstLineChars="200"/>
        <w:rPr>
          <w:rFonts w:eastAsia="仿宋_GB2312"/>
          <w:sz w:val="32"/>
        </w:rPr>
      </w:pPr>
      <w:r>
        <w:rPr>
          <w:rFonts w:hint="eastAsia" w:eastAsia="仿宋_GB2312"/>
          <w:sz w:val="32"/>
        </w:rPr>
        <w:t>9</w:t>
      </w:r>
      <w:r>
        <w:rPr>
          <w:rFonts w:hint="eastAsia" w:eastAsia="仿宋_GB2312"/>
          <w:sz w:val="32"/>
          <w:lang w:val="en-US" w:eastAsia="zh-CN"/>
        </w:rPr>
        <w:t>.</w:t>
      </w:r>
      <w:r>
        <w:rPr>
          <w:rFonts w:hint="eastAsia" w:eastAsia="仿宋_GB2312"/>
          <w:sz w:val="32"/>
        </w:rPr>
        <w:t>专家评审验收；</w:t>
      </w:r>
    </w:p>
    <w:p>
      <w:pPr>
        <w:pStyle w:val="15"/>
        <w:snapToGrid w:val="0"/>
        <w:spacing w:line="600" w:lineRule="exact"/>
        <w:ind w:firstLine="640" w:firstLineChars="200"/>
        <w:rPr>
          <w:rFonts w:eastAsia="仿宋_GB2312"/>
          <w:sz w:val="32"/>
        </w:rPr>
      </w:pPr>
      <w:r>
        <w:rPr>
          <w:rFonts w:hint="eastAsia" w:eastAsia="仿宋_GB2312"/>
          <w:sz w:val="32"/>
        </w:rPr>
        <w:t>10</w:t>
      </w:r>
      <w:r>
        <w:rPr>
          <w:rFonts w:hint="eastAsia" w:eastAsia="仿宋_GB2312"/>
          <w:sz w:val="32"/>
          <w:lang w:val="en-US" w:eastAsia="zh-CN"/>
        </w:rPr>
        <w:t>.</w:t>
      </w:r>
      <w:r>
        <w:rPr>
          <w:rFonts w:hint="eastAsia" w:eastAsia="仿宋_GB2312"/>
          <w:sz w:val="32"/>
        </w:rPr>
        <w:t>上报市政府审批；</w:t>
      </w:r>
    </w:p>
    <w:p>
      <w:pPr>
        <w:pStyle w:val="15"/>
        <w:snapToGrid w:val="0"/>
        <w:spacing w:line="600" w:lineRule="exact"/>
        <w:ind w:firstLine="640" w:firstLineChars="200"/>
        <w:rPr>
          <w:rFonts w:eastAsia="仿宋_GB2312"/>
          <w:sz w:val="32"/>
        </w:rPr>
      </w:pPr>
      <w:r>
        <w:rPr>
          <w:rFonts w:hint="eastAsia" w:eastAsia="仿宋_GB2312"/>
          <w:sz w:val="32"/>
        </w:rPr>
        <w:t>11</w:t>
      </w:r>
      <w:r>
        <w:rPr>
          <w:rFonts w:hint="eastAsia" w:eastAsia="仿宋_GB2312"/>
          <w:sz w:val="32"/>
          <w:lang w:val="en-US" w:eastAsia="zh-CN"/>
        </w:rPr>
        <w:t>.</w:t>
      </w:r>
      <w:r>
        <w:rPr>
          <w:rFonts w:hint="eastAsia" w:eastAsia="仿宋_GB2312"/>
          <w:sz w:val="32"/>
        </w:rPr>
        <w:t>公布实施。</w:t>
      </w:r>
    </w:p>
    <w:p>
      <w:pPr>
        <w:pStyle w:val="15"/>
        <w:snapToGrid w:val="0"/>
        <w:spacing w:line="600" w:lineRule="exact"/>
        <w:ind w:firstLine="640" w:firstLineChars="200"/>
        <w:outlineLvl w:val="0"/>
        <w:rPr>
          <w:rFonts w:eastAsia="黑体"/>
          <w:sz w:val="32"/>
        </w:rPr>
      </w:pPr>
      <w:r>
        <w:rPr>
          <w:rFonts w:hint="eastAsia" w:eastAsia="黑体"/>
          <w:sz w:val="32"/>
        </w:rPr>
        <w:t>五</w:t>
      </w:r>
      <w:r>
        <w:rPr>
          <w:rFonts w:eastAsia="黑体"/>
          <w:sz w:val="32"/>
        </w:rPr>
        <w:t>、</w:t>
      </w:r>
      <w:r>
        <w:rPr>
          <w:rFonts w:hint="eastAsia" w:eastAsia="黑体"/>
          <w:sz w:val="32"/>
        </w:rPr>
        <w:t>标定地价更新的意义</w:t>
      </w:r>
    </w:p>
    <w:p>
      <w:pPr>
        <w:pStyle w:val="15"/>
        <w:snapToGrid w:val="0"/>
        <w:spacing w:line="600" w:lineRule="exact"/>
        <w:ind w:firstLine="640" w:firstLineChars="200"/>
        <w:rPr>
          <w:rFonts w:eastAsia="仿宋_GB2312"/>
          <w:sz w:val="32"/>
        </w:rPr>
      </w:pPr>
      <w:r>
        <w:rPr>
          <w:rFonts w:hint="eastAsia" w:eastAsia="仿宋_GB2312"/>
          <w:sz w:val="32"/>
        </w:rPr>
        <w:t>1</w:t>
      </w:r>
      <w:r>
        <w:rPr>
          <w:rFonts w:hint="eastAsia" w:eastAsia="仿宋_GB2312"/>
          <w:sz w:val="32"/>
          <w:lang w:val="en-US" w:eastAsia="zh-CN"/>
        </w:rPr>
        <w:t>.</w:t>
      </w:r>
      <w:r>
        <w:rPr>
          <w:rFonts w:hint="eastAsia" w:eastAsia="仿宋_GB2312"/>
          <w:sz w:val="32"/>
        </w:rPr>
        <w:t xml:space="preserve">进一步完善公示地价体系； </w:t>
      </w:r>
    </w:p>
    <w:p>
      <w:pPr>
        <w:pStyle w:val="15"/>
        <w:snapToGrid w:val="0"/>
        <w:spacing w:line="600" w:lineRule="exact"/>
        <w:ind w:firstLine="640" w:firstLineChars="200"/>
        <w:rPr>
          <w:rFonts w:eastAsia="仿宋_GB2312"/>
          <w:sz w:val="32"/>
        </w:rPr>
      </w:pPr>
      <w:r>
        <w:rPr>
          <w:rFonts w:hint="eastAsia" w:eastAsia="仿宋_GB2312"/>
          <w:sz w:val="32"/>
        </w:rPr>
        <w:t>2</w:t>
      </w:r>
      <w:r>
        <w:rPr>
          <w:rFonts w:hint="eastAsia" w:eastAsia="仿宋_GB2312"/>
          <w:sz w:val="32"/>
          <w:lang w:val="en-US" w:eastAsia="zh-CN"/>
        </w:rPr>
        <w:t>.</w:t>
      </w:r>
      <w:r>
        <w:rPr>
          <w:rFonts w:hint="eastAsia" w:eastAsia="仿宋_GB2312"/>
          <w:sz w:val="32"/>
        </w:rPr>
        <w:t>进一步规范地产交易主体行为，引导地产市场有序地运行；</w:t>
      </w:r>
    </w:p>
    <w:p>
      <w:pPr>
        <w:pStyle w:val="15"/>
        <w:snapToGrid w:val="0"/>
        <w:spacing w:line="600" w:lineRule="exact"/>
        <w:ind w:firstLine="640" w:firstLineChars="200"/>
        <w:rPr>
          <w:rFonts w:eastAsia="仿宋_GB2312"/>
          <w:sz w:val="32"/>
        </w:rPr>
      </w:pPr>
      <w:r>
        <w:rPr>
          <w:rFonts w:hint="eastAsia" w:eastAsia="仿宋_GB2312"/>
          <w:sz w:val="32"/>
        </w:rPr>
        <w:t>3</w:t>
      </w:r>
      <w:r>
        <w:rPr>
          <w:rFonts w:hint="eastAsia" w:eastAsia="仿宋_GB2312"/>
          <w:sz w:val="32"/>
          <w:lang w:val="en-US" w:eastAsia="zh-CN"/>
        </w:rPr>
        <w:t>.</w:t>
      </w:r>
      <w:r>
        <w:rPr>
          <w:rFonts w:hint="eastAsia" w:eastAsia="仿宋_GB2312"/>
          <w:sz w:val="32"/>
        </w:rPr>
        <w:t>促进城镇土地合理配置，有助于建立公平、公开的地产市场；</w:t>
      </w:r>
    </w:p>
    <w:p>
      <w:pPr>
        <w:pStyle w:val="15"/>
        <w:snapToGrid w:val="0"/>
        <w:spacing w:line="600" w:lineRule="exact"/>
        <w:ind w:firstLine="640" w:firstLineChars="200"/>
        <w:rPr>
          <w:rFonts w:eastAsia="仿宋_GB2312"/>
          <w:sz w:val="32"/>
        </w:rPr>
      </w:pPr>
      <w:r>
        <w:rPr>
          <w:rFonts w:hint="eastAsia" w:eastAsia="仿宋_GB2312"/>
          <w:sz w:val="32"/>
        </w:rPr>
        <w:t>4</w:t>
      </w:r>
      <w:r>
        <w:rPr>
          <w:rFonts w:hint="eastAsia" w:eastAsia="仿宋_GB2312"/>
          <w:sz w:val="32"/>
          <w:lang w:val="en-US" w:eastAsia="zh-CN"/>
        </w:rPr>
        <w:t>.</w:t>
      </w:r>
      <w:r>
        <w:rPr>
          <w:rFonts w:hint="eastAsia" w:eastAsia="仿宋_GB2312"/>
          <w:sz w:val="32"/>
        </w:rPr>
        <w:t>有助于评估宗地地价；可应用于出让地评估、土地资产处置、土地资产抵押、税费确定依据等，为社会和企业认定估价结果提供参考。</w:t>
      </w:r>
    </w:p>
    <w:p>
      <w:pPr>
        <w:pStyle w:val="15"/>
        <w:keepNext/>
        <w:widowControl/>
        <w:snapToGrid w:val="0"/>
        <w:spacing w:line="600" w:lineRule="exact"/>
        <w:ind w:firstLine="640" w:firstLineChars="200"/>
        <w:outlineLvl w:val="0"/>
        <w:rPr>
          <w:rFonts w:eastAsia="黑体"/>
          <w:sz w:val="32"/>
        </w:rPr>
      </w:pPr>
      <w:r>
        <w:rPr>
          <w:rFonts w:hint="eastAsia" w:eastAsia="黑体"/>
          <w:sz w:val="32"/>
        </w:rPr>
        <w:t>六</w:t>
      </w:r>
      <w:r>
        <w:rPr>
          <w:rFonts w:eastAsia="黑体"/>
          <w:sz w:val="32"/>
        </w:rPr>
        <w:t>、</w:t>
      </w:r>
      <w:r>
        <w:rPr>
          <w:rFonts w:hint="eastAsia" w:eastAsia="黑体"/>
          <w:sz w:val="32"/>
        </w:rPr>
        <w:t>标定地价更新重要调整内容</w:t>
      </w:r>
    </w:p>
    <w:p>
      <w:pPr>
        <w:pStyle w:val="15"/>
        <w:snapToGrid w:val="0"/>
        <w:spacing w:line="600" w:lineRule="exact"/>
        <w:ind w:firstLine="640" w:firstLineChars="200"/>
        <w:rPr>
          <w:rFonts w:eastAsia="仿宋_GB2312"/>
          <w:sz w:val="32"/>
        </w:rPr>
      </w:pPr>
      <w:r>
        <w:rPr>
          <w:rFonts w:hint="eastAsia" w:eastAsia="仿宋_GB2312"/>
          <w:sz w:val="32"/>
        </w:rPr>
        <w:t>1</w:t>
      </w:r>
      <w:r>
        <w:rPr>
          <w:rFonts w:hint="eastAsia" w:eastAsia="仿宋_GB2312"/>
          <w:sz w:val="32"/>
          <w:lang w:val="en-US" w:eastAsia="zh-CN"/>
        </w:rPr>
        <w:t>.</w:t>
      </w:r>
      <w:r>
        <w:rPr>
          <w:rFonts w:hint="eastAsia" w:eastAsia="仿宋_GB2312"/>
          <w:sz w:val="32"/>
        </w:rPr>
        <w:t>更新估价期日，由2022年1月1日调整为2023年1月1日；</w:t>
      </w:r>
    </w:p>
    <w:p>
      <w:pPr>
        <w:pStyle w:val="15"/>
        <w:snapToGrid w:val="0"/>
        <w:spacing w:line="600" w:lineRule="exact"/>
        <w:ind w:firstLine="640" w:firstLineChars="200"/>
        <w:rPr>
          <w:rFonts w:eastAsia="仿宋_GB2312"/>
          <w:sz w:val="32"/>
        </w:rPr>
      </w:pPr>
      <w:r>
        <w:rPr>
          <w:rFonts w:hint="eastAsia" w:eastAsia="仿宋_GB2312"/>
          <w:sz w:val="32"/>
        </w:rPr>
        <w:t>2</w:t>
      </w:r>
      <w:r>
        <w:rPr>
          <w:rFonts w:hint="eastAsia" w:eastAsia="仿宋_GB2312"/>
          <w:sz w:val="32"/>
          <w:lang w:val="en-US" w:eastAsia="zh-CN"/>
        </w:rPr>
        <w:t>.</w:t>
      </w:r>
      <w:r>
        <w:rPr>
          <w:rFonts w:hint="eastAsia" w:eastAsia="仿宋_GB2312"/>
          <w:sz w:val="32"/>
        </w:rPr>
        <w:t>调整公示范围面积、标定区域、标准宗地。</w:t>
      </w:r>
    </w:p>
    <w:p>
      <w:pPr>
        <w:pStyle w:val="15"/>
        <w:snapToGrid w:val="0"/>
        <w:spacing w:line="600" w:lineRule="exact"/>
        <w:ind w:firstLine="640" w:firstLineChars="200"/>
        <w:rPr>
          <w:rFonts w:eastAsia="仿宋_GB2312"/>
          <w:sz w:val="32"/>
        </w:rPr>
      </w:pPr>
      <w:r>
        <w:rPr>
          <w:rFonts w:hint="eastAsia" w:eastAsia="仿宋_GB2312"/>
          <w:sz w:val="32"/>
        </w:rPr>
        <w:t>（1）公示范围调整：本轮2023年度成果更新的公示范围面积为</w:t>
      </w:r>
      <w:r>
        <w:rPr>
          <w:rFonts w:eastAsia="仿宋_GB2312"/>
          <w:sz w:val="32"/>
        </w:rPr>
        <w:t>42.83</w:t>
      </w:r>
      <w:r>
        <w:rPr>
          <w:rFonts w:hint="eastAsia" w:eastAsia="仿宋_GB2312"/>
          <w:sz w:val="32"/>
        </w:rPr>
        <w:t>平方千米，约占云城区城镇国有建设用地</w:t>
      </w:r>
      <w:r>
        <w:rPr>
          <w:rFonts w:eastAsia="仿宋_GB2312"/>
          <w:sz w:val="32"/>
        </w:rPr>
        <w:t>87.89%</w:t>
      </w:r>
      <w:r>
        <w:rPr>
          <w:rFonts w:hint="eastAsia" w:eastAsia="仿宋_GB2312"/>
          <w:sz w:val="32"/>
        </w:rPr>
        <w:t>，与2022年标定地价项目公示范围（135个标定区域，面积</w:t>
      </w:r>
      <w:r>
        <w:rPr>
          <w:rFonts w:eastAsia="仿宋_GB2312"/>
          <w:sz w:val="32"/>
        </w:rPr>
        <w:t>35.63</w:t>
      </w:r>
      <w:r>
        <w:rPr>
          <w:rFonts w:hint="eastAsia" w:eastAsia="仿宋_GB2312"/>
          <w:sz w:val="32"/>
        </w:rPr>
        <w:t>平方千米，约占云城区城镇国有建设用地</w:t>
      </w:r>
      <w:r>
        <w:rPr>
          <w:rFonts w:eastAsia="仿宋_GB2312"/>
          <w:sz w:val="32"/>
        </w:rPr>
        <w:t>73.12%</w:t>
      </w:r>
      <w:r>
        <w:rPr>
          <w:rFonts w:hint="eastAsia" w:eastAsia="仿宋_GB2312"/>
          <w:sz w:val="32"/>
        </w:rPr>
        <w:t>）相比，公示范围面积</w:t>
      </w:r>
      <w:r>
        <w:rPr>
          <w:rFonts w:eastAsia="仿宋_GB2312"/>
          <w:sz w:val="32"/>
        </w:rPr>
        <w:t>增加了7.20</w:t>
      </w:r>
      <w:r>
        <w:rPr>
          <w:rFonts w:hint="eastAsia" w:eastAsia="仿宋_GB2312"/>
          <w:sz w:val="32"/>
        </w:rPr>
        <w:t>平方千米，占云城区城镇国有建设用地比例提高了14.77</w:t>
      </w:r>
      <w:r>
        <w:rPr>
          <w:rFonts w:eastAsia="仿宋_GB2312"/>
          <w:sz w:val="32"/>
        </w:rPr>
        <w:t>%</w:t>
      </w:r>
      <w:r>
        <w:rPr>
          <w:rFonts w:hint="eastAsia" w:eastAsia="仿宋_GB2312"/>
          <w:sz w:val="32"/>
        </w:rPr>
        <w:t>；</w:t>
      </w:r>
    </w:p>
    <w:p>
      <w:pPr>
        <w:pStyle w:val="15"/>
        <w:snapToGrid w:val="0"/>
        <w:spacing w:line="600" w:lineRule="exact"/>
        <w:ind w:firstLine="640" w:firstLineChars="200"/>
        <w:rPr>
          <w:rFonts w:eastAsia="仿宋_GB2312"/>
          <w:sz w:val="32"/>
        </w:rPr>
      </w:pPr>
      <w:r>
        <w:rPr>
          <w:rFonts w:hint="eastAsia" w:eastAsia="仿宋_GB2312"/>
          <w:sz w:val="32"/>
        </w:rPr>
        <w:t>（2）标定区域调整：包括云城街道、高峰街道、河口街道、安塘街道、思劳镇、腰古镇、南盛镇、前锋镇共八个镇街的140个标定区域连接构成的空间范围。共扩大调整了25个区域范围边界，新增了5个可公示区域，其中商住混合用途新增2个，商服用途、住宅用途无变化，工业用途、公共管理与公共服务用途（教育用途）和公用设施用途均各新增1个。本次更新评估对象用途划分为商服用地、住宅用地、商住混合用地、工业用地、公共管理与公共服务用地和公用设施用地六种用途，公共管理与公共服务用地为本轮新增用途。</w:t>
      </w:r>
    </w:p>
    <w:p>
      <w:pPr>
        <w:pStyle w:val="15"/>
        <w:snapToGrid w:val="0"/>
        <w:spacing w:line="600" w:lineRule="exact"/>
        <w:ind w:firstLine="640" w:firstLineChars="200"/>
        <w:rPr>
          <w:rFonts w:eastAsia="仿宋_GB2312"/>
          <w:sz w:val="32"/>
        </w:rPr>
      </w:pPr>
      <w:r>
        <w:rPr>
          <w:rFonts w:hint="eastAsia" w:eastAsia="仿宋_GB2312"/>
          <w:sz w:val="32"/>
        </w:rPr>
        <w:t>（3）标准宗地调整：</w:t>
      </w:r>
      <w:r>
        <w:rPr>
          <w:rFonts w:eastAsia="仿宋_GB2312"/>
          <w:sz w:val="32"/>
        </w:rPr>
        <w:t>本次标定地价成果公示共</w:t>
      </w:r>
      <w:r>
        <w:rPr>
          <w:rFonts w:hint="eastAsia" w:eastAsia="仿宋_GB2312"/>
          <w:sz w:val="32"/>
        </w:rPr>
        <w:t>140</w:t>
      </w:r>
      <w:r>
        <w:rPr>
          <w:rFonts w:eastAsia="仿宋_GB2312"/>
          <w:sz w:val="32"/>
        </w:rPr>
        <w:t>个标准宗地，其中新增的标准宗地共</w:t>
      </w:r>
      <w:r>
        <w:rPr>
          <w:rFonts w:hint="eastAsia" w:eastAsia="仿宋_GB2312"/>
          <w:sz w:val="32"/>
        </w:rPr>
        <w:t>5</w:t>
      </w:r>
      <w:r>
        <w:rPr>
          <w:rFonts w:eastAsia="仿宋_GB2312"/>
          <w:sz w:val="32"/>
        </w:rPr>
        <w:t>个</w:t>
      </w:r>
      <w:r>
        <w:rPr>
          <w:rFonts w:hint="eastAsia" w:eastAsia="仿宋_GB2312"/>
          <w:sz w:val="32"/>
        </w:rPr>
        <w:t>，</w:t>
      </w:r>
      <w:r>
        <w:rPr>
          <w:rFonts w:eastAsia="仿宋_GB2312"/>
          <w:sz w:val="32"/>
        </w:rPr>
        <w:t>涉及</w:t>
      </w:r>
      <w:r>
        <w:rPr>
          <w:rFonts w:hint="eastAsia" w:eastAsia="仿宋_GB2312"/>
          <w:sz w:val="32"/>
        </w:rPr>
        <w:t>替换</w:t>
      </w:r>
      <w:r>
        <w:rPr>
          <w:rFonts w:eastAsia="仿宋_GB2312"/>
          <w:sz w:val="32"/>
        </w:rPr>
        <w:t>的标准宗地共</w:t>
      </w:r>
      <w:r>
        <w:rPr>
          <w:rFonts w:hint="eastAsia" w:eastAsia="仿宋_GB2312"/>
          <w:sz w:val="32"/>
        </w:rPr>
        <w:t>2</w:t>
      </w:r>
      <w:r>
        <w:rPr>
          <w:rFonts w:eastAsia="仿宋_GB2312"/>
          <w:sz w:val="32"/>
        </w:rPr>
        <w:t>宗。</w:t>
      </w:r>
    </w:p>
    <w:p>
      <w:pPr>
        <w:pStyle w:val="15"/>
        <w:keepNext/>
        <w:widowControl/>
        <w:snapToGrid w:val="0"/>
        <w:spacing w:line="600" w:lineRule="exact"/>
        <w:ind w:firstLine="640" w:firstLineChars="200"/>
        <w:rPr>
          <w:rFonts w:eastAsia="仿宋_GB2312"/>
          <w:sz w:val="32"/>
        </w:rPr>
      </w:pPr>
      <w:r>
        <w:rPr>
          <w:rFonts w:hint="eastAsia" w:eastAsia="仿宋_GB2312"/>
          <w:sz w:val="32"/>
        </w:rPr>
        <w:t>3</w:t>
      </w:r>
      <w:r>
        <w:rPr>
          <w:rFonts w:hint="eastAsia" w:eastAsia="仿宋_GB2312"/>
          <w:sz w:val="32"/>
          <w:lang w:val="en-US" w:eastAsia="zh-CN"/>
        </w:rPr>
        <w:t>.</w:t>
      </w:r>
      <w:r>
        <w:rPr>
          <w:rFonts w:hint="eastAsia" w:eastAsia="仿宋_GB2312"/>
          <w:sz w:val="32"/>
        </w:rPr>
        <w:t>云浮市云城区标定地价整体地价水平：</w:t>
      </w:r>
    </w:p>
    <w:p>
      <w:pPr>
        <w:pStyle w:val="3"/>
        <w:keepNext/>
        <w:widowControl/>
        <w:numPr>
          <w:ilvl w:val="0"/>
          <w:numId w:val="1"/>
        </w:numPr>
        <w:adjustRightInd w:val="0"/>
        <w:snapToGrid w:val="0"/>
        <w:spacing w:before="78" w:beforeLines="25" w:after="78" w:afterLines="25" w:line="240" w:lineRule="auto"/>
        <w:jc w:val="center"/>
        <w:outlineLvl w:val="4"/>
        <w:rPr>
          <w:rFonts w:ascii="Times New Roman" w:hAnsi="Times New Roman" w:eastAsia="仿宋_GB2312"/>
          <w:b/>
          <w:bCs/>
          <w:sz w:val="28"/>
          <w:szCs w:val="28"/>
        </w:rPr>
      </w:pPr>
      <w:r>
        <w:rPr>
          <w:rFonts w:ascii="Times New Roman" w:hAnsi="Times New Roman" w:eastAsia="仿宋_GB2312"/>
          <w:b/>
          <w:bCs/>
          <w:sz w:val="28"/>
          <w:szCs w:val="28"/>
        </w:rPr>
        <w:t>云浮市云城区</w:t>
      </w:r>
      <w:r>
        <w:rPr>
          <w:rFonts w:hint="eastAsia" w:ascii="Times New Roman" w:hAnsi="Times New Roman" w:eastAsia="仿宋_GB2312"/>
          <w:b/>
          <w:bCs/>
          <w:sz w:val="28"/>
          <w:szCs w:val="28"/>
        </w:rPr>
        <w:t>2023年度</w:t>
      </w:r>
      <w:r>
        <w:rPr>
          <w:rFonts w:ascii="Times New Roman" w:hAnsi="Times New Roman" w:eastAsia="仿宋_GB2312"/>
          <w:b/>
          <w:bCs/>
          <w:sz w:val="28"/>
          <w:szCs w:val="28"/>
        </w:rPr>
        <w:t>标定地价水平</w:t>
      </w:r>
    </w:p>
    <w:p>
      <w:pPr>
        <w:keepNext/>
        <w:adjustRightInd w:val="0"/>
        <w:snapToGrid w:val="0"/>
        <w:jc w:val="right"/>
        <w:rPr>
          <w:rFonts w:eastAsia="仿宋_GB2312"/>
          <w:sz w:val="24"/>
        </w:rPr>
      </w:pPr>
      <w:r>
        <w:rPr>
          <w:rFonts w:eastAsia="仿宋_GB2312"/>
          <w:sz w:val="24"/>
        </w:rPr>
        <w:t>单位：元/</w:t>
      </w:r>
      <w:r>
        <w:rPr>
          <w:sz w:val="24"/>
        </w:rPr>
        <w:t>㎡</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6"/>
        <w:gridCol w:w="1703"/>
        <w:gridCol w:w="1462"/>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pct"/>
            <w:tcBorders>
              <w:tl2br w:val="single" w:color="auto" w:sz="4" w:space="0"/>
            </w:tcBorders>
            <w:vAlign w:val="center"/>
          </w:tcPr>
          <w:p>
            <w:pPr>
              <w:keepNext/>
              <w:adjustRightInd w:val="0"/>
              <w:snapToGrid w:val="0"/>
              <w:jc w:val="right"/>
              <w:textAlignment w:val="center"/>
              <w:rPr>
                <w:rFonts w:eastAsia="仿宋_GB2312"/>
                <w:b/>
                <w:kern w:val="0"/>
                <w:sz w:val="24"/>
              </w:rPr>
            </w:pPr>
            <w:r>
              <w:rPr>
                <w:rFonts w:eastAsia="仿宋_GB2312"/>
                <w:b/>
                <w:kern w:val="0"/>
                <w:sz w:val="24"/>
              </w:rPr>
              <w:t>地价</w:t>
            </w:r>
          </w:p>
          <w:p>
            <w:pPr>
              <w:keepNext/>
              <w:adjustRightInd w:val="0"/>
              <w:snapToGrid w:val="0"/>
              <w:textAlignment w:val="center"/>
              <w:rPr>
                <w:rFonts w:eastAsia="仿宋_GB2312"/>
                <w:sz w:val="24"/>
              </w:rPr>
            </w:pPr>
            <w:r>
              <w:rPr>
                <w:rFonts w:eastAsia="仿宋_GB2312"/>
                <w:b/>
                <w:kern w:val="0"/>
                <w:sz w:val="24"/>
              </w:rPr>
              <w:t>土地用途</w:t>
            </w:r>
          </w:p>
        </w:tc>
        <w:tc>
          <w:tcPr>
            <w:tcW w:w="999" w:type="pct"/>
            <w:vAlign w:val="center"/>
          </w:tcPr>
          <w:p>
            <w:pPr>
              <w:adjustRightInd w:val="0"/>
              <w:snapToGrid w:val="0"/>
              <w:jc w:val="center"/>
              <w:rPr>
                <w:rFonts w:eastAsia="仿宋_GB2312"/>
                <w:sz w:val="24"/>
              </w:rPr>
            </w:pPr>
            <w:r>
              <w:rPr>
                <w:rFonts w:eastAsia="仿宋_GB2312"/>
                <w:b/>
                <w:kern w:val="0"/>
                <w:sz w:val="24"/>
              </w:rPr>
              <w:t>地价区间</w:t>
            </w:r>
          </w:p>
        </w:tc>
        <w:tc>
          <w:tcPr>
            <w:tcW w:w="858" w:type="pct"/>
            <w:vAlign w:val="center"/>
          </w:tcPr>
          <w:p>
            <w:pPr>
              <w:adjustRightInd w:val="0"/>
              <w:snapToGrid w:val="0"/>
              <w:jc w:val="center"/>
              <w:rPr>
                <w:rFonts w:eastAsia="仿宋_GB2312"/>
                <w:sz w:val="24"/>
              </w:rPr>
            </w:pPr>
            <w:r>
              <w:rPr>
                <w:rFonts w:eastAsia="仿宋_GB2312"/>
                <w:b/>
                <w:kern w:val="0"/>
                <w:sz w:val="24"/>
              </w:rPr>
              <w:t>整体均价</w:t>
            </w:r>
          </w:p>
        </w:tc>
        <w:tc>
          <w:tcPr>
            <w:tcW w:w="1250" w:type="pct"/>
            <w:vAlign w:val="center"/>
          </w:tcPr>
          <w:p>
            <w:pPr>
              <w:adjustRightInd w:val="0"/>
              <w:snapToGrid w:val="0"/>
              <w:jc w:val="center"/>
              <w:rPr>
                <w:rFonts w:eastAsia="仿宋_GB2312"/>
                <w:sz w:val="24"/>
              </w:rPr>
            </w:pPr>
            <w:r>
              <w:rPr>
                <w:rFonts w:eastAsia="仿宋_GB2312"/>
                <w:b/>
                <w:kern w:val="0"/>
                <w:sz w:val="24"/>
              </w:rPr>
              <w:t>价格类型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pct"/>
            <w:vAlign w:val="center"/>
          </w:tcPr>
          <w:p>
            <w:pPr>
              <w:keepNext/>
              <w:adjustRightInd w:val="0"/>
              <w:snapToGrid w:val="0"/>
              <w:jc w:val="center"/>
              <w:textAlignment w:val="center"/>
              <w:rPr>
                <w:rFonts w:eastAsia="仿宋_GB2312"/>
                <w:b/>
                <w:kern w:val="0"/>
                <w:sz w:val="24"/>
              </w:rPr>
            </w:pPr>
            <w:r>
              <w:rPr>
                <w:rFonts w:eastAsia="仿宋_GB2312"/>
                <w:b/>
                <w:kern w:val="0"/>
                <w:sz w:val="24"/>
              </w:rPr>
              <w:t>商服用地</w:t>
            </w:r>
          </w:p>
        </w:tc>
        <w:tc>
          <w:tcPr>
            <w:tcW w:w="999" w:type="pct"/>
            <w:vAlign w:val="center"/>
          </w:tcPr>
          <w:p>
            <w:pPr>
              <w:adjustRightInd w:val="0"/>
              <w:snapToGrid w:val="0"/>
              <w:jc w:val="center"/>
              <w:rPr>
                <w:rFonts w:eastAsia="仿宋_GB2312"/>
                <w:kern w:val="0"/>
                <w:sz w:val="24"/>
                <w:lang w:val="zh-CN"/>
              </w:rPr>
            </w:pPr>
            <w:r>
              <w:rPr>
                <w:rFonts w:eastAsia="仿宋_GB2312"/>
                <w:sz w:val="24"/>
              </w:rPr>
              <w:t>725~3498</w:t>
            </w:r>
          </w:p>
        </w:tc>
        <w:tc>
          <w:tcPr>
            <w:tcW w:w="858" w:type="pct"/>
            <w:vAlign w:val="center"/>
          </w:tcPr>
          <w:p>
            <w:pPr>
              <w:adjustRightInd w:val="0"/>
              <w:snapToGrid w:val="0"/>
              <w:jc w:val="center"/>
              <w:rPr>
                <w:rFonts w:eastAsia="仿宋_GB2312"/>
                <w:sz w:val="24"/>
              </w:rPr>
            </w:pPr>
            <w:r>
              <w:rPr>
                <w:rFonts w:eastAsia="仿宋_GB2312"/>
                <w:kern w:val="0"/>
                <w:sz w:val="24"/>
              </w:rPr>
              <w:t>2143</w:t>
            </w:r>
          </w:p>
        </w:tc>
        <w:tc>
          <w:tcPr>
            <w:tcW w:w="1250" w:type="pct"/>
            <w:vMerge w:val="restart"/>
            <w:vAlign w:val="center"/>
          </w:tcPr>
          <w:p>
            <w:pPr>
              <w:adjustRightInd w:val="0"/>
              <w:snapToGrid w:val="0"/>
              <w:jc w:val="center"/>
              <w:rPr>
                <w:rFonts w:eastAsia="仿宋_GB2312"/>
                <w:sz w:val="24"/>
              </w:rPr>
            </w:pPr>
            <w:r>
              <w:rPr>
                <w:rFonts w:eastAsia="仿宋_GB2312"/>
                <w:kern w:val="0"/>
                <w:sz w:val="24"/>
              </w:rPr>
              <w:t>平均楼面地价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pct"/>
            <w:vAlign w:val="center"/>
          </w:tcPr>
          <w:p>
            <w:pPr>
              <w:keepNext/>
              <w:adjustRightInd w:val="0"/>
              <w:snapToGrid w:val="0"/>
              <w:jc w:val="center"/>
              <w:textAlignment w:val="center"/>
              <w:rPr>
                <w:rFonts w:eastAsia="仿宋_GB2312"/>
                <w:b/>
                <w:kern w:val="0"/>
                <w:sz w:val="24"/>
              </w:rPr>
            </w:pPr>
            <w:r>
              <w:rPr>
                <w:rFonts w:eastAsia="仿宋_GB2312"/>
                <w:b/>
                <w:kern w:val="0"/>
                <w:sz w:val="24"/>
              </w:rPr>
              <w:t>住宅用地</w:t>
            </w:r>
          </w:p>
        </w:tc>
        <w:tc>
          <w:tcPr>
            <w:tcW w:w="999" w:type="pct"/>
            <w:vAlign w:val="center"/>
          </w:tcPr>
          <w:p>
            <w:pPr>
              <w:jc w:val="center"/>
              <w:textAlignment w:val="center"/>
              <w:rPr>
                <w:rFonts w:eastAsia="仿宋_GB2312"/>
                <w:kern w:val="0"/>
                <w:sz w:val="24"/>
                <w:lang w:val="zh-CN"/>
              </w:rPr>
            </w:pPr>
            <w:r>
              <w:rPr>
                <w:rFonts w:eastAsia="仿宋_GB2312"/>
                <w:sz w:val="24"/>
              </w:rPr>
              <w:t>1162~1949</w:t>
            </w:r>
          </w:p>
        </w:tc>
        <w:tc>
          <w:tcPr>
            <w:tcW w:w="858" w:type="pct"/>
            <w:vAlign w:val="center"/>
          </w:tcPr>
          <w:p>
            <w:pPr>
              <w:adjustRightInd w:val="0"/>
              <w:snapToGrid w:val="0"/>
              <w:jc w:val="center"/>
              <w:rPr>
                <w:rFonts w:eastAsia="仿宋_GB2312"/>
                <w:sz w:val="24"/>
              </w:rPr>
            </w:pPr>
            <w:r>
              <w:rPr>
                <w:rFonts w:eastAsia="仿宋_GB2312"/>
                <w:kern w:val="0"/>
                <w:sz w:val="24"/>
              </w:rPr>
              <w:t>1779</w:t>
            </w:r>
          </w:p>
        </w:tc>
        <w:tc>
          <w:tcPr>
            <w:tcW w:w="1250" w:type="pct"/>
            <w:vMerge w:val="continue"/>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pct"/>
            <w:vAlign w:val="center"/>
          </w:tcPr>
          <w:p>
            <w:pPr>
              <w:keepNext/>
              <w:adjustRightInd w:val="0"/>
              <w:snapToGrid w:val="0"/>
              <w:jc w:val="center"/>
              <w:textAlignment w:val="center"/>
              <w:rPr>
                <w:rFonts w:eastAsia="仿宋_GB2312"/>
                <w:b/>
                <w:kern w:val="0"/>
                <w:sz w:val="24"/>
              </w:rPr>
            </w:pPr>
            <w:r>
              <w:rPr>
                <w:rFonts w:eastAsia="仿宋_GB2312"/>
                <w:b/>
                <w:kern w:val="0"/>
                <w:sz w:val="24"/>
              </w:rPr>
              <w:t>商住混合用地</w:t>
            </w:r>
          </w:p>
        </w:tc>
        <w:tc>
          <w:tcPr>
            <w:tcW w:w="999" w:type="pct"/>
            <w:vAlign w:val="center"/>
          </w:tcPr>
          <w:p>
            <w:pPr>
              <w:pStyle w:val="19"/>
              <w:adjustRightInd w:val="0"/>
              <w:snapToGrid w:val="0"/>
              <w:spacing w:line="240" w:lineRule="auto"/>
              <w:ind w:firstLine="0" w:firstLineChars="0"/>
              <w:jc w:val="center"/>
              <w:rPr>
                <w:sz w:val="24"/>
                <w:szCs w:val="24"/>
              </w:rPr>
            </w:pPr>
            <w:r>
              <w:rPr>
                <w:sz w:val="24"/>
                <w:szCs w:val="24"/>
              </w:rPr>
              <w:t>418~3710</w:t>
            </w:r>
          </w:p>
        </w:tc>
        <w:tc>
          <w:tcPr>
            <w:tcW w:w="858" w:type="pct"/>
            <w:vAlign w:val="center"/>
          </w:tcPr>
          <w:p>
            <w:pPr>
              <w:adjustRightInd w:val="0"/>
              <w:snapToGrid w:val="0"/>
              <w:jc w:val="center"/>
              <w:rPr>
                <w:rFonts w:eastAsia="仿宋_GB2312"/>
                <w:sz w:val="24"/>
              </w:rPr>
            </w:pPr>
            <w:r>
              <w:rPr>
                <w:rFonts w:eastAsia="仿宋_GB2312"/>
                <w:kern w:val="0"/>
                <w:sz w:val="24"/>
              </w:rPr>
              <w:t>1788</w:t>
            </w:r>
          </w:p>
        </w:tc>
        <w:tc>
          <w:tcPr>
            <w:tcW w:w="1250" w:type="pct"/>
            <w:vMerge w:val="continue"/>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pct"/>
            <w:vAlign w:val="center"/>
          </w:tcPr>
          <w:p>
            <w:pPr>
              <w:keepNext/>
              <w:adjustRightInd w:val="0"/>
              <w:snapToGrid w:val="0"/>
              <w:jc w:val="center"/>
              <w:textAlignment w:val="center"/>
              <w:rPr>
                <w:rFonts w:eastAsia="仿宋_GB2312"/>
                <w:b/>
                <w:kern w:val="0"/>
                <w:sz w:val="24"/>
              </w:rPr>
            </w:pPr>
            <w:r>
              <w:rPr>
                <w:rFonts w:eastAsia="仿宋_GB2312"/>
                <w:b/>
                <w:kern w:val="0"/>
                <w:sz w:val="24"/>
              </w:rPr>
              <w:t>工业用地</w:t>
            </w:r>
          </w:p>
        </w:tc>
        <w:tc>
          <w:tcPr>
            <w:tcW w:w="999" w:type="pct"/>
            <w:vAlign w:val="center"/>
          </w:tcPr>
          <w:p>
            <w:pPr>
              <w:pStyle w:val="19"/>
              <w:adjustRightInd w:val="0"/>
              <w:snapToGrid w:val="0"/>
              <w:spacing w:line="240" w:lineRule="auto"/>
              <w:ind w:firstLine="0" w:firstLineChars="0"/>
              <w:jc w:val="center"/>
              <w:rPr>
                <w:sz w:val="24"/>
                <w:szCs w:val="24"/>
              </w:rPr>
            </w:pPr>
            <w:r>
              <w:rPr>
                <w:sz w:val="24"/>
                <w:szCs w:val="24"/>
              </w:rPr>
              <w:t>208~2600</w:t>
            </w:r>
          </w:p>
        </w:tc>
        <w:tc>
          <w:tcPr>
            <w:tcW w:w="858" w:type="pct"/>
            <w:vAlign w:val="center"/>
          </w:tcPr>
          <w:p>
            <w:pPr>
              <w:adjustRightInd w:val="0"/>
              <w:snapToGrid w:val="0"/>
              <w:jc w:val="center"/>
              <w:rPr>
                <w:rFonts w:eastAsia="仿宋_GB2312"/>
                <w:sz w:val="24"/>
              </w:rPr>
            </w:pPr>
            <w:r>
              <w:rPr>
                <w:rFonts w:eastAsia="仿宋_GB2312"/>
                <w:kern w:val="0"/>
                <w:sz w:val="24"/>
              </w:rPr>
              <w:t>359</w:t>
            </w:r>
          </w:p>
        </w:tc>
        <w:tc>
          <w:tcPr>
            <w:tcW w:w="1250" w:type="pct"/>
            <w:vAlign w:val="center"/>
          </w:tcPr>
          <w:p>
            <w:pPr>
              <w:adjustRightInd w:val="0"/>
              <w:snapToGrid w:val="0"/>
              <w:jc w:val="center"/>
              <w:rPr>
                <w:rFonts w:eastAsia="仿宋_GB2312"/>
                <w:sz w:val="24"/>
              </w:rPr>
            </w:pPr>
            <w:r>
              <w:rPr>
                <w:rFonts w:eastAsia="仿宋_GB2312"/>
                <w:kern w:val="0"/>
                <w:sz w:val="24"/>
              </w:rPr>
              <w:t>地面地价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pct"/>
            <w:vAlign w:val="center"/>
          </w:tcPr>
          <w:p>
            <w:pPr>
              <w:keepNext/>
              <w:adjustRightInd w:val="0"/>
              <w:snapToGrid w:val="0"/>
              <w:jc w:val="center"/>
              <w:textAlignment w:val="center"/>
              <w:rPr>
                <w:rFonts w:eastAsia="仿宋_GB2312"/>
                <w:b/>
                <w:kern w:val="0"/>
                <w:sz w:val="24"/>
              </w:rPr>
            </w:pPr>
            <w:r>
              <w:rPr>
                <w:rFonts w:eastAsia="仿宋_GB2312"/>
                <w:b/>
                <w:kern w:val="0"/>
                <w:sz w:val="24"/>
              </w:rPr>
              <w:t>公共管理与公共服务用地</w:t>
            </w:r>
          </w:p>
          <w:p>
            <w:pPr>
              <w:keepNext/>
              <w:adjustRightInd w:val="0"/>
              <w:snapToGrid w:val="0"/>
              <w:jc w:val="center"/>
              <w:textAlignment w:val="center"/>
              <w:rPr>
                <w:rFonts w:eastAsia="仿宋_GB2312"/>
                <w:b/>
                <w:kern w:val="0"/>
                <w:sz w:val="24"/>
              </w:rPr>
            </w:pPr>
            <w:r>
              <w:rPr>
                <w:rFonts w:eastAsia="仿宋_GB2312"/>
                <w:b/>
                <w:kern w:val="0"/>
                <w:sz w:val="24"/>
              </w:rPr>
              <w:t>（教育用地）</w:t>
            </w:r>
          </w:p>
        </w:tc>
        <w:tc>
          <w:tcPr>
            <w:tcW w:w="999" w:type="pct"/>
            <w:vAlign w:val="center"/>
          </w:tcPr>
          <w:p>
            <w:pPr>
              <w:pStyle w:val="19"/>
              <w:adjustRightInd w:val="0"/>
              <w:snapToGrid w:val="0"/>
              <w:spacing w:line="240" w:lineRule="auto"/>
              <w:ind w:firstLine="0" w:firstLineChars="0"/>
              <w:jc w:val="center"/>
              <w:rPr>
                <w:sz w:val="24"/>
                <w:szCs w:val="24"/>
              </w:rPr>
            </w:pPr>
            <w:r>
              <w:rPr>
                <w:sz w:val="24"/>
              </w:rPr>
              <w:t>186</w:t>
            </w:r>
          </w:p>
        </w:tc>
        <w:tc>
          <w:tcPr>
            <w:tcW w:w="858" w:type="pct"/>
            <w:vAlign w:val="center"/>
          </w:tcPr>
          <w:p>
            <w:pPr>
              <w:adjustRightInd w:val="0"/>
              <w:snapToGrid w:val="0"/>
              <w:jc w:val="center"/>
              <w:rPr>
                <w:rFonts w:eastAsia="仿宋_GB2312"/>
                <w:sz w:val="24"/>
              </w:rPr>
            </w:pPr>
            <w:r>
              <w:rPr>
                <w:rFonts w:eastAsia="仿宋_GB2312"/>
                <w:sz w:val="24"/>
              </w:rPr>
              <w:t>186</w:t>
            </w:r>
          </w:p>
        </w:tc>
        <w:tc>
          <w:tcPr>
            <w:tcW w:w="1250" w:type="pct"/>
            <w:vAlign w:val="center"/>
          </w:tcPr>
          <w:p>
            <w:pPr>
              <w:adjustRightInd w:val="0"/>
              <w:snapToGrid w:val="0"/>
              <w:jc w:val="center"/>
              <w:rPr>
                <w:rFonts w:eastAsia="仿宋_GB2312"/>
                <w:sz w:val="24"/>
              </w:rPr>
            </w:pPr>
            <w:r>
              <w:rPr>
                <w:rFonts w:eastAsia="仿宋_GB2312"/>
                <w:kern w:val="0"/>
                <w:sz w:val="24"/>
              </w:rPr>
              <w:t>平均楼面地价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pct"/>
            <w:vAlign w:val="center"/>
          </w:tcPr>
          <w:p>
            <w:pPr>
              <w:keepNext/>
              <w:adjustRightInd w:val="0"/>
              <w:snapToGrid w:val="0"/>
              <w:jc w:val="center"/>
              <w:textAlignment w:val="center"/>
              <w:rPr>
                <w:rFonts w:eastAsia="仿宋_GB2312"/>
                <w:b/>
                <w:kern w:val="0"/>
                <w:sz w:val="24"/>
              </w:rPr>
            </w:pPr>
            <w:r>
              <w:rPr>
                <w:rFonts w:eastAsia="仿宋_GB2312"/>
                <w:b/>
                <w:kern w:val="0"/>
                <w:sz w:val="24"/>
              </w:rPr>
              <w:t>公用设施用地</w:t>
            </w:r>
          </w:p>
        </w:tc>
        <w:tc>
          <w:tcPr>
            <w:tcW w:w="999" w:type="pct"/>
            <w:vAlign w:val="center"/>
          </w:tcPr>
          <w:p>
            <w:pPr>
              <w:pStyle w:val="19"/>
              <w:adjustRightInd w:val="0"/>
              <w:snapToGrid w:val="0"/>
              <w:spacing w:line="240" w:lineRule="auto"/>
              <w:ind w:firstLine="0" w:firstLineChars="0"/>
              <w:jc w:val="center"/>
              <w:rPr>
                <w:sz w:val="24"/>
                <w:szCs w:val="24"/>
              </w:rPr>
            </w:pPr>
            <w:r>
              <w:rPr>
                <w:sz w:val="24"/>
                <w:szCs w:val="24"/>
              </w:rPr>
              <w:t>290~518</w:t>
            </w:r>
          </w:p>
        </w:tc>
        <w:tc>
          <w:tcPr>
            <w:tcW w:w="858" w:type="pct"/>
            <w:vAlign w:val="center"/>
          </w:tcPr>
          <w:p>
            <w:pPr>
              <w:adjustRightInd w:val="0"/>
              <w:snapToGrid w:val="0"/>
              <w:jc w:val="center"/>
              <w:rPr>
                <w:rFonts w:eastAsia="仿宋_GB2312"/>
                <w:sz w:val="24"/>
              </w:rPr>
            </w:pPr>
            <w:r>
              <w:rPr>
                <w:rFonts w:eastAsia="仿宋_GB2312"/>
                <w:kern w:val="0"/>
                <w:sz w:val="24"/>
              </w:rPr>
              <w:t>460</w:t>
            </w:r>
          </w:p>
        </w:tc>
        <w:tc>
          <w:tcPr>
            <w:tcW w:w="1250" w:type="pct"/>
            <w:vAlign w:val="center"/>
          </w:tcPr>
          <w:p>
            <w:pPr>
              <w:adjustRightInd w:val="0"/>
              <w:snapToGrid w:val="0"/>
              <w:jc w:val="center"/>
              <w:rPr>
                <w:rFonts w:eastAsia="仿宋_GB2312"/>
                <w:sz w:val="24"/>
              </w:rPr>
            </w:pPr>
            <w:r>
              <w:rPr>
                <w:rFonts w:eastAsia="仿宋_GB2312"/>
                <w:kern w:val="0"/>
                <w:sz w:val="24"/>
              </w:rPr>
              <w:t>地面地价</w:t>
            </w:r>
          </w:p>
        </w:tc>
      </w:tr>
    </w:tbl>
    <w:p>
      <w:pPr>
        <w:adjustRightInd w:val="0"/>
        <w:snapToGrid w:val="0"/>
        <w:ind w:firstLine="420" w:firstLineChars="200"/>
        <w:rPr>
          <w:rFonts w:eastAsia="仿宋_GB2312"/>
          <w:szCs w:val="21"/>
        </w:rPr>
      </w:pPr>
      <w:r>
        <w:rPr>
          <w:rFonts w:eastAsia="仿宋_GB2312"/>
          <w:szCs w:val="21"/>
        </w:rPr>
        <w:t>注：平均地价的统计口径为本轮</w:t>
      </w:r>
      <w:r>
        <w:rPr>
          <w:rFonts w:hint="eastAsia" w:eastAsia="仿宋_GB2312"/>
          <w:szCs w:val="21"/>
        </w:rPr>
        <w:t>140宗</w:t>
      </w:r>
      <w:r>
        <w:rPr>
          <w:rFonts w:eastAsia="仿宋_GB2312"/>
          <w:szCs w:val="21"/>
        </w:rPr>
        <w:t>标准宗地净用地面积，由标准宗地按照对应的综合单价进行面积加权计算所得。</w:t>
      </w:r>
    </w:p>
    <w:p>
      <w:pPr>
        <w:pStyle w:val="15"/>
        <w:snapToGrid w:val="0"/>
        <w:spacing w:line="600" w:lineRule="exact"/>
        <w:ind w:firstLine="640" w:firstLineChars="200"/>
        <w:outlineLvl w:val="0"/>
        <w:rPr>
          <w:rFonts w:eastAsia="黑体"/>
          <w:sz w:val="32"/>
        </w:rPr>
      </w:pPr>
      <w:r>
        <w:rPr>
          <w:rFonts w:hint="eastAsia" w:eastAsia="黑体"/>
          <w:sz w:val="32"/>
        </w:rPr>
        <w:t>七</w:t>
      </w:r>
      <w:r>
        <w:rPr>
          <w:rFonts w:eastAsia="黑体"/>
          <w:sz w:val="32"/>
        </w:rPr>
        <w:t>、</w:t>
      </w:r>
      <w:r>
        <w:rPr>
          <w:rFonts w:hint="eastAsia" w:eastAsia="黑体"/>
          <w:sz w:val="32"/>
        </w:rPr>
        <w:t>标定地价查询路径</w:t>
      </w:r>
    </w:p>
    <w:p>
      <w:pPr>
        <w:pStyle w:val="15"/>
        <w:snapToGrid w:val="0"/>
        <w:spacing w:line="600" w:lineRule="exact"/>
        <w:ind w:firstLine="640" w:firstLineChars="200"/>
        <w:rPr>
          <w:rFonts w:eastAsia="仿宋_GB2312"/>
          <w:sz w:val="32"/>
        </w:rPr>
      </w:pPr>
      <w:r>
        <w:rPr>
          <w:rFonts w:hint="eastAsia" w:eastAsia="仿宋_GB2312"/>
          <w:sz w:val="32"/>
        </w:rPr>
        <w:t>登陆云浮市自然资源局官网→频道首页→地价管理→关键字（搜索“2023年度标定地价”）。</w:t>
      </w:r>
    </w:p>
    <w:p>
      <w:pPr>
        <w:pStyle w:val="15"/>
        <w:keepNext/>
        <w:widowControl/>
        <w:snapToGrid w:val="0"/>
        <w:spacing w:line="600" w:lineRule="exact"/>
        <w:ind w:firstLine="640" w:firstLineChars="200"/>
        <w:outlineLvl w:val="0"/>
        <w:rPr>
          <w:rFonts w:eastAsia="黑体"/>
          <w:sz w:val="32"/>
        </w:rPr>
      </w:pPr>
      <w:r>
        <w:rPr>
          <w:rFonts w:hint="eastAsia" w:eastAsia="黑体"/>
          <w:sz w:val="32"/>
        </w:rPr>
        <w:t>八</w:t>
      </w:r>
      <w:r>
        <w:rPr>
          <w:rFonts w:eastAsia="黑体"/>
          <w:sz w:val="32"/>
        </w:rPr>
        <w:t>、</w:t>
      </w:r>
      <w:r>
        <w:rPr>
          <w:rFonts w:hint="eastAsia" w:eastAsia="黑体"/>
          <w:sz w:val="32"/>
        </w:rPr>
        <w:t>标定地价如何参考使用</w:t>
      </w:r>
    </w:p>
    <w:p>
      <w:pPr>
        <w:pStyle w:val="15"/>
        <w:snapToGrid w:val="0"/>
        <w:spacing w:line="600" w:lineRule="exact"/>
        <w:ind w:firstLine="640" w:firstLineChars="200"/>
        <w:rPr>
          <w:rFonts w:eastAsia="仿宋_GB2312"/>
          <w:sz w:val="32"/>
        </w:rPr>
      </w:pPr>
      <w:r>
        <w:rPr>
          <w:rFonts w:hint="eastAsia" w:eastAsia="仿宋_GB2312"/>
          <w:sz w:val="32"/>
        </w:rPr>
        <w:t>根据所需查询的宗地位置确定适用的标定地价成果，标定地价系数修正法仅适用于待估宗地位于标定地价公示范围内。参照标定地价系数修正法的使用要求选择3个（含3个）以上可比标准宗地的标定地价进行修正评估。标准宗地与待估宗地均参照规程按基本公式进行计算，最后通过计算后的待估宗地与标准宗地的各修正系数的比值计算得出待估宗地的地价。</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5258471"/>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457A2B"/>
    <w:multiLevelType w:val="multilevel"/>
    <w:tmpl w:val="59457A2B"/>
    <w:lvl w:ilvl="0" w:tentative="0">
      <w:start w:val="1"/>
      <w:numFmt w:val="decimal"/>
      <w:lvlText w:val="表1-%1"/>
      <w:lvlJc w:val="left"/>
      <w:pPr>
        <w:ind w:left="420" w:hanging="420"/>
      </w:pPr>
      <w:rPr>
        <w:rFonts w:hint="eastAsia"/>
        <w:b/>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kYzc4NGE1ZGRlOWU4OGUzMDIyMjgzNTRiMzg0MDIifQ=="/>
  </w:docVars>
  <w:rsids>
    <w:rsidRoot w:val="00192E3F"/>
    <w:rsid w:val="0003284C"/>
    <w:rsid w:val="0003363B"/>
    <w:rsid w:val="00055C99"/>
    <w:rsid w:val="0006477C"/>
    <w:rsid w:val="00083A49"/>
    <w:rsid w:val="000A2FEE"/>
    <w:rsid w:val="000F2E56"/>
    <w:rsid w:val="0016043F"/>
    <w:rsid w:val="001654BB"/>
    <w:rsid w:val="0018602A"/>
    <w:rsid w:val="00192E3F"/>
    <w:rsid w:val="0021622F"/>
    <w:rsid w:val="00217739"/>
    <w:rsid w:val="00243D2F"/>
    <w:rsid w:val="0025284D"/>
    <w:rsid w:val="00294E17"/>
    <w:rsid w:val="002A4E14"/>
    <w:rsid w:val="003B40DA"/>
    <w:rsid w:val="00425FEB"/>
    <w:rsid w:val="00441B25"/>
    <w:rsid w:val="00457045"/>
    <w:rsid w:val="00457CA9"/>
    <w:rsid w:val="004B200B"/>
    <w:rsid w:val="004C4EAE"/>
    <w:rsid w:val="004D6EC5"/>
    <w:rsid w:val="00517A76"/>
    <w:rsid w:val="005537A1"/>
    <w:rsid w:val="00555C3E"/>
    <w:rsid w:val="0061286A"/>
    <w:rsid w:val="00634761"/>
    <w:rsid w:val="006666D9"/>
    <w:rsid w:val="00673253"/>
    <w:rsid w:val="00691216"/>
    <w:rsid w:val="00713ED0"/>
    <w:rsid w:val="007C3C80"/>
    <w:rsid w:val="007C5815"/>
    <w:rsid w:val="00870A1E"/>
    <w:rsid w:val="008A365A"/>
    <w:rsid w:val="008B3EF7"/>
    <w:rsid w:val="008F1339"/>
    <w:rsid w:val="0093747B"/>
    <w:rsid w:val="009C04F4"/>
    <w:rsid w:val="009F17AA"/>
    <w:rsid w:val="00A50E0A"/>
    <w:rsid w:val="00A52C61"/>
    <w:rsid w:val="00A72DF0"/>
    <w:rsid w:val="00AA618D"/>
    <w:rsid w:val="00AA6DC1"/>
    <w:rsid w:val="00AB118D"/>
    <w:rsid w:val="00AC58DB"/>
    <w:rsid w:val="00B523E5"/>
    <w:rsid w:val="00B9359A"/>
    <w:rsid w:val="00BB5A97"/>
    <w:rsid w:val="00BE13C9"/>
    <w:rsid w:val="00C515DF"/>
    <w:rsid w:val="00C74591"/>
    <w:rsid w:val="00C839C5"/>
    <w:rsid w:val="00C91DDE"/>
    <w:rsid w:val="00CC7AD6"/>
    <w:rsid w:val="00CD30E6"/>
    <w:rsid w:val="00D15C75"/>
    <w:rsid w:val="00D46FD5"/>
    <w:rsid w:val="00D8646D"/>
    <w:rsid w:val="00DB5170"/>
    <w:rsid w:val="00E00FF2"/>
    <w:rsid w:val="00E2747A"/>
    <w:rsid w:val="00E70FC4"/>
    <w:rsid w:val="00E859BB"/>
    <w:rsid w:val="00EA45EE"/>
    <w:rsid w:val="00EF6FE0"/>
    <w:rsid w:val="00FA390F"/>
    <w:rsid w:val="00FF7F53"/>
    <w:rsid w:val="03C2134C"/>
    <w:rsid w:val="09141E30"/>
    <w:rsid w:val="35C175B3"/>
    <w:rsid w:val="4C8E695A"/>
    <w:rsid w:val="5DF1562A"/>
    <w:rsid w:val="611125A6"/>
    <w:rsid w:val="63DE703D"/>
    <w:rsid w:val="6C4B0F21"/>
    <w:rsid w:val="7CCA0125"/>
    <w:rsid w:val="7FBFF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kern w:val="2"/>
      <w:sz w:val="21"/>
      <w:szCs w:val="24"/>
      <w:lang w:val="en-US" w:eastAsia="zh-CN" w:bidi="ar-SA"/>
    </w:rPr>
  </w:style>
  <w:style w:type="paragraph" w:styleId="2">
    <w:name w:val="heading 3"/>
    <w:basedOn w:val="1"/>
    <w:next w:val="1"/>
    <w:link w:val="21"/>
    <w:unhideWhenUsed/>
    <w:qFormat/>
    <w:uiPriority w:val="0"/>
    <w:pPr>
      <w:widowControl w:val="0"/>
      <w:spacing w:beforeLines="25" w:afterLines="25" w:line="300" w:lineRule="auto"/>
      <w:ind w:firstLine="723" w:firstLineChars="200"/>
      <w:jc w:val="both"/>
      <w:outlineLvl w:val="2"/>
    </w:pPr>
    <w:rPr>
      <w:rFonts w:eastAsia="仿宋_GB2312"/>
      <w:b/>
      <w:bCs/>
      <w:sz w:val="24"/>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autoRedefine/>
    <w:unhideWhenUsed/>
    <w:qFormat/>
    <w:uiPriority w:val="35"/>
    <w:pPr>
      <w:widowControl w:val="0"/>
      <w:spacing w:line="312" w:lineRule="auto"/>
      <w:ind w:firstLine="482"/>
      <w:jc w:val="both"/>
    </w:pPr>
    <w:rPr>
      <w:rFonts w:ascii="Arial" w:hAnsi="Arial" w:eastAsia="黑体"/>
      <w:sz w:val="20"/>
      <w:szCs w:val="21"/>
    </w:rPr>
  </w:style>
  <w:style w:type="paragraph" w:styleId="4">
    <w:name w:val="annotation text"/>
    <w:basedOn w:val="1"/>
    <w:link w:val="16"/>
    <w:autoRedefine/>
    <w:semiHidden/>
    <w:unhideWhenUsed/>
    <w:qFormat/>
    <w:uiPriority w:val="99"/>
  </w:style>
  <w:style w:type="paragraph" w:styleId="5">
    <w:name w:val="Balloon Text"/>
    <w:basedOn w:val="1"/>
    <w:link w:val="18"/>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7"/>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qFormat/>
    <w:uiPriority w:val="99"/>
    <w:rPr>
      <w:sz w:val="21"/>
      <w:szCs w:val="21"/>
    </w:rPr>
  </w:style>
  <w:style w:type="character" w:customStyle="1" w:styleId="13">
    <w:name w:val="页眉 Char"/>
    <w:basedOn w:val="11"/>
    <w:link w:val="7"/>
    <w:qFormat/>
    <w:uiPriority w:val="99"/>
    <w:rPr>
      <w:sz w:val="18"/>
      <w:szCs w:val="18"/>
    </w:rPr>
  </w:style>
  <w:style w:type="character" w:customStyle="1" w:styleId="14">
    <w:name w:val="页脚 Char"/>
    <w:basedOn w:val="11"/>
    <w:link w:val="6"/>
    <w:qFormat/>
    <w:uiPriority w:val="99"/>
    <w:rPr>
      <w:sz w:val="18"/>
      <w:szCs w:val="18"/>
    </w:rPr>
  </w:style>
  <w:style w:type="paragraph" w:customStyle="1" w:styleId="15">
    <w:name w:val="正文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6">
    <w:name w:val="批注文字 Char"/>
    <w:basedOn w:val="11"/>
    <w:link w:val="4"/>
    <w:semiHidden/>
    <w:qFormat/>
    <w:uiPriority w:val="99"/>
  </w:style>
  <w:style w:type="character" w:customStyle="1" w:styleId="17">
    <w:name w:val="批注主题 Char"/>
    <w:basedOn w:val="16"/>
    <w:link w:val="8"/>
    <w:semiHidden/>
    <w:qFormat/>
    <w:uiPriority w:val="99"/>
    <w:rPr>
      <w:b/>
      <w:bCs/>
    </w:rPr>
  </w:style>
  <w:style w:type="character" w:customStyle="1" w:styleId="18">
    <w:name w:val="批注框文本 Char"/>
    <w:basedOn w:val="11"/>
    <w:link w:val="5"/>
    <w:semiHidden/>
    <w:qFormat/>
    <w:uiPriority w:val="99"/>
    <w:rPr>
      <w:sz w:val="18"/>
      <w:szCs w:val="18"/>
    </w:rPr>
  </w:style>
  <w:style w:type="paragraph" w:customStyle="1" w:styleId="19">
    <w:name w:val="00-正文"/>
    <w:link w:val="20"/>
    <w:qFormat/>
    <w:uiPriority w:val="0"/>
    <w:pPr>
      <w:widowControl w:val="0"/>
      <w:spacing w:line="560" w:lineRule="exact"/>
      <w:ind w:firstLine="200" w:firstLineChars="200"/>
      <w:jc w:val="both"/>
      <w:textAlignment w:val="center"/>
    </w:pPr>
    <w:rPr>
      <w:rFonts w:ascii="Times New Roman" w:hAnsi="Times New Roman" w:eastAsia="仿宋_GB2312" w:cs="Times New Roman"/>
      <w:sz w:val="28"/>
      <w:szCs w:val="22"/>
      <w:lang w:val="zh-CN" w:eastAsia="zh-CN" w:bidi="ar-SA"/>
    </w:rPr>
  </w:style>
  <w:style w:type="character" w:customStyle="1" w:styleId="20">
    <w:name w:val="00-正文 Char"/>
    <w:link w:val="19"/>
    <w:qFormat/>
    <w:uiPriority w:val="0"/>
    <w:rPr>
      <w:rFonts w:ascii="Times New Roman" w:hAnsi="Times New Roman" w:eastAsia="仿宋_GB2312" w:cs="Times New Roman"/>
      <w:kern w:val="0"/>
      <w:sz w:val="28"/>
      <w:lang w:val="zh-CN"/>
    </w:rPr>
  </w:style>
  <w:style w:type="character" w:customStyle="1" w:styleId="21">
    <w:name w:val="标题 3 Char"/>
    <w:basedOn w:val="11"/>
    <w:link w:val="2"/>
    <w:autoRedefine/>
    <w:qFormat/>
    <w:uiPriority w:val="0"/>
    <w:rPr>
      <w:rFonts w:ascii="Times New Roman" w:hAnsi="Times New Roman" w:eastAsia="仿宋_GB2312" w:cs="Times New Roman"/>
      <w:b/>
      <w:bCs/>
      <w:sz w:val="24"/>
      <w:szCs w:val="32"/>
    </w:rPr>
  </w:style>
  <w:style w:type="paragraph" w:customStyle="1" w:styleId="22">
    <w:name w:val="00正文模板"/>
    <w:basedOn w:val="1"/>
    <w:qFormat/>
    <w:uiPriority w:val="0"/>
    <w:pPr>
      <w:adjustRightInd w:val="0"/>
      <w:snapToGrid w:val="0"/>
      <w:spacing w:line="360" w:lineRule="auto"/>
      <w:ind w:firstLine="200" w:firstLineChars="200"/>
      <w:jc w:val="both"/>
    </w:pPr>
    <w:rPr>
      <w:rFonts w:ascii="仿宋_GB2312" w:eastAsia="仿宋_GB2312"/>
      <w:spacing w:val="10"/>
      <w:kern w:val="0"/>
      <w:sz w:val="28"/>
      <w:szCs w:val="22"/>
      <w:lang w:bidi="en-US"/>
    </w:rPr>
  </w:style>
  <w:style w:type="paragraph" w:customStyle="1" w:styleId="23">
    <w:name w:val="07－图表号"/>
    <w:link w:val="24"/>
    <w:qFormat/>
    <w:uiPriority w:val="0"/>
    <w:pPr>
      <w:spacing w:line="360" w:lineRule="auto"/>
      <w:jc w:val="center"/>
    </w:pPr>
    <w:rPr>
      <w:rFonts w:ascii="Times New Roman" w:hAnsi="Times New Roman" w:eastAsia="仿宋_GB2312" w:cs="Times New Roman"/>
      <w:b/>
      <w:spacing w:val="6"/>
      <w:kern w:val="28"/>
      <w:sz w:val="24"/>
      <w:szCs w:val="28"/>
      <w:lang w:val="en-US" w:eastAsia="zh-CN" w:bidi="ar-SA"/>
    </w:rPr>
  </w:style>
  <w:style w:type="character" w:customStyle="1" w:styleId="24">
    <w:name w:val="07－图表号 Char"/>
    <w:link w:val="23"/>
    <w:autoRedefine/>
    <w:qFormat/>
    <w:uiPriority w:val="0"/>
    <w:rPr>
      <w:rFonts w:ascii="Times New Roman" w:hAnsi="Times New Roman" w:eastAsia="仿宋_GB2312" w:cs="Times New Roman"/>
      <w:b/>
      <w:spacing w:val="6"/>
      <w:kern w:val="28"/>
      <w:sz w:val="24"/>
      <w:szCs w:val="28"/>
    </w:rPr>
  </w:style>
  <w:style w:type="paragraph" w:customStyle="1" w:styleId="25">
    <w:name w:val="_Style 185"/>
    <w:autoRedefine/>
    <w:qFormat/>
    <w:uiPriority w:val="0"/>
    <w:pPr>
      <w:widowControl w:val="0"/>
      <w:spacing w:beforeLines="30" w:afterLines="30" w:line="300" w:lineRule="auto"/>
      <w:ind w:firstLine="480" w:firstLineChars="200"/>
      <w:jc w:val="both"/>
    </w:pPr>
    <w:rPr>
      <w:rFonts w:ascii="Times New Roman" w:hAnsi="Times New Roman" w:eastAsia="仿宋_GB2312" w:cs="Times New Roman"/>
      <w:kern w:val="28"/>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432</Words>
  <Characters>2468</Characters>
  <Lines>20</Lines>
  <Paragraphs>5</Paragraphs>
  <TotalTime>49</TotalTime>
  <ScaleCrop>false</ScaleCrop>
  <LinksUpToDate>false</LinksUpToDate>
  <CharactersWithSpaces>2895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2024-01-06T14:45:00Z</dcterms:created>
  <dc:creator>jmf</dc:creator>
  <cp:lastModifiedBy>tony</cp:lastModifiedBy>
  <dcterms:modified xsi:type="dcterms:W3CDTF">2024-03-13T08:52:43Z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D2FF1F29C20E435EB6FDEEF8A59D5F5A_12</vt:lpwstr>
  </property>
</Properties>
</file>