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ackground w:color="FFFFFF"/>
  <w:body>
    <w:p>
      <w:pPr>
        <w:jc w:val="center"/>
        <w:rPr>
          <w:rFonts w:hint="eastAsia"/>
        </w:rPr>
      </w:pPr>
      <w:r>
        <w:rPr>
          <w:b/>
          <w:bCs/>
          <w:sz w:val="44"/>
          <w:szCs w:val="44"/>
        </w:rPr>
        <w:t>不合格报告说明</w:t>
      </w:r>
    </w:p>
    <w:p>
      <w:pPr>
        <w:rPr>
          <w:rFonts w:hint="eastAsia"/>
          <w:sz w:val="28"/>
          <w:szCs w:val="28"/>
        </w:rPr>
      </w:pPr>
      <w:r>
        <w:rPr>
          <w:rFonts w:hint="eastAsia"/>
          <w:sz w:val="28"/>
          <w:szCs w:val="28"/>
        </w:rPr>
        <w:t>检验报告书编号：ZNY240100006</w:t>
      </w:r>
    </w:p>
    <w:tbl>
      <w:tblPr>
        <w:tblStyle w:val="10"/>
        <w:tblW w:w="14283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242"/>
        <w:gridCol w:w="1399"/>
        <w:gridCol w:w="1295"/>
        <w:gridCol w:w="1643"/>
        <w:gridCol w:w="3885"/>
        <w:gridCol w:w="3969"/>
        <w:gridCol w:w="85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77" w:hRule="atLeast"/>
        </w:trPr>
        <w:tc>
          <w:tcPr>
            <w:tcW w:w="1242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</w:rPr>
              <w:t>不合格</w:t>
            </w:r>
          </w:p>
          <w:p>
            <w:pPr>
              <w:spacing w:line="360" w:lineRule="exact"/>
              <w:jc w:val="center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</w:rPr>
              <w:t>项目</w:t>
            </w:r>
          </w:p>
        </w:tc>
        <w:tc>
          <w:tcPr>
            <w:tcW w:w="1399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</w:rPr>
              <w:t>不合格项目所属指标</w:t>
            </w:r>
          </w:p>
        </w:tc>
        <w:tc>
          <w:tcPr>
            <w:tcW w:w="1295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</w:rPr>
              <w:t>检验</w:t>
            </w:r>
          </w:p>
          <w:p>
            <w:pPr>
              <w:spacing w:line="360" w:lineRule="exact"/>
              <w:jc w:val="center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</w:rPr>
              <w:t>结果</w:t>
            </w:r>
          </w:p>
        </w:tc>
        <w:tc>
          <w:tcPr>
            <w:tcW w:w="1643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</w:rPr>
              <w:t>标准值</w:t>
            </w:r>
          </w:p>
          <w:p>
            <w:pPr>
              <w:spacing w:line="360" w:lineRule="exact"/>
              <w:jc w:val="center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</w:rPr>
              <w:t>要求</w:t>
            </w:r>
          </w:p>
        </w:tc>
        <w:tc>
          <w:tcPr>
            <w:tcW w:w="3885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</w:rPr>
              <w:t>不合格原因分析</w:t>
            </w:r>
          </w:p>
        </w:tc>
        <w:tc>
          <w:tcPr>
            <w:tcW w:w="3969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</w:rPr>
              <w:t>可能引起的危害</w:t>
            </w:r>
          </w:p>
        </w:tc>
        <w:tc>
          <w:tcPr>
            <w:tcW w:w="850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</w:rPr>
              <w:t>备注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31" w:hRule="atLeast"/>
        </w:trPr>
        <w:tc>
          <w:tcPr>
            <w:tcW w:w="1242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</w:rPr>
              <w:t>苯醚甲环唑</w:t>
            </w:r>
          </w:p>
        </w:tc>
        <w:tc>
          <w:tcPr>
            <w:tcW w:w="1399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default" w:ascii="宋体" w:hAnsi="宋体" w:eastAsia="宋体" w:cs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cs="宋体"/>
                <w:sz w:val="21"/>
                <w:szCs w:val="21"/>
                <w:lang w:val="en-US" w:eastAsia="zh-CN"/>
              </w:rPr>
              <w:t>农兽药残留</w:t>
            </w:r>
          </w:p>
        </w:tc>
        <w:tc>
          <w:tcPr>
            <w:tcW w:w="1295" w:type="dxa"/>
            <w:noWrap w:val="0"/>
            <w:vAlign w:val="center"/>
          </w:tcPr>
          <w:p>
            <w:pPr>
              <w:spacing w:line="360" w:lineRule="exact"/>
              <w:jc w:val="both"/>
              <w:rPr>
                <w:rFonts w:hint="default" w:ascii="宋体" w:hAnsi="宋体" w:eastAsia="宋体" w:cs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cs="宋体"/>
                <w:sz w:val="21"/>
                <w:szCs w:val="21"/>
                <w:lang w:val="en-US" w:eastAsia="zh-CN"/>
              </w:rPr>
              <w:t>0.24mg/kg</w:t>
            </w:r>
          </w:p>
        </w:tc>
        <w:tc>
          <w:tcPr>
            <w:tcW w:w="1643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default" w:ascii="宋体" w:hAnsi="宋体" w:eastAsia="宋体" w:cs="宋体"/>
                <w:sz w:val="21"/>
                <w:szCs w:val="21"/>
                <w:lang w:val="en-US" w:eastAsia="zh-CN"/>
              </w:rPr>
            </w:pPr>
            <w:r>
              <w:rPr>
                <w:rFonts w:hint="default" w:ascii="宋体" w:hAnsi="宋体" w:eastAsia="宋体" w:cs="宋体"/>
                <w:sz w:val="21"/>
                <w:szCs w:val="21"/>
                <w:lang w:val="en-US" w:eastAsia="zh-CN"/>
              </w:rPr>
              <w:t>≤0.</w:t>
            </w:r>
            <w:r>
              <w:rPr>
                <w:rFonts w:hint="eastAsia" w:ascii="宋体" w:hAnsi="宋体" w:cs="宋体"/>
                <w:sz w:val="21"/>
                <w:szCs w:val="21"/>
                <w:lang w:val="en-US" w:eastAsia="zh-CN"/>
              </w:rPr>
              <w:t>2</w:t>
            </w:r>
            <w:r>
              <w:rPr>
                <w:rFonts w:hint="default" w:ascii="宋体" w:hAnsi="宋体" w:eastAsia="宋体" w:cs="宋体"/>
                <w:sz w:val="21"/>
                <w:szCs w:val="21"/>
                <w:lang w:val="en-US" w:eastAsia="zh-CN"/>
              </w:rPr>
              <w:t>mg/kg</w:t>
            </w:r>
          </w:p>
        </w:tc>
        <w:tc>
          <w:tcPr>
            <w:tcW w:w="3885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cs="宋体"/>
                <w:sz w:val="21"/>
                <w:szCs w:val="21"/>
                <w:lang w:val="en-US" w:eastAsia="zh-CN"/>
              </w:rPr>
              <w:t>（1）</w:t>
            </w:r>
            <w:r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  <w:t>种植者未严格遵守农药安全间隔期相关规定，施药后，为达到快速上市追求利益最大化，提前将产品收获上市，或是在蔬菜采收期间使用农药，导致农药残留超标。（2）农药质量低劣，农药行业制药水平参差不齐，农民使用的农药品质不纯，导致蔬菜出现农药残留超标问题。</w:t>
            </w:r>
          </w:p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 w:color="auto" w:fill="FFFFFF"/>
              <w:kinsoku/>
              <w:wordWrap w:val="0"/>
              <w:overflowPunct/>
              <w:topLinePunct w:val="0"/>
              <w:autoSpaceDE/>
              <w:autoSpaceDN/>
              <w:bidi w:val="0"/>
              <w:spacing w:before="0" w:beforeAutospacing="0" w:after="0" w:afterAutospacing="0" w:line="360" w:lineRule="auto"/>
              <w:ind w:left="0" w:leftChars="0" w:right="0" w:rightChars="0" w:firstLine="0" w:firstLineChars="0"/>
              <w:jc w:val="left"/>
              <w:textAlignment w:val="auto"/>
              <w:rPr>
                <w:rFonts w:hint="eastAsia" w:ascii="宋体" w:hAnsi="宋体" w:eastAsia="宋体" w:cs="宋体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3969" w:type="dxa"/>
            <w:noWrap w:val="0"/>
            <w:vAlign w:val="center"/>
          </w:tcPr>
          <w:p>
            <w:pPr>
              <w:rPr>
                <w:rFonts w:hint="eastAsia" w:ascii="宋体" w:hAnsi="宋体" w:eastAsia="宋体" w:cs="宋体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  <w:t>但长期食用苯醚甲环唑超标的食品，对人体健康也有一定影响</w:t>
            </w:r>
          </w:p>
        </w:tc>
        <w:tc>
          <w:tcPr>
            <w:tcW w:w="850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宋体" w:hAnsi="宋体" w:eastAsia="宋体" w:cs="宋体"/>
                <w:sz w:val="21"/>
                <w:szCs w:val="21"/>
              </w:rPr>
            </w:pPr>
          </w:p>
        </w:tc>
      </w:tr>
    </w:tbl>
    <w:p>
      <w:pPr>
        <w:rPr>
          <w:rFonts w:hint="eastAsia"/>
          <w:sz w:val="28"/>
          <w:szCs w:val="28"/>
        </w:rPr>
      </w:pPr>
    </w:p>
    <w:p>
      <w:pPr>
        <w:rPr>
          <w:rFonts w:hint="eastAsia"/>
          <w:sz w:val="28"/>
          <w:szCs w:val="28"/>
        </w:rPr>
      </w:pPr>
    </w:p>
    <w:p>
      <w:pPr>
        <w:rPr>
          <w:rFonts w:hint="eastAsia"/>
          <w:sz w:val="28"/>
          <w:szCs w:val="28"/>
        </w:rPr>
      </w:pPr>
    </w:p>
    <w:p>
      <w:pPr>
        <w:rPr>
          <w:rFonts w:hint="eastAsia"/>
          <w:sz w:val="28"/>
          <w:szCs w:val="28"/>
        </w:rPr>
      </w:pPr>
    </w:p>
    <w:p>
      <w:pPr>
        <w:rPr>
          <w:rFonts w:hint="eastAsia"/>
          <w:sz w:val="28"/>
          <w:szCs w:val="28"/>
        </w:rPr>
      </w:pPr>
      <w:r>
        <w:rPr>
          <w:rFonts w:hint="eastAsia"/>
          <w:sz w:val="28"/>
          <w:szCs w:val="28"/>
        </w:rPr>
        <w:t>检验报告书编号：ZNY240100015</w:t>
      </w:r>
      <w:bookmarkStart w:id="0" w:name="_GoBack"/>
      <w:bookmarkEnd w:id="0"/>
    </w:p>
    <w:tbl>
      <w:tblPr>
        <w:tblStyle w:val="10"/>
        <w:tblW w:w="14283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242"/>
        <w:gridCol w:w="1399"/>
        <w:gridCol w:w="1295"/>
        <w:gridCol w:w="1643"/>
        <w:gridCol w:w="3885"/>
        <w:gridCol w:w="3969"/>
        <w:gridCol w:w="85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77" w:hRule="atLeast"/>
        </w:trPr>
        <w:tc>
          <w:tcPr>
            <w:tcW w:w="1242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</w:rPr>
              <w:t>不合格</w:t>
            </w:r>
          </w:p>
          <w:p>
            <w:pPr>
              <w:spacing w:line="360" w:lineRule="exact"/>
              <w:jc w:val="center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</w:rPr>
              <w:t>项目</w:t>
            </w:r>
          </w:p>
        </w:tc>
        <w:tc>
          <w:tcPr>
            <w:tcW w:w="1399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</w:rPr>
              <w:t>不合格项目所属指标</w:t>
            </w:r>
          </w:p>
        </w:tc>
        <w:tc>
          <w:tcPr>
            <w:tcW w:w="1295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</w:rPr>
              <w:t>检验</w:t>
            </w:r>
          </w:p>
          <w:p>
            <w:pPr>
              <w:spacing w:line="360" w:lineRule="exact"/>
              <w:jc w:val="center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</w:rPr>
              <w:t>结果</w:t>
            </w:r>
          </w:p>
        </w:tc>
        <w:tc>
          <w:tcPr>
            <w:tcW w:w="1643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</w:rPr>
              <w:t>标准值</w:t>
            </w:r>
          </w:p>
          <w:p>
            <w:pPr>
              <w:spacing w:line="360" w:lineRule="exact"/>
              <w:jc w:val="center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</w:rPr>
              <w:t>要求</w:t>
            </w:r>
          </w:p>
        </w:tc>
        <w:tc>
          <w:tcPr>
            <w:tcW w:w="3885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</w:rPr>
              <w:t>不合格原因分析</w:t>
            </w:r>
          </w:p>
        </w:tc>
        <w:tc>
          <w:tcPr>
            <w:tcW w:w="3969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</w:rPr>
              <w:t>可能引起的危害</w:t>
            </w:r>
          </w:p>
        </w:tc>
        <w:tc>
          <w:tcPr>
            <w:tcW w:w="850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</w:rPr>
              <w:t>备注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828" w:hRule="atLeast"/>
        </w:trPr>
        <w:tc>
          <w:tcPr>
            <w:tcW w:w="1242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</w:rPr>
              <w:t>恩诺沙星</w:t>
            </w:r>
          </w:p>
        </w:tc>
        <w:tc>
          <w:tcPr>
            <w:tcW w:w="1399" w:type="dxa"/>
            <w:noWrap w:val="0"/>
            <w:vAlign w:val="center"/>
          </w:tcPr>
          <w:p>
            <w:pPr>
              <w:spacing w:line="360" w:lineRule="exact"/>
              <w:jc w:val="both"/>
              <w:rPr>
                <w:rFonts w:hint="default" w:ascii="宋体" w:hAnsi="宋体" w:eastAsia="宋体" w:cs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cs="宋体"/>
                <w:sz w:val="21"/>
                <w:szCs w:val="21"/>
                <w:lang w:val="en-US" w:eastAsia="zh-CN"/>
              </w:rPr>
              <w:t>农兽药残留</w:t>
            </w:r>
          </w:p>
        </w:tc>
        <w:tc>
          <w:tcPr>
            <w:tcW w:w="1295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default" w:ascii="宋体" w:hAnsi="宋体" w:eastAsia="宋体" w:cs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cs="宋体"/>
                <w:sz w:val="21"/>
                <w:szCs w:val="21"/>
                <w:lang w:val="en-US" w:eastAsia="zh-CN"/>
              </w:rPr>
              <w:t>419μg/kg</w:t>
            </w:r>
          </w:p>
        </w:tc>
        <w:tc>
          <w:tcPr>
            <w:tcW w:w="1643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default" w:ascii="宋体" w:hAnsi="宋体" w:eastAsia="宋体" w:cs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</w:rPr>
              <w:t>≤</w:t>
            </w:r>
            <w:r>
              <w:rPr>
                <w:rFonts w:hint="eastAsia" w:ascii="宋体" w:hAnsi="宋体" w:cs="宋体"/>
                <w:sz w:val="21"/>
                <w:szCs w:val="21"/>
                <w:lang w:val="en-US" w:eastAsia="zh-CN"/>
              </w:rPr>
              <w:t>100μg/kg</w:t>
            </w:r>
          </w:p>
        </w:tc>
        <w:tc>
          <w:tcPr>
            <w:tcW w:w="388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 w:color="auto" w:fill="FFFFFF"/>
              <w:kinsoku/>
              <w:wordWrap w:val="0"/>
              <w:overflowPunct/>
              <w:topLinePunct w:val="0"/>
              <w:autoSpaceDE/>
              <w:autoSpaceDN/>
              <w:bidi w:val="0"/>
              <w:spacing w:before="0" w:beforeAutospacing="0" w:after="0" w:afterAutospacing="0" w:line="360" w:lineRule="auto"/>
              <w:ind w:right="0"/>
              <w:jc w:val="left"/>
              <w:textAlignment w:val="auto"/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kern w:val="0"/>
                <w:sz w:val="21"/>
                <w:szCs w:val="21"/>
                <w:shd w:val="clear" w:color="auto" w:fill="FFFFFF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kern w:val="0"/>
                <w:sz w:val="21"/>
                <w:szCs w:val="21"/>
                <w:shd w:val="clear" w:color="auto" w:fill="FFFFFF"/>
                <w:lang w:val="en-US" w:eastAsia="zh-CN" w:bidi="ar"/>
              </w:rPr>
              <w:t>造成恩诺沙星超标的原因，可能是养殖户在养殖过程中违规使用相关兽药。</w:t>
            </w:r>
          </w:p>
        </w:tc>
        <w:tc>
          <w:tcPr>
            <w:tcW w:w="396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 w:color="auto" w:fill="FFFFFF"/>
              <w:kinsoku/>
              <w:wordWrap w:val="0"/>
              <w:overflowPunct/>
              <w:topLinePunct w:val="0"/>
              <w:autoSpaceDE/>
              <w:autoSpaceDN/>
              <w:bidi w:val="0"/>
              <w:spacing w:before="0" w:beforeAutospacing="0" w:after="0" w:afterAutospacing="0" w:line="360" w:lineRule="auto"/>
              <w:ind w:left="0" w:right="0" w:firstLine="0"/>
              <w:jc w:val="left"/>
              <w:textAlignment w:val="auto"/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kern w:val="0"/>
                <w:sz w:val="21"/>
                <w:szCs w:val="21"/>
                <w:shd w:val="clear" w:color="auto" w:fill="FFFFFF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kern w:val="0"/>
                <w:sz w:val="21"/>
                <w:szCs w:val="21"/>
                <w:shd w:val="clear" w:color="auto" w:fill="FFFFFF"/>
                <w:lang w:val="en-US" w:eastAsia="zh-CN" w:bidi="ar"/>
              </w:rPr>
              <w:t>摄入恩诺沙星超标的食品，可能引起头晕、头痛、睡眠不良、胃肠道不适等症状，甚至还可能引起肝损害。</w:t>
            </w:r>
          </w:p>
        </w:tc>
        <w:tc>
          <w:tcPr>
            <w:tcW w:w="850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宋体" w:hAnsi="宋体" w:eastAsia="宋体" w:cs="宋体"/>
                <w:sz w:val="21"/>
                <w:szCs w:val="21"/>
              </w:rPr>
            </w:pPr>
          </w:p>
        </w:tc>
      </w:tr>
    </w:tbl>
    <w:p>
      <w:pPr>
        <w:ind w:firstLine="360" w:firstLineChars="150"/>
        <w:rPr>
          <w:rFonts w:hint="eastAsia"/>
          <w:sz w:val="24"/>
        </w:rPr>
      </w:pPr>
    </w:p>
    <w:p>
      <w:pPr>
        <w:pStyle w:val="2"/>
        <w:rPr>
          <w:rFonts w:hint="eastAsia"/>
        </w:rPr>
      </w:pPr>
    </w:p>
    <w:sectPr>
      <w:pgSz w:w="16838" w:h="11906" w:orient="landscape"/>
      <w:pgMar w:top="1800" w:right="1440" w:bottom="1800" w:left="144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AFF" w:usb1="C0007841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doNotValidateAgainstSchema/>
  <w:doNotDemarcateInvalidXml/>
  <w:compat>
    <w:spaceForUL/>
    <w:balanceSingleByteDoubleByteWidth/>
    <w:doNotLeaveBackslashAlon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zQxOTlhZmU1ODM0OWZkZTcxM2MyYTZkNmRjYzdmNTUifQ=="/>
  </w:docVars>
  <w:rsids>
    <w:rsidRoot w:val="00172A27"/>
    <w:rsid w:val="00021E1E"/>
    <w:rsid w:val="0004452C"/>
    <w:rsid w:val="00054D9F"/>
    <w:rsid w:val="00113C00"/>
    <w:rsid w:val="0015253B"/>
    <w:rsid w:val="00172A27"/>
    <w:rsid w:val="001F1D15"/>
    <w:rsid w:val="00213700"/>
    <w:rsid w:val="00277263"/>
    <w:rsid w:val="003419A7"/>
    <w:rsid w:val="003C3CDC"/>
    <w:rsid w:val="003F3B16"/>
    <w:rsid w:val="0048297A"/>
    <w:rsid w:val="006E19FA"/>
    <w:rsid w:val="0080192F"/>
    <w:rsid w:val="00867AF8"/>
    <w:rsid w:val="008A508F"/>
    <w:rsid w:val="009074DA"/>
    <w:rsid w:val="009A3E14"/>
    <w:rsid w:val="00A0105D"/>
    <w:rsid w:val="00A4460A"/>
    <w:rsid w:val="00A63B4A"/>
    <w:rsid w:val="00AD3134"/>
    <w:rsid w:val="00B1689F"/>
    <w:rsid w:val="00B50016"/>
    <w:rsid w:val="00CA74C0"/>
    <w:rsid w:val="00D661E2"/>
    <w:rsid w:val="00D956C6"/>
    <w:rsid w:val="00DC3F25"/>
    <w:rsid w:val="00E15386"/>
    <w:rsid w:val="00E60345"/>
    <w:rsid w:val="00E7600A"/>
    <w:rsid w:val="09B74ED8"/>
    <w:rsid w:val="0AA60A13"/>
    <w:rsid w:val="0AE727C5"/>
    <w:rsid w:val="0DE57F50"/>
    <w:rsid w:val="0FA81EC1"/>
    <w:rsid w:val="100A3338"/>
    <w:rsid w:val="12577104"/>
    <w:rsid w:val="19EA74AD"/>
    <w:rsid w:val="1B023DCB"/>
    <w:rsid w:val="1DA33B45"/>
    <w:rsid w:val="1E0669AA"/>
    <w:rsid w:val="1F69083F"/>
    <w:rsid w:val="22BA5BB9"/>
    <w:rsid w:val="2342076D"/>
    <w:rsid w:val="245D4F6F"/>
    <w:rsid w:val="24641085"/>
    <w:rsid w:val="24F9357D"/>
    <w:rsid w:val="26B8181C"/>
    <w:rsid w:val="299939D8"/>
    <w:rsid w:val="2DAD00C8"/>
    <w:rsid w:val="2F837AFF"/>
    <w:rsid w:val="2F8F4D52"/>
    <w:rsid w:val="32761F02"/>
    <w:rsid w:val="366F23BE"/>
    <w:rsid w:val="39036BAD"/>
    <w:rsid w:val="3A9836A3"/>
    <w:rsid w:val="3C180293"/>
    <w:rsid w:val="3CB22A53"/>
    <w:rsid w:val="41F60DDC"/>
    <w:rsid w:val="44844246"/>
    <w:rsid w:val="4570638C"/>
    <w:rsid w:val="459F6D8B"/>
    <w:rsid w:val="46C83575"/>
    <w:rsid w:val="489C27BC"/>
    <w:rsid w:val="49C01457"/>
    <w:rsid w:val="4B483914"/>
    <w:rsid w:val="4B807E47"/>
    <w:rsid w:val="4CE16790"/>
    <w:rsid w:val="4D6741F0"/>
    <w:rsid w:val="4ED33E01"/>
    <w:rsid w:val="52B777E5"/>
    <w:rsid w:val="55967510"/>
    <w:rsid w:val="55B33C1E"/>
    <w:rsid w:val="56252ADC"/>
    <w:rsid w:val="5AC93EE4"/>
    <w:rsid w:val="5F4C206F"/>
    <w:rsid w:val="63966384"/>
    <w:rsid w:val="63BA7ECA"/>
    <w:rsid w:val="67CB235A"/>
    <w:rsid w:val="68F71D0E"/>
    <w:rsid w:val="6900625C"/>
    <w:rsid w:val="69A579D2"/>
    <w:rsid w:val="6A260536"/>
    <w:rsid w:val="6C240F7A"/>
    <w:rsid w:val="740A4EF9"/>
    <w:rsid w:val="79A1746A"/>
    <w:rsid w:val="7A8A1038"/>
    <w:rsid w:val="7B660DD5"/>
    <w:rsid w:val="7CAA1D3F"/>
    <w:rsid w:val="7DBC330C"/>
    <w:rsid w:val="7E673D41"/>
    <w:rsid w:val="7F0F7867"/>
    <w:rsid w:val="7F6650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qFormat="1" w:unhideWhenUsed="0" w:uiPriority="0" w:semiHidden="0" w:name="Body Text"/>
    <w:lsdException w:qFormat="1"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qFormat="1" w:unhideWhenUsed="0" w:uiPriority="0" w:semiHidden="0" w:name="Body Text First Indent"/>
    <w:lsdException w:qFormat="1"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qFormat="1"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11">
    <w:name w:val="Default Paragraph Font"/>
    <w:semiHidden/>
    <w:unhideWhenUsed/>
    <w:qFormat/>
    <w:uiPriority w:val="1"/>
  </w:style>
  <w:style w:type="table" w:default="1" w:styleId="10">
    <w:name w:val="Normal Table"/>
    <w:semiHidden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First Indent 2"/>
    <w:basedOn w:val="3"/>
    <w:qFormat/>
    <w:uiPriority w:val="0"/>
    <w:pPr>
      <w:ind w:left="0" w:leftChars="0" w:firstLine="420" w:firstLineChars="200"/>
    </w:pPr>
  </w:style>
  <w:style w:type="paragraph" w:styleId="3">
    <w:name w:val="Body Text Indent"/>
    <w:basedOn w:val="1"/>
    <w:next w:val="1"/>
    <w:qFormat/>
    <w:uiPriority w:val="0"/>
    <w:pPr>
      <w:spacing w:after="120"/>
      <w:ind w:left="420" w:leftChars="200"/>
    </w:pPr>
  </w:style>
  <w:style w:type="paragraph" w:styleId="4">
    <w:name w:val="Body Text"/>
    <w:basedOn w:val="1"/>
    <w:qFormat/>
    <w:uiPriority w:val="0"/>
    <w:pPr>
      <w:spacing w:after="120"/>
    </w:pPr>
  </w:style>
  <w:style w:type="paragraph" w:styleId="5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6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</w:pPr>
    <w:rPr>
      <w:sz w:val="18"/>
    </w:rPr>
  </w:style>
  <w:style w:type="paragraph" w:styleId="7">
    <w:name w:val="HTML Preformatted"/>
    <w:basedOn w:val="1"/>
    <w:qFormat/>
    <w:uiPriority w:val="0"/>
    <w:pPr>
      <w:widowControl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jc w:val="left"/>
    </w:pPr>
    <w:rPr>
      <w:rFonts w:ascii="宋体" w:hAnsi="宋体" w:cs="宋体"/>
      <w:kern w:val="0"/>
      <w:sz w:val="24"/>
    </w:rPr>
  </w:style>
  <w:style w:type="paragraph" w:styleId="8">
    <w:name w:val="Normal (Web)"/>
    <w:basedOn w:val="1"/>
    <w:qFormat/>
    <w:uiPriority w:val="0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paragraph" w:styleId="9">
    <w:name w:val="Body Text First Indent"/>
    <w:basedOn w:val="4"/>
    <w:next w:val="2"/>
    <w:qFormat/>
    <w:uiPriority w:val="0"/>
    <w:pPr>
      <w:spacing w:before="260" w:line="415" w:lineRule="auto"/>
      <w:ind w:firstLine="420" w:firstLineChars="100"/>
    </w:pPr>
    <w:rPr>
      <w:rFonts w:ascii="Times New Roman" w:hAnsi="Times New Roman"/>
      <w:szCs w:val="24"/>
    </w:rPr>
  </w:style>
  <w:style w:type="character" w:customStyle="1" w:styleId="12">
    <w:name w:val="font41"/>
    <w:basedOn w:val="11"/>
    <w:qFormat/>
    <w:uiPriority w:val="0"/>
    <w:rPr>
      <w:rFonts w:hint="eastAsia" w:ascii="宋体" w:hAnsi="宋体" w:eastAsia="宋体" w:cs="宋体"/>
      <w:color w:val="000000"/>
      <w:sz w:val="20"/>
      <w:szCs w:val="20"/>
      <w:u w:val="none"/>
    </w:rPr>
  </w:style>
  <w:style w:type="character" w:customStyle="1" w:styleId="13">
    <w:name w:val="font31"/>
    <w:basedOn w:val="11"/>
    <w:qFormat/>
    <w:uiPriority w:val="0"/>
    <w:rPr>
      <w:rFonts w:hint="default" w:ascii="Times New Roman" w:hAnsi="Times New Roman" w:cs="Times New Roman"/>
      <w:color w:val="000000"/>
      <w:sz w:val="20"/>
      <w:szCs w:val="20"/>
      <w:u w:val="none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Microsoft</Company>
  <Pages>10</Pages>
  <Words>2859</Words>
  <Characters>3318</Characters>
  <Lines>21</Lines>
  <Paragraphs>6</Paragraphs>
  <TotalTime>0</TotalTime>
  <ScaleCrop>false</ScaleCrop>
  <LinksUpToDate>false</LinksUpToDate>
  <CharactersWithSpaces>3427</CharactersWithSpaces>
  <Application>WPS Office_11.8.2.8506_F1E327BC-269C-435d-A152-05C5408002CA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2020-08-17T02:47:00Z</dcterms:created>
  <dc:creator>微软用户</dc:creator>
  <cp:lastModifiedBy>陈始明</cp:lastModifiedBy>
  <cp:lastPrinted>2017-06-02T00:38:00Z</cp:lastPrinted>
  <dcterms:modified xsi:type="dcterms:W3CDTF">2024-02-27T09:07:19Z</dcterms:modified>
  <dc:title>不合格报告说明</dc:title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2052-11.8.2.8506</vt:lpwstr>
  </property>
  <property fmtid="{D5CDD505-2E9C-101B-9397-08002B2CF9AE}" pid="3" name="ICV">
    <vt:lpwstr>9997E7389A8946ADBE3FBC06E5443612</vt:lpwstr>
  </property>
</Properties>
</file>