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both"/>
        <w:rPr>
          <w:b/>
          <w:bCs/>
          <w:sz w:val="44"/>
          <w:szCs w:val="44"/>
        </w:rPr>
      </w:pPr>
      <w:bookmarkStart w:id="0" w:name="_GoBack"/>
      <w:bookmarkEnd w:id="0"/>
    </w:p>
    <w:p>
      <w:pPr>
        <w:jc w:val="center"/>
        <w:rPr>
          <w:b/>
          <w:bCs/>
          <w:sz w:val="44"/>
          <w:szCs w:val="44"/>
        </w:rPr>
      </w:pPr>
    </w:p>
    <w:p>
      <w:pPr>
        <w:jc w:val="center"/>
        <w:rPr>
          <w:b/>
          <w:bCs/>
          <w:sz w:val="44"/>
          <w:szCs w:val="44"/>
        </w:rPr>
      </w:pPr>
      <w:r>
        <w:rPr>
          <w:b/>
          <w:bCs/>
          <w:sz w:val="44"/>
          <w:szCs w:val="44"/>
        </w:rPr>
        <w:t>不合格报告说明</w:t>
      </w:r>
    </w:p>
    <w:p>
      <w:pPr>
        <w:rPr>
          <w:rFonts w:hint="eastAsia"/>
          <w:sz w:val="24"/>
        </w:rPr>
      </w:pPr>
      <w:r>
        <w:rPr>
          <w:rFonts w:hint="eastAsia"/>
          <w:sz w:val="24"/>
        </w:rPr>
        <w:t>检验报告书编号：JQT23FC06676</w:t>
      </w:r>
      <w:r>
        <w:rPr>
          <w:rFonts w:hint="eastAsia"/>
          <w:sz w:val="24"/>
        </w:rPr>
        <w:tab/>
      </w:r>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418"/>
        <w:gridCol w:w="1842"/>
        <w:gridCol w:w="1843"/>
        <w:gridCol w:w="3260"/>
        <w:gridCol w:w="3321"/>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1384" w:type="dxa"/>
            <w:vAlign w:val="center"/>
          </w:tcPr>
          <w:p>
            <w:pPr>
              <w:spacing w:line="360" w:lineRule="exact"/>
              <w:jc w:val="center"/>
              <w:rPr>
                <w:sz w:val="24"/>
              </w:rPr>
            </w:pPr>
            <w:r>
              <w:rPr>
                <w:rFonts w:hint="eastAsia"/>
                <w:sz w:val="24"/>
              </w:rPr>
              <w:t>不合格</w:t>
            </w:r>
          </w:p>
          <w:p>
            <w:pPr>
              <w:spacing w:line="360" w:lineRule="exact"/>
              <w:jc w:val="center"/>
              <w:rPr>
                <w:sz w:val="24"/>
              </w:rPr>
            </w:pPr>
            <w:r>
              <w:rPr>
                <w:rFonts w:hint="eastAsia"/>
                <w:sz w:val="24"/>
              </w:rPr>
              <w:t>项目</w:t>
            </w:r>
          </w:p>
        </w:tc>
        <w:tc>
          <w:tcPr>
            <w:tcW w:w="1418" w:type="dxa"/>
            <w:vAlign w:val="center"/>
          </w:tcPr>
          <w:p>
            <w:pPr>
              <w:spacing w:line="360" w:lineRule="exact"/>
              <w:jc w:val="center"/>
              <w:rPr>
                <w:sz w:val="24"/>
              </w:rPr>
            </w:pPr>
            <w:r>
              <w:rPr>
                <w:rFonts w:hint="eastAsia"/>
                <w:sz w:val="24"/>
              </w:rPr>
              <w:t>不合格项目所属</w:t>
            </w:r>
          </w:p>
          <w:p>
            <w:pPr>
              <w:spacing w:line="360" w:lineRule="exact"/>
              <w:jc w:val="center"/>
              <w:rPr>
                <w:sz w:val="24"/>
              </w:rPr>
            </w:pPr>
            <w:r>
              <w:rPr>
                <w:rFonts w:hint="eastAsia"/>
                <w:sz w:val="24"/>
              </w:rPr>
              <w:t>指标</w:t>
            </w:r>
          </w:p>
        </w:tc>
        <w:tc>
          <w:tcPr>
            <w:tcW w:w="1842" w:type="dxa"/>
            <w:vAlign w:val="center"/>
          </w:tcPr>
          <w:p>
            <w:pPr>
              <w:spacing w:line="360" w:lineRule="exact"/>
              <w:jc w:val="center"/>
              <w:rPr>
                <w:sz w:val="24"/>
              </w:rPr>
            </w:pPr>
            <w:r>
              <w:rPr>
                <w:rFonts w:hint="eastAsia"/>
                <w:sz w:val="24"/>
              </w:rPr>
              <w:t>检验</w:t>
            </w:r>
          </w:p>
          <w:p>
            <w:pPr>
              <w:spacing w:line="360" w:lineRule="exact"/>
              <w:jc w:val="center"/>
              <w:rPr>
                <w:sz w:val="24"/>
              </w:rPr>
            </w:pPr>
            <w:r>
              <w:rPr>
                <w:rFonts w:hint="eastAsia"/>
                <w:sz w:val="24"/>
              </w:rPr>
              <w:t>结果</w:t>
            </w:r>
          </w:p>
        </w:tc>
        <w:tc>
          <w:tcPr>
            <w:tcW w:w="1843" w:type="dxa"/>
            <w:vAlign w:val="center"/>
          </w:tcPr>
          <w:p>
            <w:pPr>
              <w:spacing w:line="360" w:lineRule="exact"/>
              <w:jc w:val="center"/>
              <w:rPr>
                <w:sz w:val="24"/>
              </w:rPr>
            </w:pPr>
            <w:r>
              <w:rPr>
                <w:rFonts w:hint="eastAsia"/>
                <w:sz w:val="24"/>
              </w:rPr>
              <w:t>标准值</w:t>
            </w:r>
          </w:p>
          <w:p>
            <w:pPr>
              <w:spacing w:line="360" w:lineRule="exact"/>
              <w:jc w:val="center"/>
              <w:rPr>
                <w:sz w:val="24"/>
              </w:rPr>
            </w:pPr>
            <w:r>
              <w:rPr>
                <w:rFonts w:hint="eastAsia"/>
                <w:sz w:val="24"/>
              </w:rPr>
              <w:t>要求</w:t>
            </w:r>
          </w:p>
        </w:tc>
        <w:tc>
          <w:tcPr>
            <w:tcW w:w="3260" w:type="dxa"/>
            <w:vAlign w:val="center"/>
          </w:tcPr>
          <w:p>
            <w:pPr>
              <w:jc w:val="center"/>
              <w:rPr>
                <w:sz w:val="24"/>
              </w:rPr>
            </w:pPr>
            <w:r>
              <w:rPr>
                <w:rFonts w:hint="eastAsia"/>
                <w:sz w:val="24"/>
              </w:rPr>
              <w:t>不合格原因分析</w:t>
            </w:r>
          </w:p>
        </w:tc>
        <w:tc>
          <w:tcPr>
            <w:tcW w:w="3321" w:type="dxa"/>
            <w:vAlign w:val="center"/>
          </w:tcPr>
          <w:p>
            <w:pPr>
              <w:jc w:val="center"/>
              <w:rPr>
                <w:sz w:val="24"/>
              </w:rPr>
            </w:pPr>
            <w:r>
              <w:rPr>
                <w:rFonts w:hint="eastAsia"/>
                <w:sz w:val="24"/>
              </w:rPr>
              <w:t>可能引起的危害</w:t>
            </w:r>
          </w:p>
        </w:tc>
        <w:tc>
          <w:tcPr>
            <w:tcW w:w="1106" w:type="dxa"/>
            <w:vAlign w:val="center"/>
          </w:tcPr>
          <w:p>
            <w:pPr>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3" w:hRule="atLeast"/>
        </w:trPr>
        <w:tc>
          <w:tcPr>
            <w:tcW w:w="1384" w:type="dxa"/>
            <w:vAlign w:val="center"/>
          </w:tcPr>
          <w:p>
            <w:pPr>
              <w:jc w:val="center"/>
              <w:rPr>
                <w:szCs w:val="21"/>
              </w:rPr>
            </w:pPr>
            <w:r>
              <w:rPr>
                <w:rFonts w:hint="eastAsia"/>
                <w:szCs w:val="21"/>
              </w:rPr>
              <w:t>毒死蜱</w:t>
            </w:r>
          </w:p>
        </w:tc>
        <w:tc>
          <w:tcPr>
            <w:tcW w:w="1418" w:type="dxa"/>
            <w:vAlign w:val="center"/>
          </w:tcPr>
          <w:p>
            <w:pPr>
              <w:jc w:val="center"/>
              <w:rPr>
                <w:rFonts w:hint="eastAsia"/>
                <w:szCs w:val="21"/>
                <w:lang w:val="en-US" w:eastAsia="zh-CN"/>
              </w:rPr>
            </w:pPr>
            <w:r>
              <w:rPr>
                <w:rFonts w:hint="eastAsia"/>
                <w:szCs w:val="21"/>
                <w:lang w:val="en-US" w:eastAsia="zh-CN"/>
              </w:rPr>
              <w:t>农药残留</w:t>
            </w:r>
          </w:p>
        </w:tc>
        <w:tc>
          <w:tcPr>
            <w:tcW w:w="1842" w:type="dxa"/>
            <w:vAlign w:val="center"/>
          </w:tcPr>
          <w:p>
            <w:pPr>
              <w:jc w:val="center"/>
              <w:rPr>
                <w:rFonts w:hint="eastAsia"/>
                <w:szCs w:val="21"/>
                <w:lang w:val="en-US" w:eastAsia="zh-CN"/>
              </w:rPr>
            </w:pPr>
            <w:r>
              <w:rPr>
                <w:rFonts w:hint="eastAsia"/>
                <w:szCs w:val="21"/>
                <w:lang w:val="en-US" w:eastAsia="zh-CN"/>
              </w:rPr>
              <w:t>0.040mg/kg</w:t>
            </w:r>
          </w:p>
        </w:tc>
        <w:tc>
          <w:tcPr>
            <w:tcW w:w="1843" w:type="dxa"/>
            <w:vAlign w:val="center"/>
          </w:tcPr>
          <w:p>
            <w:pPr>
              <w:jc w:val="center"/>
              <w:rPr>
                <w:rFonts w:hint="eastAsia"/>
                <w:szCs w:val="21"/>
                <w:lang w:val="en-US" w:eastAsia="zh-CN"/>
              </w:rPr>
            </w:pPr>
            <w:r>
              <w:rPr>
                <w:rFonts w:hint="eastAsia"/>
                <w:szCs w:val="21"/>
                <w:lang w:val="en-US" w:eastAsia="zh-CN"/>
              </w:rPr>
              <w:t>≤0.02mg/kg</w:t>
            </w:r>
          </w:p>
        </w:tc>
        <w:tc>
          <w:tcPr>
            <w:tcW w:w="3260" w:type="dxa"/>
            <w:vAlign w:val="center"/>
          </w:tcPr>
          <w:p>
            <w:pPr>
              <w:keepNext w:val="0"/>
              <w:keepLines w:val="0"/>
              <w:pageBreakBefore w:val="0"/>
              <w:widowControl w:val="0"/>
              <w:kinsoku/>
              <w:wordWrap/>
              <w:overflowPunct/>
              <w:topLinePunct w:val="0"/>
              <w:autoSpaceDE/>
              <w:autoSpaceDN/>
              <w:bidi w:val="0"/>
              <w:adjustRightInd/>
              <w:snapToGrid/>
              <w:ind w:firstLine="420" w:firstLineChars="200"/>
              <w:jc w:val="center"/>
              <w:textAlignment w:val="auto"/>
              <w:rPr>
                <w:rFonts w:hint="eastAsia"/>
                <w:szCs w:val="21"/>
                <w:lang w:eastAsia="zh-CN"/>
              </w:rPr>
            </w:pPr>
            <w:r>
              <w:rPr>
                <w:rFonts w:hint="eastAsia"/>
                <w:szCs w:val="21"/>
                <w:lang w:eastAsia="zh-CN"/>
              </w:rPr>
              <w:t>蔬菜检出“毒死蜱”残留超标，可能是农户违法使用或土壤污染导致，还可能是蔬菜生长期间农药使用剂量未严格控制或在停用杀虫剂后短期内马上采收上市等原因。</w:t>
            </w:r>
          </w:p>
        </w:tc>
        <w:tc>
          <w:tcPr>
            <w:tcW w:w="3321" w:type="dxa"/>
            <w:vAlign w:val="center"/>
          </w:tcPr>
          <w:p>
            <w:pPr>
              <w:keepNext w:val="0"/>
              <w:keepLines w:val="0"/>
              <w:pageBreakBefore w:val="0"/>
              <w:widowControl w:val="0"/>
              <w:kinsoku/>
              <w:wordWrap/>
              <w:overflowPunct/>
              <w:topLinePunct w:val="0"/>
              <w:autoSpaceDE/>
              <w:autoSpaceDN/>
              <w:bidi w:val="0"/>
              <w:adjustRightInd/>
              <w:snapToGrid/>
              <w:ind w:firstLine="420" w:firstLineChars="200"/>
              <w:jc w:val="center"/>
              <w:textAlignment w:val="auto"/>
              <w:rPr>
                <w:rFonts w:hint="eastAsia"/>
                <w:szCs w:val="21"/>
                <w:lang w:eastAsia="zh-CN"/>
              </w:rPr>
            </w:pPr>
            <w:r>
              <w:rPr>
                <w:rFonts w:hint="eastAsia"/>
                <w:szCs w:val="21"/>
                <w:lang w:eastAsia="zh-CN"/>
              </w:rPr>
              <w:t>长期暴露在含有毒死蜱的环境中，可能会导致神经毒性、生殖毒性，影响胚胎的生长发育。是粮食、果树、蔬菜等作物的理想杀虫剂。毒死蜱的毒性取决于暴露计量，急性中毒会对呼吸系统、心血管和肠道、肝脏造成破坏，慢性中毒则会出现认知功能障碍、对语言和视觉功能造成危害。毒死蜱中毒会对儿童造成诸如：多动症、学习障碍及大脑、眼睛等器官缺陷。</w:t>
            </w:r>
          </w:p>
        </w:tc>
        <w:tc>
          <w:tcPr>
            <w:tcW w:w="1106" w:type="dxa"/>
            <w:vAlign w:val="center"/>
          </w:tcPr>
          <w:p>
            <w:pPr>
              <w:jc w:val="center"/>
              <w:rPr>
                <w:szCs w:val="21"/>
              </w:rPr>
            </w:pPr>
            <w:r>
              <w:rPr>
                <w:rFonts w:hint="eastAsia"/>
                <w:szCs w:val="21"/>
              </w:rPr>
              <w:t>食用农产品（</w:t>
            </w:r>
            <w:r>
              <w:rPr>
                <w:rFonts w:hint="eastAsia"/>
                <w:szCs w:val="21"/>
                <w:lang w:val="en-US" w:eastAsia="zh-CN"/>
              </w:rPr>
              <w:t>茄子</w:t>
            </w:r>
            <w:r>
              <w:rPr>
                <w:rFonts w:hint="eastAsia"/>
                <w:szCs w:val="21"/>
              </w:rPr>
              <w:t>）</w:t>
            </w:r>
          </w:p>
        </w:tc>
      </w:tr>
    </w:tbl>
    <w:p>
      <w:pPr>
        <w:jc w:val="both"/>
        <w:rPr>
          <w:b/>
          <w:bCs/>
          <w:sz w:val="44"/>
          <w:szCs w:val="44"/>
        </w:rPr>
      </w:pPr>
    </w:p>
    <w:p>
      <w:pPr>
        <w:jc w:val="center"/>
        <w:rPr>
          <w:b/>
          <w:bCs/>
          <w:sz w:val="44"/>
          <w:szCs w:val="44"/>
        </w:rPr>
      </w:pPr>
    </w:p>
    <w:p>
      <w:pPr>
        <w:jc w:val="center"/>
        <w:rPr>
          <w:b/>
          <w:bCs/>
          <w:sz w:val="44"/>
          <w:szCs w:val="44"/>
        </w:rPr>
      </w:pPr>
    </w:p>
    <w:p>
      <w:pPr>
        <w:jc w:val="center"/>
        <w:rPr>
          <w:b/>
          <w:bCs/>
          <w:sz w:val="44"/>
          <w:szCs w:val="44"/>
        </w:rPr>
      </w:pPr>
    </w:p>
    <w:p>
      <w:pPr>
        <w:rPr>
          <w:rFonts w:hint="eastAsia"/>
          <w:sz w:val="24"/>
        </w:rPr>
      </w:pPr>
      <w:r>
        <w:rPr>
          <w:rFonts w:hint="eastAsia"/>
          <w:sz w:val="24"/>
        </w:rPr>
        <w:t>检验报告书编号：JQT23FC07144</w:t>
      </w:r>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418"/>
        <w:gridCol w:w="1842"/>
        <w:gridCol w:w="1843"/>
        <w:gridCol w:w="3260"/>
        <w:gridCol w:w="3321"/>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1384" w:type="dxa"/>
            <w:vAlign w:val="center"/>
          </w:tcPr>
          <w:p>
            <w:pPr>
              <w:spacing w:line="360" w:lineRule="exact"/>
              <w:jc w:val="center"/>
              <w:rPr>
                <w:sz w:val="24"/>
              </w:rPr>
            </w:pPr>
            <w:r>
              <w:rPr>
                <w:rFonts w:hint="eastAsia"/>
                <w:sz w:val="24"/>
              </w:rPr>
              <w:t>不合格</w:t>
            </w:r>
          </w:p>
          <w:p>
            <w:pPr>
              <w:spacing w:line="360" w:lineRule="exact"/>
              <w:jc w:val="center"/>
              <w:rPr>
                <w:sz w:val="24"/>
              </w:rPr>
            </w:pPr>
            <w:r>
              <w:rPr>
                <w:rFonts w:hint="eastAsia"/>
                <w:sz w:val="24"/>
              </w:rPr>
              <w:t>项目</w:t>
            </w:r>
          </w:p>
        </w:tc>
        <w:tc>
          <w:tcPr>
            <w:tcW w:w="1418" w:type="dxa"/>
            <w:vAlign w:val="center"/>
          </w:tcPr>
          <w:p>
            <w:pPr>
              <w:spacing w:line="360" w:lineRule="exact"/>
              <w:jc w:val="center"/>
              <w:rPr>
                <w:sz w:val="24"/>
              </w:rPr>
            </w:pPr>
            <w:r>
              <w:rPr>
                <w:rFonts w:hint="eastAsia"/>
                <w:sz w:val="24"/>
              </w:rPr>
              <w:t>不合格项目所属</w:t>
            </w:r>
          </w:p>
          <w:p>
            <w:pPr>
              <w:spacing w:line="360" w:lineRule="exact"/>
              <w:jc w:val="center"/>
              <w:rPr>
                <w:sz w:val="24"/>
              </w:rPr>
            </w:pPr>
            <w:r>
              <w:rPr>
                <w:rFonts w:hint="eastAsia"/>
                <w:sz w:val="24"/>
              </w:rPr>
              <w:t>指标</w:t>
            </w:r>
          </w:p>
        </w:tc>
        <w:tc>
          <w:tcPr>
            <w:tcW w:w="1842" w:type="dxa"/>
            <w:vAlign w:val="center"/>
          </w:tcPr>
          <w:p>
            <w:pPr>
              <w:spacing w:line="360" w:lineRule="exact"/>
              <w:jc w:val="center"/>
              <w:rPr>
                <w:sz w:val="24"/>
              </w:rPr>
            </w:pPr>
            <w:r>
              <w:rPr>
                <w:rFonts w:hint="eastAsia"/>
                <w:sz w:val="24"/>
              </w:rPr>
              <w:t>检验</w:t>
            </w:r>
          </w:p>
          <w:p>
            <w:pPr>
              <w:spacing w:line="360" w:lineRule="exact"/>
              <w:jc w:val="center"/>
              <w:rPr>
                <w:sz w:val="24"/>
              </w:rPr>
            </w:pPr>
            <w:r>
              <w:rPr>
                <w:rFonts w:hint="eastAsia"/>
                <w:sz w:val="24"/>
              </w:rPr>
              <w:t>结果</w:t>
            </w:r>
          </w:p>
        </w:tc>
        <w:tc>
          <w:tcPr>
            <w:tcW w:w="1843" w:type="dxa"/>
            <w:vAlign w:val="center"/>
          </w:tcPr>
          <w:p>
            <w:pPr>
              <w:spacing w:line="360" w:lineRule="exact"/>
              <w:jc w:val="center"/>
              <w:rPr>
                <w:sz w:val="24"/>
              </w:rPr>
            </w:pPr>
            <w:r>
              <w:rPr>
                <w:rFonts w:hint="eastAsia"/>
                <w:sz w:val="24"/>
              </w:rPr>
              <w:t>标准值</w:t>
            </w:r>
          </w:p>
          <w:p>
            <w:pPr>
              <w:spacing w:line="360" w:lineRule="exact"/>
              <w:jc w:val="center"/>
              <w:rPr>
                <w:sz w:val="24"/>
              </w:rPr>
            </w:pPr>
            <w:r>
              <w:rPr>
                <w:rFonts w:hint="eastAsia"/>
                <w:sz w:val="24"/>
              </w:rPr>
              <w:t>要求</w:t>
            </w:r>
          </w:p>
        </w:tc>
        <w:tc>
          <w:tcPr>
            <w:tcW w:w="3260" w:type="dxa"/>
            <w:vAlign w:val="center"/>
          </w:tcPr>
          <w:p>
            <w:pPr>
              <w:jc w:val="center"/>
              <w:rPr>
                <w:sz w:val="24"/>
              </w:rPr>
            </w:pPr>
            <w:r>
              <w:rPr>
                <w:rFonts w:hint="eastAsia"/>
                <w:sz w:val="24"/>
              </w:rPr>
              <w:t>不合格原因分析</w:t>
            </w:r>
          </w:p>
        </w:tc>
        <w:tc>
          <w:tcPr>
            <w:tcW w:w="3321" w:type="dxa"/>
            <w:vAlign w:val="center"/>
          </w:tcPr>
          <w:p>
            <w:pPr>
              <w:jc w:val="center"/>
              <w:rPr>
                <w:sz w:val="24"/>
              </w:rPr>
            </w:pPr>
            <w:r>
              <w:rPr>
                <w:rFonts w:hint="eastAsia"/>
                <w:sz w:val="24"/>
              </w:rPr>
              <w:t>可能引起的危害</w:t>
            </w:r>
          </w:p>
        </w:tc>
        <w:tc>
          <w:tcPr>
            <w:tcW w:w="1106" w:type="dxa"/>
            <w:vAlign w:val="center"/>
          </w:tcPr>
          <w:p>
            <w:pPr>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3" w:hRule="atLeast"/>
        </w:trPr>
        <w:tc>
          <w:tcPr>
            <w:tcW w:w="1384" w:type="dxa"/>
            <w:vAlign w:val="center"/>
          </w:tcPr>
          <w:p>
            <w:pPr>
              <w:jc w:val="center"/>
              <w:rPr>
                <w:rFonts w:hint="eastAsia"/>
                <w:szCs w:val="21"/>
              </w:rPr>
            </w:pPr>
            <w:r>
              <w:rPr>
                <w:rFonts w:hint="eastAsia"/>
                <w:szCs w:val="21"/>
              </w:rPr>
              <w:t>糖精钠（以糖精计）</w:t>
            </w:r>
          </w:p>
        </w:tc>
        <w:tc>
          <w:tcPr>
            <w:tcW w:w="1418" w:type="dxa"/>
            <w:vAlign w:val="center"/>
          </w:tcPr>
          <w:p>
            <w:pPr>
              <w:jc w:val="center"/>
              <w:rPr>
                <w:rFonts w:hint="eastAsia"/>
                <w:szCs w:val="21"/>
              </w:rPr>
            </w:pPr>
            <w:r>
              <w:rPr>
                <w:rFonts w:hint="eastAsia"/>
                <w:szCs w:val="21"/>
                <w:lang w:val="en-US" w:eastAsia="zh-CN"/>
              </w:rPr>
              <w:t>食品添加剂</w:t>
            </w:r>
          </w:p>
        </w:tc>
        <w:tc>
          <w:tcPr>
            <w:tcW w:w="1842" w:type="dxa"/>
            <w:vAlign w:val="center"/>
          </w:tcPr>
          <w:p>
            <w:pPr>
              <w:jc w:val="center"/>
              <w:rPr>
                <w:rFonts w:hint="eastAsia"/>
                <w:szCs w:val="21"/>
              </w:rPr>
            </w:pPr>
            <w:r>
              <w:rPr>
                <w:rFonts w:hint="eastAsia"/>
                <w:szCs w:val="21"/>
                <w:lang w:val="en-US" w:eastAsia="zh-CN"/>
              </w:rPr>
              <w:t>0.0306g/kg</w:t>
            </w:r>
          </w:p>
        </w:tc>
        <w:tc>
          <w:tcPr>
            <w:tcW w:w="1843" w:type="dxa"/>
            <w:vAlign w:val="center"/>
          </w:tcPr>
          <w:p>
            <w:pPr>
              <w:jc w:val="center"/>
              <w:rPr>
                <w:rFonts w:hint="eastAsia"/>
                <w:szCs w:val="21"/>
              </w:rPr>
            </w:pPr>
            <w:r>
              <w:rPr>
                <w:rFonts w:hint="eastAsia"/>
                <w:szCs w:val="21"/>
                <w:lang w:val="en-US" w:eastAsia="zh-CN"/>
              </w:rPr>
              <w:t>不得使用</w:t>
            </w:r>
          </w:p>
        </w:tc>
        <w:tc>
          <w:tcPr>
            <w:tcW w:w="3260" w:type="dxa"/>
            <w:vAlign w:val="center"/>
          </w:tcPr>
          <w:p>
            <w:pPr>
              <w:keepNext w:val="0"/>
              <w:keepLines w:val="0"/>
              <w:pageBreakBefore w:val="0"/>
              <w:widowControl w:val="0"/>
              <w:kinsoku/>
              <w:wordWrap/>
              <w:overflowPunct/>
              <w:topLinePunct w:val="0"/>
              <w:autoSpaceDE/>
              <w:autoSpaceDN/>
              <w:bidi w:val="0"/>
              <w:adjustRightInd/>
              <w:snapToGrid/>
              <w:ind w:firstLine="420" w:firstLineChars="200"/>
              <w:jc w:val="center"/>
              <w:textAlignment w:val="auto"/>
              <w:rPr>
                <w:rFonts w:hint="eastAsia"/>
                <w:szCs w:val="21"/>
                <w:lang w:eastAsia="zh-CN"/>
              </w:rPr>
            </w:pPr>
            <w:r>
              <w:rPr>
                <w:rFonts w:hint="eastAsia"/>
                <w:szCs w:val="21"/>
                <w:lang w:eastAsia="zh-CN"/>
              </w:rPr>
              <w:t>水果中检出糖精钠（以糖精计）的原因，可能是生产企业违规添加以改善口感，为增加产品甜度而非法使用甜味剂。</w:t>
            </w:r>
          </w:p>
        </w:tc>
        <w:tc>
          <w:tcPr>
            <w:tcW w:w="3321" w:type="dxa"/>
            <w:vAlign w:val="center"/>
          </w:tcPr>
          <w:p>
            <w:pPr>
              <w:keepNext w:val="0"/>
              <w:keepLines w:val="0"/>
              <w:pageBreakBefore w:val="0"/>
              <w:widowControl w:val="0"/>
              <w:kinsoku/>
              <w:wordWrap/>
              <w:overflowPunct/>
              <w:topLinePunct w:val="0"/>
              <w:autoSpaceDE/>
              <w:autoSpaceDN/>
              <w:bidi w:val="0"/>
              <w:adjustRightInd/>
              <w:snapToGrid/>
              <w:ind w:firstLine="420" w:firstLineChars="200"/>
              <w:jc w:val="center"/>
              <w:textAlignment w:val="auto"/>
              <w:rPr>
                <w:rFonts w:hint="eastAsia"/>
                <w:szCs w:val="21"/>
                <w:lang w:eastAsia="zh-CN"/>
              </w:rPr>
            </w:pPr>
            <w:r>
              <w:rPr>
                <w:rFonts w:hint="eastAsia"/>
                <w:szCs w:val="21"/>
                <w:lang w:eastAsia="zh-CN"/>
              </w:rPr>
              <w:t>糖精钠是普遍使用的人工合成甜味剂，在人体内不被吸收，不产生热量，大部分经肾排出而不损害肾功能。但如果长期摄入糖精钠超标的食品，可能会影响肠胃消化酶的正常分泌，降低小肠的吸收能力，使食欲减退。</w:t>
            </w:r>
          </w:p>
        </w:tc>
        <w:tc>
          <w:tcPr>
            <w:tcW w:w="1106" w:type="dxa"/>
            <w:vAlign w:val="center"/>
          </w:tcPr>
          <w:p>
            <w:pPr>
              <w:jc w:val="center"/>
              <w:rPr>
                <w:szCs w:val="21"/>
              </w:rPr>
            </w:pPr>
            <w:r>
              <w:rPr>
                <w:rFonts w:hint="eastAsia"/>
                <w:szCs w:val="21"/>
              </w:rPr>
              <w:t>食用农产品（</w:t>
            </w:r>
            <w:r>
              <w:rPr>
                <w:rFonts w:hint="eastAsia"/>
                <w:szCs w:val="21"/>
                <w:lang w:val="en-US" w:eastAsia="zh-CN"/>
              </w:rPr>
              <w:t>杨梅）</w:t>
            </w:r>
          </w:p>
        </w:tc>
      </w:tr>
    </w:tbl>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widowControl/>
        <w:jc w:val="left"/>
      </w:pPr>
      <w:r>
        <w:rPr>
          <w:rFonts w:hint="eastAsia"/>
          <w:sz w:val="28"/>
          <w:szCs w:val="28"/>
        </w:rPr>
        <w:t>检验报告书编号：SBJ23445300596152797</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3"/>
        <w:gridCol w:w="1645"/>
        <w:gridCol w:w="936"/>
        <w:gridCol w:w="1818"/>
        <w:gridCol w:w="4287"/>
        <w:gridCol w:w="3394"/>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1353" w:type="dxa"/>
            <w:noWrap w:val="0"/>
            <w:vAlign w:val="center"/>
          </w:tcPr>
          <w:p>
            <w:pPr>
              <w:spacing w:line="360" w:lineRule="exact"/>
              <w:jc w:val="center"/>
              <w:rPr>
                <w:rFonts w:hint="eastAsia"/>
                <w:szCs w:val="21"/>
              </w:rPr>
            </w:pPr>
            <w:r>
              <w:rPr>
                <w:rFonts w:hint="eastAsia"/>
                <w:szCs w:val="21"/>
              </w:rPr>
              <w:t>不合格</w:t>
            </w:r>
          </w:p>
          <w:p>
            <w:pPr>
              <w:spacing w:line="360" w:lineRule="exact"/>
              <w:jc w:val="center"/>
              <w:rPr>
                <w:rFonts w:hint="eastAsia"/>
                <w:szCs w:val="21"/>
              </w:rPr>
            </w:pPr>
            <w:r>
              <w:rPr>
                <w:rFonts w:hint="eastAsia"/>
                <w:szCs w:val="21"/>
              </w:rPr>
              <w:t>项目</w:t>
            </w:r>
          </w:p>
        </w:tc>
        <w:tc>
          <w:tcPr>
            <w:tcW w:w="1645" w:type="dxa"/>
            <w:noWrap w:val="0"/>
            <w:vAlign w:val="center"/>
          </w:tcPr>
          <w:p>
            <w:pPr>
              <w:spacing w:line="360" w:lineRule="exact"/>
              <w:jc w:val="center"/>
              <w:rPr>
                <w:rFonts w:hint="eastAsia"/>
                <w:szCs w:val="21"/>
              </w:rPr>
            </w:pPr>
            <w:r>
              <w:rPr>
                <w:rFonts w:hint="eastAsia"/>
                <w:szCs w:val="21"/>
              </w:rPr>
              <w:t>不合格项目所属指标</w:t>
            </w:r>
          </w:p>
        </w:tc>
        <w:tc>
          <w:tcPr>
            <w:tcW w:w="936" w:type="dxa"/>
            <w:noWrap w:val="0"/>
            <w:vAlign w:val="center"/>
          </w:tcPr>
          <w:p>
            <w:pPr>
              <w:spacing w:line="360" w:lineRule="exact"/>
              <w:jc w:val="center"/>
              <w:rPr>
                <w:rFonts w:hint="eastAsia"/>
                <w:szCs w:val="21"/>
              </w:rPr>
            </w:pPr>
            <w:r>
              <w:rPr>
                <w:rFonts w:hint="eastAsia"/>
                <w:szCs w:val="21"/>
              </w:rPr>
              <w:t>检验</w:t>
            </w:r>
          </w:p>
          <w:p>
            <w:pPr>
              <w:spacing w:line="360" w:lineRule="exact"/>
              <w:jc w:val="center"/>
              <w:rPr>
                <w:rFonts w:hint="eastAsia"/>
                <w:szCs w:val="21"/>
              </w:rPr>
            </w:pPr>
            <w:r>
              <w:rPr>
                <w:rFonts w:hint="eastAsia"/>
                <w:szCs w:val="21"/>
              </w:rPr>
              <w:t>结果</w:t>
            </w:r>
          </w:p>
        </w:tc>
        <w:tc>
          <w:tcPr>
            <w:tcW w:w="1818" w:type="dxa"/>
            <w:noWrap w:val="0"/>
            <w:vAlign w:val="center"/>
          </w:tcPr>
          <w:p>
            <w:pPr>
              <w:spacing w:line="360" w:lineRule="exact"/>
              <w:jc w:val="center"/>
              <w:rPr>
                <w:rFonts w:hint="eastAsia"/>
                <w:szCs w:val="21"/>
              </w:rPr>
            </w:pPr>
            <w:r>
              <w:rPr>
                <w:rFonts w:hint="eastAsia"/>
                <w:szCs w:val="21"/>
              </w:rPr>
              <w:t>标准值</w:t>
            </w:r>
          </w:p>
          <w:p>
            <w:pPr>
              <w:spacing w:line="360" w:lineRule="exact"/>
              <w:jc w:val="center"/>
              <w:rPr>
                <w:rFonts w:hint="eastAsia"/>
                <w:szCs w:val="21"/>
              </w:rPr>
            </w:pPr>
            <w:r>
              <w:rPr>
                <w:rFonts w:hint="eastAsia"/>
                <w:szCs w:val="21"/>
              </w:rPr>
              <w:t>要求</w:t>
            </w:r>
          </w:p>
        </w:tc>
        <w:tc>
          <w:tcPr>
            <w:tcW w:w="4287" w:type="dxa"/>
            <w:noWrap w:val="0"/>
            <w:vAlign w:val="center"/>
          </w:tcPr>
          <w:p>
            <w:pPr>
              <w:jc w:val="center"/>
              <w:rPr>
                <w:rFonts w:hint="eastAsia"/>
                <w:szCs w:val="21"/>
              </w:rPr>
            </w:pPr>
            <w:r>
              <w:rPr>
                <w:rFonts w:hint="eastAsia"/>
                <w:szCs w:val="21"/>
              </w:rPr>
              <w:t>不合格原因分析</w:t>
            </w:r>
          </w:p>
        </w:tc>
        <w:tc>
          <w:tcPr>
            <w:tcW w:w="3394" w:type="dxa"/>
            <w:noWrap w:val="0"/>
            <w:vAlign w:val="center"/>
          </w:tcPr>
          <w:p>
            <w:pPr>
              <w:jc w:val="center"/>
              <w:rPr>
                <w:rFonts w:hint="eastAsia"/>
                <w:szCs w:val="21"/>
              </w:rPr>
            </w:pPr>
            <w:r>
              <w:rPr>
                <w:rFonts w:hint="eastAsia"/>
                <w:szCs w:val="21"/>
              </w:rPr>
              <w:t>可能引起的危害</w:t>
            </w:r>
          </w:p>
        </w:tc>
        <w:tc>
          <w:tcPr>
            <w:tcW w:w="850" w:type="dxa"/>
            <w:noWrap w:val="0"/>
            <w:vAlign w:val="center"/>
          </w:tcPr>
          <w:p>
            <w:pPr>
              <w:jc w:val="center"/>
              <w:rPr>
                <w:rFonts w:hint="eastAsia"/>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trPr>
        <w:tc>
          <w:tcPr>
            <w:tcW w:w="1353" w:type="dxa"/>
            <w:noWrap w:val="0"/>
            <w:vAlign w:val="center"/>
          </w:tcPr>
          <w:p>
            <w:pPr>
              <w:widowControl/>
              <w:ind w:firstLine="210" w:firstLineChars="100"/>
              <w:jc w:val="center"/>
              <w:rPr>
                <w:rFonts w:hint="eastAsia" w:ascii="宋体" w:hAnsi="宋体"/>
                <w:szCs w:val="21"/>
              </w:rPr>
            </w:pPr>
            <w:r>
              <w:rPr>
                <w:rFonts w:hint="eastAsia" w:ascii="宋体" w:hAnsi="宋体"/>
                <w:szCs w:val="21"/>
              </w:rPr>
              <w:t>菌落总数</w:t>
            </w:r>
          </w:p>
        </w:tc>
        <w:tc>
          <w:tcPr>
            <w:tcW w:w="1645" w:type="dxa"/>
            <w:noWrap w:val="0"/>
            <w:vAlign w:val="center"/>
          </w:tcPr>
          <w:p>
            <w:pPr>
              <w:widowControl/>
              <w:ind w:firstLine="210" w:firstLineChars="100"/>
              <w:jc w:val="center"/>
              <w:rPr>
                <w:rFonts w:hint="eastAsia" w:ascii="宋体" w:hAnsi="宋体"/>
                <w:szCs w:val="21"/>
              </w:rPr>
            </w:pPr>
            <w:r>
              <w:rPr>
                <w:rFonts w:hint="eastAsia" w:ascii="宋体" w:hAnsi="宋体"/>
                <w:szCs w:val="21"/>
              </w:rPr>
              <w:t>其他微生物</w:t>
            </w:r>
          </w:p>
        </w:tc>
        <w:tc>
          <w:tcPr>
            <w:tcW w:w="936" w:type="dxa"/>
            <w:noWrap w:val="0"/>
            <w:vAlign w:val="center"/>
          </w:tcPr>
          <w:p>
            <w:pPr>
              <w:widowControl/>
              <w:ind w:firstLine="210" w:firstLineChars="100"/>
              <w:jc w:val="center"/>
              <w:rPr>
                <w:rFonts w:hint="eastAsia" w:ascii="宋体" w:hAnsi="宋体"/>
                <w:szCs w:val="21"/>
              </w:rPr>
            </w:pPr>
            <w:r>
              <w:rPr>
                <w:rFonts w:hint="eastAsia"/>
              </w:rPr>
              <w:t>3.7×10⁵，3.4×10⁵，4.8×10⁵，2.6×10⁴，4.2×10⁵</w:t>
            </w:r>
          </w:p>
        </w:tc>
        <w:tc>
          <w:tcPr>
            <w:tcW w:w="1818" w:type="dxa"/>
            <w:noWrap w:val="0"/>
            <w:vAlign w:val="center"/>
          </w:tcPr>
          <w:p>
            <w:pPr>
              <w:widowControl/>
              <w:ind w:firstLine="210" w:firstLineChars="100"/>
              <w:jc w:val="center"/>
              <w:rPr>
                <w:rFonts w:hint="eastAsia" w:ascii="宋体" w:hAnsi="宋体"/>
                <w:szCs w:val="21"/>
              </w:rPr>
            </w:pPr>
            <w:r>
              <w:rPr>
                <w:rFonts w:hint="eastAsia" w:ascii="宋体" w:hAnsi="宋体"/>
                <w:szCs w:val="21"/>
              </w:rPr>
              <w:t>n=5</w:t>
            </w:r>
          </w:p>
          <w:p>
            <w:pPr>
              <w:widowControl/>
              <w:ind w:firstLine="210" w:firstLineChars="100"/>
              <w:jc w:val="center"/>
              <w:rPr>
                <w:rFonts w:hint="eastAsia" w:ascii="宋体" w:hAnsi="宋体"/>
                <w:szCs w:val="21"/>
              </w:rPr>
            </w:pPr>
            <w:r>
              <w:rPr>
                <w:rFonts w:hint="eastAsia" w:ascii="宋体" w:hAnsi="宋体"/>
                <w:szCs w:val="21"/>
              </w:rPr>
              <w:t>c=2</w:t>
            </w:r>
          </w:p>
          <w:p>
            <w:pPr>
              <w:widowControl/>
              <w:ind w:firstLine="210" w:firstLineChars="100"/>
              <w:jc w:val="center"/>
              <w:rPr>
                <w:rFonts w:hint="eastAsia" w:ascii="宋体" w:hAnsi="宋体"/>
                <w:szCs w:val="21"/>
              </w:rPr>
            </w:pPr>
            <w:r>
              <w:rPr>
                <w:rFonts w:hint="eastAsia" w:ascii="宋体" w:hAnsi="宋体"/>
                <w:szCs w:val="21"/>
              </w:rPr>
              <w:t>m=3×10⁴</w:t>
            </w:r>
          </w:p>
          <w:p>
            <w:pPr>
              <w:widowControl/>
              <w:ind w:firstLine="210" w:firstLineChars="100"/>
              <w:jc w:val="center"/>
              <w:rPr>
                <w:rFonts w:hint="eastAsia" w:ascii="宋体" w:hAnsi="宋体"/>
                <w:szCs w:val="21"/>
              </w:rPr>
            </w:pPr>
            <w:r>
              <w:rPr>
                <w:rFonts w:hint="eastAsia" w:ascii="宋体" w:hAnsi="宋体"/>
                <w:szCs w:val="21"/>
              </w:rPr>
              <w:t>M=10⁵</w:t>
            </w:r>
          </w:p>
        </w:tc>
        <w:tc>
          <w:tcPr>
            <w:tcW w:w="4287" w:type="dxa"/>
            <w:noWrap w:val="0"/>
            <w:vAlign w:val="center"/>
          </w:tcPr>
          <w:p>
            <w:pPr>
              <w:widowControl/>
              <w:ind w:firstLine="210" w:firstLineChars="100"/>
              <w:jc w:val="center"/>
              <w:rPr>
                <w:rFonts w:hint="eastAsia" w:ascii="宋体" w:hAnsi="宋体"/>
                <w:szCs w:val="21"/>
                <w:lang w:val="en-US" w:eastAsia="zh-CN"/>
              </w:rPr>
            </w:pPr>
          </w:p>
          <w:p>
            <w:pPr>
              <w:widowControl/>
              <w:ind w:firstLine="210" w:firstLineChars="100"/>
              <w:jc w:val="center"/>
              <w:rPr>
                <w:rFonts w:hint="eastAsia" w:ascii="宋体" w:hAnsi="宋体"/>
                <w:szCs w:val="21"/>
                <w:lang w:val="en-US" w:eastAsia="zh-CN"/>
              </w:rPr>
            </w:pPr>
            <w:r>
              <w:rPr>
                <w:rFonts w:hint="eastAsia" w:ascii="宋体" w:hAnsi="宋体"/>
                <w:szCs w:val="21"/>
                <w:lang w:val="en-US" w:eastAsia="zh-CN"/>
              </w:rPr>
              <w:t>菌落总数是指示性微生物指标，不是致病菌指标，反映食品在生产过程中的卫生状况。食品中菌落总数超标的原因，可能是企业未按照要求严格控制生产加工过程的卫生条件，也可能与产品包装密封不严或储运条件不当等有关。</w:t>
            </w:r>
          </w:p>
          <w:p>
            <w:pPr>
              <w:widowControl/>
              <w:ind w:firstLine="210" w:firstLineChars="100"/>
              <w:jc w:val="center"/>
              <w:rPr>
                <w:rFonts w:hint="eastAsia" w:ascii="宋体" w:hAnsi="宋体"/>
                <w:szCs w:val="21"/>
              </w:rPr>
            </w:pPr>
          </w:p>
        </w:tc>
        <w:tc>
          <w:tcPr>
            <w:tcW w:w="3394" w:type="dxa"/>
            <w:noWrap w:val="0"/>
            <w:vAlign w:val="center"/>
          </w:tcPr>
          <w:p>
            <w:pPr>
              <w:widowControl/>
              <w:ind w:firstLine="210" w:firstLineChars="100"/>
              <w:jc w:val="center"/>
              <w:rPr>
                <w:rFonts w:hint="eastAsia" w:ascii="宋体" w:hAnsi="宋体"/>
                <w:szCs w:val="21"/>
                <w:lang w:val="en-US" w:eastAsia="zh-CN"/>
              </w:rPr>
            </w:pPr>
            <w:r>
              <w:rPr>
                <w:rFonts w:hint="eastAsia" w:ascii="宋体" w:hAnsi="宋体"/>
                <w:szCs w:val="21"/>
                <w:lang w:val="en-US" w:eastAsia="zh-CN"/>
              </w:rPr>
              <w:t>如果食品的菌落总数严重超标，将会破坏食品的营养成分，使食品失去食用价值；还会加速食品腐败变质，可能危害人体健康。</w:t>
            </w:r>
          </w:p>
          <w:p>
            <w:pPr>
              <w:widowControl/>
              <w:ind w:firstLine="210" w:firstLineChars="100"/>
              <w:jc w:val="center"/>
              <w:rPr>
                <w:rFonts w:hint="eastAsia" w:ascii="宋体" w:hAnsi="宋体"/>
                <w:szCs w:val="21"/>
              </w:rPr>
            </w:pPr>
          </w:p>
        </w:tc>
        <w:tc>
          <w:tcPr>
            <w:tcW w:w="850" w:type="dxa"/>
            <w:noWrap w:val="0"/>
            <w:vAlign w:val="center"/>
          </w:tcPr>
          <w:p>
            <w:pPr>
              <w:widowControl/>
              <w:ind w:firstLine="210" w:firstLineChars="100"/>
              <w:jc w:val="center"/>
              <w:rPr>
                <w:rFonts w:hint="eastAsia" w:ascii="宋体" w:hAnsi="宋体"/>
                <w:szCs w:val="21"/>
              </w:rPr>
            </w:pPr>
            <w:r>
              <w:rPr>
                <w:rFonts w:hint="eastAsia" w:ascii="宋体" w:hAnsi="宋体"/>
                <w:szCs w:val="21"/>
              </w:rPr>
              <w:t>菌落总数</w:t>
            </w:r>
          </w:p>
        </w:tc>
      </w:tr>
    </w:tbl>
    <w:p>
      <w:pPr>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rPr>
          <w:rFonts w:hint="default" w:eastAsia="宋体"/>
          <w:sz w:val="24"/>
          <w:lang w:val="en-US" w:eastAsia="zh-CN"/>
        </w:rPr>
      </w:pPr>
      <w:r>
        <w:rPr>
          <w:rFonts w:hint="eastAsia"/>
          <w:sz w:val="24"/>
        </w:rPr>
        <w:t>检验报告书编号：SP202</w:t>
      </w:r>
      <w:r>
        <w:rPr>
          <w:rFonts w:hint="eastAsia"/>
          <w:sz w:val="24"/>
          <w:lang w:val="en-US" w:eastAsia="zh-CN"/>
        </w:rPr>
        <w:t>30558</w:t>
      </w:r>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301"/>
        <w:gridCol w:w="2487"/>
        <w:gridCol w:w="1315"/>
        <w:gridCol w:w="3260"/>
        <w:gridCol w:w="3321"/>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sz w:val="24"/>
              </w:rPr>
            </w:pPr>
            <w:r>
              <w:rPr>
                <w:rFonts w:hint="eastAsia"/>
                <w:sz w:val="24"/>
              </w:rPr>
              <w:t>不合格</w:t>
            </w:r>
          </w:p>
          <w:p>
            <w:pPr>
              <w:spacing w:line="360" w:lineRule="exact"/>
              <w:jc w:val="center"/>
              <w:rPr>
                <w:sz w:val="24"/>
              </w:rPr>
            </w:pPr>
            <w:r>
              <w:rPr>
                <w:rFonts w:hint="eastAsia"/>
                <w:sz w:val="24"/>
              </w:rPr>
              <w:t>项目</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sz w:val="24"/>
              </w:rPr>
            </w:pPr>
            <w:r>
              <w:rPr>
                <w:rFonts w:hint="eastAsia"/>
                <w:sz w:val="24"/>
              </w:rPr>
              <w:t>不合格项目所属</w:t>
            </w:r>
          </w:p>
          <w:p>
            <w:pPr>
              <w:spacing w:line="360" w:lineRule="exact"/>
              <w:jc w:val="center"/>
              <w:rPr>
                <w:sz w:val="24"/>
              </w:rPr>
            </w:pPr>
            <w:r>
              <w:rPr>
                <w:rFonts w:hint="eastAsia"/>
                <w:sz w:val="24"/>
              </w:rPr>
              <w:t>指标</w:t>
            </w:r>
          </w:p>
        </w:tc>
        <w:tc>
          <w:tcPr>
            <w:tcW w:w="248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sz w:val="24"/>
              </w:rPr>
            </w:pPr>
            <w:r>
              <w:rPr>
                <w:rFonts w:hint="eastAsia"/>
                <w:sz w:val="24"/>
              </w:rPr>
              <w:t>检验</w:t>
            </w:r>
          </w:p>
          <w:p>
            <w:pPr>
              <w:spacing w:line="360" w:lineRule="exact"/>
              <w:jc w:val="center"/>
              <w:rPr>
                <w:sz w:val="24"/>
              </w:rPr>
            </w:pPr>
            <w:r>
              <w:rPr>
                <w:rFonts w:hint="eastAsia"/>
                <w:sz w:val="24"/>
              </w:rPr>
              <w:t>结果</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sz w:val="24"/>
              </w:rPr>
            </w:pPr>
            <w:r>
              <w:rPr>
                <w:rFonts w:hint="eastAsia"/>
                <w:sz w:val="24"/>
              </w:rPr>
              <w:t>标准值</w:t>
            </w:r>
          </w:p>
          <w:p>
            <w:pPr>
              <w:spacing w:line="360" w:lineRule="exact"/>
              <w:jc w:val="center"/>
              <w:rPr>
                <w:sz w:val="24"/>
              </w:rPr>
            </w:pPr>
            <w:r>
              <w:rPr>
                <w:rFonts w:hint="eastAsia"/>
                <w:sz w:val="24"/>
              </w:rPr>
              <w:t>要求</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不合格原因分析</w:t>
            </w:r>
          </w:p>
        </w:tc>
        <w:tc>
          <w:tcPr>
            <w:tcW w:w="3321"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可能引起的危害</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6"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r>
              <w:rPr>
                <w:rFonts w:hint="eastAsia" w:cs="宋体"/>
                <w:sz w:val="24"/>
              </w:rPr>
              <w:t>阴离子合成洗涤剂（以十二烷基苯磺酸钠计）</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sz w:val="24"/>
                <w:lang w:eastAsia="zh-CN"/>
              </w:rPr>
            </w:pPr>
            <w:r>
              <w:rPr>
                <w:rFonts w:hint="eastAsia"/>
                <w:sz w:val="24"/>
                <w:lang w:eastAsia="zh-CN"/>
              </w:rPr>
              <w:t>其他有毒有害物质</w:t>
            </w:r>
          </w:p>
        </w:tc>
        <w:tc>
          <w:tcPr>
            <w:tcW w:w="248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color w:val="000000"/>
                <w:sz w:val="24"/>
              </w:rPr>
            </w:pPr>
            <w:r>
              <w:rPr>
                <w:rFonts w:hint="eastAsia"/>
                <w:sz w:val="28"/>
              </w:rPr>
              <w:t>0.0</w:t>
            </w:r>
            <w:r>
              <w:rPr>
                <w:rFonts w:hint="eastAsia"/>
                <w:sz w:val="28"/>
                <w:lang w:val="en-US" w:eastAsia="zh-CN"/>
              </w:rPr>
              <w:t>922</w:t>
            </w:r>
            <w:r>
              <w:rPr>
                <w:rFonts w:hint="eastAsia"/>
                <w:sz w:val="28"/>
              </w:rPr>
              <w:t>mg/100cm</w:t>
            </w:r>
            <w:r>
              <w:rPr>
                <w:rFonts w:hint="eastAsia"/>
                <w:sz w:val="28"/>
                <w:vertAlign w:val="superscript"/>
              </w:rPr>
              <w:t>2</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sz w:val="28"/>
                <w:szCs w:val="28"/>
              </w:rPr>
            </w:pPr>
            <w:r>
              <w:rPr>
                <w:rFonts w:hint="eastAsia"/>
                <w:sz w:val="28"/>
              </w:rPr>
              <w:t>不得检出</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olor w:val="000000"/>
                <w:szCs w:val="21"/>
                <w:shd w:val="clear" w:color="auto" w:fill="FFFFFF"/>
                <w:lang w:val="en-US" w:eastAsia="zh-CN"/>
              </w:rPr>
            </w:pPr>
            <w:r>
              <w:rPr>
                <w:rFonts w:hint="eastAsia" w:ascii="Verdana" w:hAnsi="Verdana" w:eastAsia="宋体" w:cs="Verdana"/>
                <w:i w:val="0"/>
                <w:iCs w:val="0"/>
                <w:caps w:val="0"/>
                <w:color w:val="333333"/>
                <w:spacing w:val="0"/>
                <w:sz w:val="24"/>
                <w:szCs w:val="24"/>
                <w:shd w:val="clear" w:color="auto" w:fill="FFFFFF"/>
                <w:lang w:val="en-US" w:eastAsia="zh-CN"/>
              </w:rPr>
              <w:t>1、</w:t>
            </w:r>
            <w:r>
              <w:rPr>
                <w:rFonts w:ascii="Verdana" w:hAnsi="Verdana" w:eastAsia="宋体" w:cs="Verdana"/>
                <w:i w:val="0"/>
                <w:iCs w:val="0"/>
                <w:caps w:val="0"/>
                <w:color w:val="333333"/>
                <w:spacing w:val="0"/>
                <w:sz w:val="24"/>
                <w:szCs w:val="24"/>
                <w:shd w:val="clear" w:color="auto" w:fill="FFFFFF"/>
              </w:rPr>
              <w:t>清洗餐具所用洗涤剂、消毒剂不合格。</w:t>
            </w:r>
            <w:r>
              <w:rPr>
                <w:rFonts w:hint="eastAsia" w:ascii="宋体" w:hAnsi="宋体" w:eastAsia="宋体" w:cs="宋体"/>
                <w:i w:val="0"/>
                <w:iCs w:val="0"/>
                <w:caps w:val="0"/>
                <w:color w:val="333333"/>
                <w:spacing w:val="0"/>
                <w:sz w:val="24"/>
                <w:szCs w:val="24"/>
                <w:shd w:val="clear" w:color="auto" w:fill="FFFFFF"/>
              </w:rPr>
              <w:t>如果用于清洗餐具的洗涤剂、消毒剂不符合标准，这样不仅清洗不干净餐具反而会造成二次污染。</w:t>
            </w:r>
            <w:r>
              <w:rPr>
                <w:rFonts w:hint="eastAsia" w:ascii="宋体" w:hAnsi="宋体" w:eastAsia="宋体" w:cs="宋体"/>
                <w:i w:val="0"/>
                <w:iCs w:val="0"/>
                <w:caps w:val="0"/>
                <w:color w:val="333333"/>
                <w:spacing w:val="0"/>
                <w:sz w:val="24"/>
                <w:szCs w:val="24"/>
                <w:shd w:val="clear" w:color="auto" w:fill="FFFFFF"/>
                <w:lang w:val="en-US" w:eastAsia="zh-CN"/>
              </w:rPr>
              <w:t>2、</w:t>
            </w:r>
            <w:r>
              <w:rPr>
                <w:rFonts w:hint="eastAsia" w:ascii="宋体" w:hAnsi="宋体" w:eastAsia="宋体" w:cs="宋体"/>
                <w:i w:val="0"/>
                <w:iCs w:val="0"/>
                <w:caps w:val="0"/>
                <w:color w:val="333333"/>
                <w:spacing w:val="0"/>
                <w:sz w:val="24"/>
                <w:szCs w:val="24"/>
                <w:shd w:val="clear" w:color="auto" w:fill="FFFFFF"/>
              </w:rPr>
              <w:t>洗涤剂或消毒剂未彻底冲洗干净。</w:t>
            </w:r>
            <w:r>
              <w:rPr>
                <w:rFonts w:hint="eastAsia" w:ascii="宋体" w:hAnsi="宋体" w:eastAsia="宋体" w:cs="宋体"/>
                <w:i w:val="0"/>
                <w:iCs w:val="0"/>
                <w:caps w:val="0"/>
                <w:color w:val="333333"/>
                <w:spacing w:val="0"/>
                <w:sz w:val="24"/>
                <w:szCs w:val="24"/>
                <w:shd w:val="clear" w:color="auto" w:fill="FFFFFF"/>
                <w:lang w:val="en-US" w:eastAsia="zh-CN"/>
              </w:rPr>
              <w:t>3、</w:t>
            </w:r>
            <w:r>
              <w:rPr>
                <w:rFonts w:hint="eastAsia" w:ascii="宋体" w:hAnsi="宋体" w:eastAsia="宋体" w:cs="宋体"/>
                <w:i w:val="0"/>
                <w:iCs w:val="0"/>
                <w:caps w:val="0"/>
                <w:color w:val="333333"/>
                <w:spacing w:val="0"/>
                <w:sz w:val="24"/>
                <w:szCs w:val="24"/>
                <w:shd w:val="clear" w:color="auto" w:fill="FFFFFF"/>
              </w:rPr>
              <w:t>餐具数量过多，洗涤剂、消毒剂浸泡餐具重复使用，造成交叉污染，使得阴离子洗涤剂残留在餐具中。</w:t>
            </w:r>
          </w:p>
        </w:tc>
        <w:tc>
          <w:tcPr>
            <w:tcW w:w="33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微软雅黑" w:hAnsi="微软雅黑" w:eastAsia="微软雅黑" w:cs="微软雅黑"/>
                <w:i w:val="0"/>
                <w:iCs w:val="0"/>
                <w:caps w:val="0"/>
                <w:color w:val="333333"/>
                <w:spacing w:val="0"/>
                <w:sz w:val="24"/>
                <w:szCs w:val="24"/>
                <w:shd w:val="clear" w:color="auto" w:fill="FFFFFF"/>
              </w:rPr>
            </w:pPr>
            <w:r>
              <w:rPr>
                <w:rFonts w:ascii="Arial" w:hAnsi="Arial" w:eastAsia="宋体" w:cs="Arial"/>
                <w:i w:val="0"/>
                <w:iCs w:val="0"/>
                <w:caps w:val="0"/>
                <w:color w:val="333333"/>
                <w:spacing w:val="0"/>
                <w:sz w:val="21"/>
                <w:szCs w:val="21"/>
                <w:shd w:val="clear" w:color="auto" w:fill="FFFFFF"/>
              </w:rPr>
              <w:t>慢性毒性</w:t>
            </w:r>
            <w:r>
              <w:rPr>
                <w:rFonts w:hint="eastAsia" w:ascii="Arial" w:hAnsi="Arial" w:eastAsia="宋体" w:cs="Arial"/>
                <w:i w:val="0"/>
                <w:iCs w:val="0"/>
                <w:caps w:val="0"/>
                <w:color w:val="333333"/>
                <w:spacing w:val="0"/>
                <w:sz w:val="21"/>
                <w:szCs w:val="21"/>
                <w:shd w:val="clear" w:color="auto" w:fill="FFFFFF"/>
                <w:lang w:eastAsia="zh-CN"/>
              </w:rPr>
              <w:t>：</w:t>
            </w:r>
            <w:r>
              <w:rPr>
                <w:rFonts w:ascii="Arial" w:hAnsi="Arial" w:eastAsia="宋体" w:cs="Arial"/>
                <w:i w:val="0"/>
                <w:iCs w:val="0"/>
                <w:caps w:val="0"/>
                <w:color w:val="333333"/>
                <w:spacing w:val="0"/>
                <w:sz w:val="21"/>
                <w:szCs w:val="21"/>
                <w:shd w:val="clear" w:color="auto" w:fill="FFFFFF"/>
              </w:rPr>
              <w:t>阴离子洗涤剂有持久作用，动物摄入后表现为血液中胆固醇增高</w:t>
            </w:r>
            <w:r>
              <w:rPr>
                <w:rFonts w:hint="eastAsia" w:ascii="Arial" w:hAnsi="Arial" w:eastAsia="宋体" w:cs="Arial"/>
                <w:i w:val="0"/>
                <w:iCs w:val="0"/>
                <w:caps w:val="0"/>
                <w:color w:val="333333"/>
                <w:spacing w:val="0"/>
                <w:sz w:val="21"/>
                <w:szCs w:val="21"/>
                <w:shd w:val="clear" w:color="auto" w:fill="FFFFFF"/>
                <w:lang w:eastAsia="zh-CN"/>
              </w:rPr>
              <w:t>；</w:t>
            </w:r>
            <w:r>
              <w:rPr>
                <w:rFonts w:ascii="Arial" w:hAnsi="Arial" w:eastAsia="宋体" w:cs="Arial"/>
                <w:i w:val="0"/>
                <w:iCs w:val="0"/>
                <w:caps w:val="0"/>
                <w:color w:val="333333"/>
                <w:spacing w:val="0"/>
                <w:sz w:val="21"/>
                <w:szCs w:val="21"/>
                <w:shd w:val="clear" w:color="auto" w:fill="FFFFFF"/>
              </w:rPr>
              <w:t>对人体皮肤也有损害</w:t>
            </w:r>
            <w:r>
              <w:rPr>
                <w:rFonts w:hint="eastAsia" w:ascii="Arial" w:hAnsi="Arial" w:eastAsia="宋体" w:cs="Arial"/>
                <w:i w:val="0"/>
                <w:iCs w:val="0"/>
                <w:caps w:val="0"/>
                <w:color w:val="333333"/>
                <w:spacing w:val="0"/>
                <w:sz w:val="21"/>
                <w:szCs w:val="21"/>
                <w:shd w:val="clear" w:color="auto" w:fill="FFFFFF"/>
                <w:lang w:eastAsia="zh-CN"/>
              </w:rPr>
              <w:t>；</w:t>
            </w:r>
            <w:r>
              <w:rPr>
                <w:rFonts w:ascii="Arial" w:hAnsi="Arial" w:eastAsia="宋体" w:cs="Arial"/>
                <w:i w:val="0"/>
                <w:iCs w:val="0"/>
                <w:caps w:val="0"/>
                <w:color w:val="333333"/>
                <w:spacing w:val="0"/>
                <w:sz w:val="21"/>
                <w:szCs w:val="21"/>
                <w:shd w:val="clear" w:color="auto" w:fill="FFFFFF"/>
              </w:rPr>
              <w:t>对肝脏的损伤作用也是存在的。</w:t>
            </w:r>
          </w:p>
          <w:p>
            <w:pPr>
              <w:spacing w:line="400" w:lineRule="exact"/>
              <w:rPr>
                <w:rFonts w:hint="eastAsia" w:ascii="微软雅黑" w:hAnsi="微软雅黑" w:eastAsia="微软雅黑" w:cs="微软雅黑"/>
                <w:i w:val="0"/>
                <w:iCs w:val="0"/>
                <w:caps w:val="0"/>
                <w:color w:val="333333"/>
                <w:spacing w:val="0"/>
                <w:sz w:val="24"/>
                <w:szCs w:val="24"/>
                <w:shd w:val="clear" w:color="auto" w:fill="FFFFFF"/>
              </w:rPr>
            </w:pPr>
          </w:p>
        </w:tc>
        <w:tc>
          <w:tcPr>
            <w:tcW w:w="1106"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w:t>
            </w:r>
          </w:p>
        </w:tc>
      </w:tr>
    </w:tbl>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rPr>
          <w:rFonts w:hint="default" w:eastAsia="宋体"/>
          <w:sz w:val="24"/>
          <w:lang w:val="en-US" w:eastAsia="zh-CN"/>
        </w:rPr>
      </w:pPr>
      <w:r>
        <w:rPr>
          <w:rFonts w:hint="eastAsia"/>
          <w:sz w:val="24"/>
        </w:rPr>
        <w:t>检验报告书编号：SP202</w:t>
      </w:r>
      <w:r>
        <w:rPr>
          <w:rFonts w:hint="eastAsia"/>
          <w:sz w:val="24"/>
          <w:lang w:val="en-US" w:eastAsia="zh-CN"/>
        </w:rPr>
        <w:t>30559</w:t>
      </w:r>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301"/>
        <w:gridCol w:w="2487"/>
        <w:gridCol w:w="1315"/>
        <w:gridCol w:w="3260"/>
        <w:gridCol w:w="3321"/>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sz w:val="24"/>
              </w:rPr>
            </w:pPr>
            <w:r>
              <w:rPr>
                <w:rFonts w:hint="eastAsia"/>
                <w:sz w:val="24"/>
              </w:rPr>
              <w:t>不合格</w:t>
            </w:r>
          </w:p>
          <w:p>
            <w:pPr>
              <w:spacing w:line="360" w:lineRule="exact"/>
              <w:jc w:val="center"/>
              <w:rPr>
                <w:sz w:val="24"/>
              </w:rPr>
            </w:pPr>
            <w:r>
              <w:rPr>
                <w:rFonts w:hint="eastAsia"/>
                <w:sz w:val="24"/>
              </w:rPr>
              <w:t>项目</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sz w:val="24"/>
              </w:rPr>
            </w:pPr>
            <w:r>
              <w:rPr>
                <w:rFonts w:hint="eastAsia"/>
                <w:sz w:val="24"/>
              </w:rPr>
              <w:t>不合格项目所属</w:t>
            </w:r>
          </w:p>
          <w:p>
            <w:pPr>
              <w:spacing w:line="360" w:lineRule="exact"/>
              <w:jc w:val="center"/>
              <w:rPr>
                <w:sz w:val="24"/>
              </w:rPr>
            </w:pPr>
            <w:r>
              <w:rPr>
                <w:rFonts w:hint="eastAsia"/>
                <w:sz w:val="24"/>
              </w:rPr>
              <w:t>指标</w:t>
            </w:r>
          </w:p>
        </w:tc>
        <w:tc>
          <w:tcPr>
            <w:tcW w:w="248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sz w:val="24"/>
              </w:rPr>
            </w:pPr>
            <w:r>
              <w:rPr>
                <w:rFonts w:hint="eastAsia"/>
                <w:sz w:val="24"/>
              </w:rPr>
              <w:t>检验</w:t>
            </w:r>
          </w:p>
          <w:p>
            <w:pPr>
              <w:spacing w:line="360" w:lineRule="exact"/>
              <w:jc w:val="center"/>
              <w:rPr>
                <w:sz w:val="24"/>
              </w:rPr>
            </w:pPr>
            <w:r>
              <w:rPr>
                <w:rFonts w:hint="eastAsia"/>
                <w:sz w:val="24"/>
              </w:rPr>
              <w:t>结果</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sz w:val="24"/>
              </w:rPr>
            </w:pPr>
            <w:r>
              <w:rPr>
                <w:rFonts w:hint="eastAsia"/>
                <w:sz w:val="24"/>
              </w:rPr>
              <w:t>标准值</w:t>
            </w:r>
          </w:p>
          <w:p>
            <w:pPr>
              <w:spacing w:line="360" w:lineRule="exact"/>
              <w:jc w:val="center"/>
              <w:rPr>
                <w:sz w:val="24"/>
              </w:rPr>
            </w:pPr>
            <w:r>
              <w:rPr>
                <w:rFonts w:hint="eastAsia"/>
                <w:sz w:val="24"/>
              </w:rPr>
              <w:t>要求</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不合格原因分析</w:t>
            </w:r>
          </w:p>
        </w:tc>
        <w:tc>
          <w:tcPr>
            <w:tcW w:w="3321"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可能引起的危害</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6"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r>
              <w:rPr>
                <w:rFonts w:hint="eastAsia" w:cs="宋体"/>
                <w:sz w:val="24"/>
              </w:rPr>
              <w:t>阴离子合成洗涤剂（以十二烷基苯磺酸钠计）</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sz w:val="24"/>
                <w:lang w:eastAsia="zh-CN"/>
              </w:rPr>
            </w:pPr>
            <w:r>
              <w:rPr>
                <w:rFonts w:hint="eastAsia"/>
                <w:sz w:val="24"/>
                <w:lang w:eastAsia="zh-CN"/>
              </w:rPr>
              <w:t>其他有毒有害物质</w:t>
            </w:r>
          </w:p>
        </w:tc>
        <w:tc>
          <w:tcPr>
            <w:tcW w:w="248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color w:val="000000"/>
                <w:sz w:val="24"/>
              </w:rPr>
            </w:pPr>
            <w:r>
              <w:rPr>
                <w:rFonts w:hint="eastAsia"/>
                <w:sz w:val="28"/>
              </w:rPr>
              <w:t>0.0</w:t>
            </w:r>
            <w:r>
              <w:rPr>
                <w:rFonts w:hint="eastAsia"/>
                <w:sz w:val="28"/>
                <w:lang w:val="en-US" w:eastAsia="zh-CN"/>
              </w:rPr>
              <w:t>216</w:t>
            </w:r>
            <w:r>
              <w:rPr>
                <w:rFonts w:hint="eastAsia"/>
                <w:sz w:val="28"/>
              </w:rPr>
              <w:t>mg/100cm</w:t>
            </w:r>
            <w:r>
              <w:rPr>
                <w:rFonts w:hint="eastAsia"/>
                <w:sz w:val="28"/>
                <w:vertAlign w:val="superscript"/>
              </w:rPr>
              <w:t>2</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sz w:val="28"/>
                <w:szCs w:val="28"/>
              </w:rPr>
            </w:pPr>
            <w:r>
              <w:rPr>
                <w:rFonts w:hint="eastAsia"/>
                <w:sz w:val="28"/>
              </w:rPr>
              <w:t>不得检出</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olor w:val="000000"/>
                <w:szCs w:val="21"/>
                <w:shd w:val="clear" w:color="auto" w:fill="FFFFFF"/>
                <w:lang w:val="en-US" w:eastAsia="zh-CN"/>
              </w:rPr>
            </w:pPr>
            <w:r>
              <w:rPr>
                <w:rFonts w:hint="eastAsia" w:ascii="Verdana" w:hAnsi="Verdana" w:eastAsia="宋体" w:cs="Verdana"/>
                <w:i w:val="0"/>
                <w:iCs w:val="0"/>
                <w:caps w:val="0"/>
                <w:color w:val="333333"/>
                <w:spacing w:val="0"/>
                <w:sz w:val="24"/>
                <w:szCs w:val="24"/>
                <w:shd w:val="clear" w:color="auto" w:fill="FFFFFF"/>
                <w:lang w:val="en-US" w:eastAsia="zh-CN"/>
              </w:rPr>
              <w:t>1、</w:t>
            </w:r>
            <w:r>
              <w:rPr>
                <w:rFonts w:ascii="Verdana" w:hAnsi="Verdana" w:eastAsia="宋体" w:cs="Verdana"/>
                <w:i w:val="0"/>
                <w:iCs w:val="0"/>
                <w:caps w:val="0"/>
                <w:color w:val="333333"/>
                <w:spacing w:val="0"/>
                <w:sz w:val="24"/>
                <w:szCs w:val="24"/>
                <w:shd w:val="clear" w:color="auto" w:fill="FFFFFF"/>
              </w:rPr>
              <w:t>清洗餐具所用洗涤剂、消毒剂不合格。</w:t>
            </w:r>
            <w:r>
              <w:rPr>
                <w:rFonts w:hint="eastAsia" w:ascii="宋体" w:hAnsi="宋体" w:eastAsia="宋体" w:cs="宋体"/>
                <w:i w:val="0"/>
                <w:iCs w:val="0"/>
                <w:caps w:val="0"/>
                <w:color w:val="333333"/>
                <w:spacing w:val="0"/>
                <w:sz w:val="24"/>
                <w:szCs w:val="24"/>
                <w:shd w:val="clear" w:color="auto" w:fill="FFFFFF"/>
              </w:rPr>
              <w:t>如果用于清洗餐具的洗涤剂、消毒剂不符合标准，这样不仅清洗不干净餐具反而会造成二次污染。</w:t>
            </w:r>
            <w:r>
              <w:rPr>
                <w:rFonts w:hint="eastAsia" w:ascii="宋体" w:hAnsi="宋体" w:eastAsia="宋体" w:cs="宋体"/>
                <w:i w:val="0"/>
                <w:iCs w:val="0"/>
                <w:caps w:val="0"/>
                <w:color w:val="333333"/>
                <w:spacing w:val="0"/>
                <w:sz w:val="24"/>
                <w:szCs w:val="24"/>
                <w:shd w:val="clear" w:color="auto" w:fill="FFFFFF"/>
                <w:lang w:val="en-US" w:eastAsia="zh-CN"/>
              </w:rPr>
              <w:t>2、</w:t>
            </w:r>
            <w:r>
              <w:rPr>
                <w:rFonts w:hint="eastAsia" w:ascii="宋体" w:hAnsi="宋体" w:eastAsia="宋体" w:cs="宋体"/>
                <w:i w:val="0"/>
                <w:iCs w:val="0"/>
                <w:caps w:val="0"/>
                <w:color w:val="333333"/>
                <w:spacing w:val="0"/>
                <w:sz w:val="24"/>
                <w:szCs w:val="24"/>
                <w:shd w:val="clear" w:color="auto" w:fill="FFFFFF"/>
              </w:rPr>
              <w:t>洗涤剂或消毒剂未彻底冲洗干净。</w:t>
            </w:r>
            <w:r>
              <w:rPr>
                <w:rFonts w:hint="eastAsia" w:ascii="宋体" w:hAnsi="宋体" w:eastAsia="宋体" w:cs="宋体"/>
                <w:i w:val="0"/>
                <w:iCs w:val="0"/>
                <w:caps w:val="0"/>
                <w:color w:val="333333"/>
                <w:spacing w:val="0"/>
                <w:sz w:val="24"/>
                <w:szCs w:val="24"/>
                <w:shd w:val="clear" w:color="auto" w:fill="FFFFFF"/>
                <w:lang w:val="en-US" w:eastAsia="zh-CN"/>
              </w:rPr>
              <w:t>3、</w:t>
            </w:r>
            <w:r>
              <w:rPr>
                <w:rFonts w:hint="eastAsia" w:ascii="宋体" w:hAnsi="宋体" w:eastAsia="宋体" w:cs="宋体"/>
                <w:i w:val="0"/>
                <w:iCs w:val="0"/>
                <w:caps w:val="0"/>
                <w:color w:val="333333"/>
                <w:spacing w:val="0"/>
                <w:sz w:val="24"/>
                <w:szCs w:val="24"/>
                <w:shd w:val="clear" w:color="auto" w:fill="FFFFFF"/>
              </w:rPr>
              <w:t>餐具数量过多，洗涤剂、消毒剂浸泡餐具重复使用，造成交叉污染，使得阴离子洗涤剂残留在餐具中。</w:t>
            </w:r>
          </w:p>
        </w:tc>
        <w:tc>
          <w:tcPr>
            <w:tcW w:w="33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微软雅黑" w:hAnsi="微软雅黑" w:eastAsia="微软雅黑" w:cs="微软雅黑"/>
                <w:i w:val="0"/>
                <w:iCs w:val="0"/>
                <w:caps w:val="0"/>
                <w:color w:val="333333"/>
                <w:spacing w:val="0"/>
                <w:sz w:val="24"/>
                <w:szCs w:val="24"/>
                <w:shd w:val="clear" w:color="auto" w:fill="FFFFFF"/>
              </w:rPr>
            </w:pPr>
            <w:r>
              <w:rPr>
                <w:rFonts w:ascii="Arial" w:hAnsi="Arial" w:eastAsia="宋体" w:cs="Arial"/>
                <w:i w:val="0"/>
                <w:iCs w:val="0"/>
                <w:caps w:val="0"/>
                <w:color w:val="333333"/>
                <w:spacing w:val="0"/>
                <w:sz w:val="21"/>
                <w:szCs w:val="21"/>
                <w:shd w:val="clear" w:color="auto" w:fill="FFFFFF"/>
              </w:rPr>
              <w:t>慢性毒性</w:t>
            </w:r>
            <w:r>
              <w:rPr>
                <w:rFonts w:hint="eastAsia" w:ascii="Arial" w:hAnsi="Arial" w:eastAsia="宋体" w:cs="Arial"/>
                <w:i w:val="0"/>
                <w:iCs w:val="0"/>
                <w:caps w:val="0"/>
                <w:color w:val="333333"/>
                <w:spacing w:val="0"/>
                <w:sz w:val="21"/>
                <w:szCs w:val="21"/>
                <w:shd w:val="clear" w:color="auto" w:fill="FFFFFF"/>
                <w:lang w:eastAsia="zh-CN"/>
              </w:rPr>
              <w:t>：</w:t>
            </w:r>
            <w:r>
              <w:rPr>
                <w:rFonts w:ascii="Arial" w:hAnsi="Arial" w:eastAsia="宋体" w:cs="Arial"/>
                <w:i w:val="0"/>
                <w:iCs w:val="0"/>
                <w:caps w:val="0"/>
                <w:color w:val="333333"/>
                <w:spacing w:val="0"/>
                <w:sz w:val="21"/>
                <w:szCs w:val="21"/>
                <w:shd w:val="clear" w:color="auto" w:fill="FFFFFF"/>
              </w:rPr>
              <w:t>阴离子洗涤剂有持久作用，动物摄入后表现为血液中胆固醇增高</w:t>
            </w:r>
            <w:r>
              <w:rPr>
                <w:rFonts w:hint="eastAsia" w:ascii="Arial" w:hAnsi="Arial" w:eastAsia="宋体" w:cs="Arial"/>
                <w:i w:val="0"/>
                <w:iCs w:val="0"/>
                <w:caps w:val="0"/>
                <w:color w:val="333333"/>
                <w:spacing w:val="0"/>
                <w:sz w:val="21"/>
                <w:szCs w:val="21"/>
                <w:shd w:val="clear" w:color="auto" w:fill="FFFFFF"/>
                <w:lang w:eastAsia="zh-CN"/>
              </w:rPr>
              <w:t>；</w:t>
            </w:r>
            <w:r>
              <w:rPr>
                <w:rFonts w:ascii="Arial" w:hAnsi="Arial" w:eastAsia="宋体" w:cs="Arial"/>
                <w:i w:val="0"/>
                <w:iCs w:val="0"/>
                <w:caps w:val="0"/>
                <w:color w:val="333333"/>
                <w:spacing w:val="0"/>
                <w:sz w:val="21"/>
                <w:szCs w:val="21"/>
                <w:shd w:val="clear" w:color="auto" w:fill="FFFFFF"/>
              </w:rPr>
              <w:t>对人体皮肤也有损害</w:t>
            </w:r>
            <w:r>
              <w:rPr>
                <w:rFonts w:hint="eastAsia" w:ascii="Arial" w:hAnsi="Arial" w:eastAsia="宋体" w:cs="Arial"/>
                <w:i w:val="0"/>
                <w:iCs w:val="0"/>
                <w:caps w:val="0"/>
                <w:color w:val="333333"/>
                <w:spacing w:val="0"/>
                <w:sz w:val="21"/>
                <w:szCs w:val="21"/>
                <w:shd w:val="clear" w:color="auto" w:fill="FFFFFF"/>
                <w:lang w:eastAsia="zh-CN"/>
              </w:rPr>
              <w:t>；</w:t>
            </w:r>
            <w:r>
              <w:rPr>
                <w:rFonts w:ascii="Arial" w:hAnsi="Arial" w:eastAsia="宋体" w:cs="Arial"/>
                <w:i w:val="0"/>
                <w:iCs w:val="0"/>
                <w:caps w:val="0"/>
                <w:color w:val="333333"/>
                <w:spacing w:val="0"/>
                <w:sz w:val="21"/>
                <w:szCs w:val="21"/>
                <w:shd w:val="clear" w:color="auto" w:fill="FFFFFF"/>
              </w:rPr>
              <w:t>对肝脏的损伤作用也是存在的。</w:t>
            </w:r>
          </w:p>
          <w:p>
            <w:pPr>
              <w:spacing w:line="400" w:lineRule="exact"/>
              <w:rPr>
                <w:rFonts w:hint="eastAsia" w:ascii="微软雅黑" w:hAnsi="微软雅黑" w:eastAsia="微软雅黑" w:cs="微软雅黑"/>
                <w:i w:val="0"/>
                <w:iCs w:val="0"/>
                <w:caps w:val="0"/>
                <w:color w:val="333333"/>
                <w:spacing w:val="0"/>
                <w:sz w:val="24"/>
                <w:szCs w:val="24"/>
                <w:shd w:val="clear" w:color="auto" w:fill="FFFFFF"/>
              </w:rPr>
            </w:pPr>
          </w:p>
        </w:tc>
        <w:tc>
          <w:tcPr>
            <w:tcW w:w="1106"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w:t>
            </w:r>
          </w:p>
        </w:tc>
      </w:tr>
    </w:tbl>
    <w:p>
      <w:pPr>
        <w:pStyle w:val="2"/>
        <w:rPr>
          <w:sz w:val="24"/>
        </w:rPr>
      </w:pPr>
    </w:p>
    <w:sectPr>
      <w:pgSz w:w="16838" w:h="11906" w:orient="landscape"/>
      <w:pgMar w:top="1247" w:right="1440" w:bottom="124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ulim">
    <w:panose1 w:val="020B0600000101010101"/>
    <w:charset w:val="81"/>
    <w:family w:val="auto"/>
    <w:pitch w:val="default"/>
    <w:sig w:usb0="B00002AF" w:usb1="69D77CFB" w:usb2="00000030" w:usb3="00000000" w:csb0="4008009F" w:csb1="DFD7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roman"/>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iNWNmM2E3YjRjZDI2YjM2ZmQ2ZDE4ZDhhMzM5MDgifQ=="/>
  </w:docVars>
  <w:rsids>
    <w:rsidRoot w:val="00172A27"/>
    <w:rsid w:val="00004BF0"/>
    <w:rsid w:val="00021E1E"/>
    <w:rsid w:val="0004452C"/>
    <w:rsid w:val="00054D9F"/>
    <w:rsid w:val="00113C00"/>
    <w:rsid w:val="0015253B"/>
    <w:rsid w:val="00172A27"/>
    <w:rsid w:val="001F1D15"/>
    <w:rsid w:val="00213700"/>
    <w:rsid w:val="00277263"/>
    <w:rsid w:val="003419A7"/>
    <w:rsid w:val="003C3CDC"/>
    <w:rsid w:val="003F3B16"/>
    <w:rsid w:val="0048297A"/>
    <w:rsid w:val="006E19FA"/>
    <w:rsid w:val="0076439A"/>
    <w:rsid w:val="0080192F"/>
    <w:rsid w:val="00867AF8"/>
    <w:rsid w:val="008A508F"/>
    <w:rsid w:val="009074DA"/>
    <w:rsid w:val="009A3E14"/>
    <w:rsid w:val="00A0105D"/>
    <w:rsid w:val="00A4460A"/>
    <w:rsid w:val="00A63396"/>
    <w:rsid w:val="00A63B4A"/>
    <w:rsid w:val="00AD3134"/>
    <w:rsid w:val="00B1689F"/>
    <w:rsid w:val="00B50016"/>
    <w:rsid w:val="00CA74C0"/>
    <w:rsid w:val="00D661E2"/>
    <w:rsid w:val="00D956C6"/>
    <w:rsid w:val="00DC3F25"/>
    <w:rsid w:val="00E15386"/>
    <w:rsid w:val="00E60345"/>
    <w:rsid w:val="00E7600A"/>
    <w:rsid w:val="029605BF"/>
    <w:rsid w:val="02F83936"/>
    <w:rsid w:val="04FC43EA"/>
    <w:rsid w:val="05950139"/>
    <w:rsid w:val="06764C22"/>
    <w:rsid w:val="070D7EC5"/>
    <w:rsid w:val="07BA6423"/>
    <w:rsid w:val="0807527E"/>
    <w:rsid w:val="09B74ED8"/>
    <w:rsid w:val="0AA60A13"/>
    <w:rsid w:val="0B7E72CA"/>
    <w:rsid w:val="0DE46B93"/>
    <w:rsid w:val="0EA5395E"/>
    <w:rsid w:val="0FA6540C"/>
    <w:rsid w:val="11032AFA"/>
    <w:rsid w:val="1108346C"/>
    <w:rsid w:val="11693AF3"/>
    <w:rsid w:val="12505D75"/>
    <w:rsid w:val="14FC2BBF"/>
    <w:rsid w:val="15490981"/>
    <w:rsid w:val="17290724"/>
    <w:rsid w:val="199E12F3"/>
    <w:rsid w:val="19EA74AD"/>
    <w:rsid w:val="1B023DCB"/>
    <w:rsid w:val="1B917B2A"/>
    <w:rsid w:val="1D0D1692"/>
    <w:rsid w:val="1D51161C"/>
    <w:rsid w:val="1E0669AA"/>
    <w:rsid w:val="1F992259"/>
    <w:rsid w:val="20273B9D"/>
    <w:rsid w:val="20F12F9F"/>
    <w:rsid w:val="22C56520"/>
    <w:rsid w:val="22E91FFA"/>
    <w:rsid w:val="23137B2B"/>
    <w:rsid w:val="231747BB"/>
    <w:rsid w:val="23CF7104"/>
    <w:rsid w:val="249C4A5A"/>
    <w:rsid w:val="24D23D68"/>
    <w:rsid w:val="24F3691F"/>
    <w:rsid w:val="25060276"/>
    <w:rsid w:val="256E4199"/>
    <w:rsid w:val="26B8181C"/>
    <w:rsid w:val="26D01CBB"/>
    <w:rsid w:val="29593EAF"/>
    <w:rsid w:val="298F4F7D"/>
    <w:rsid w:val="2A3034C7"/>
    <w:rsid w:val="2E0F4702"/>
    <w:rsid w:val="30204B81"/>
    <w:rsid w:val="307F7146"/>
    <w:rsid w:val="30FB21C7"/>
    <w:rsid w:val="332E5837"/>
    <w:rsid w:val="33B46B27"/>
    <w:rsid w:val="39036BAD"/>
    <w:rsid w:val="398C12A7"/>
    <w:rsid w:val="39E62997"/>
    <w:rsid w:val="3B381183"/>
    <w:rsid w:val="3B532C89"/>
    <w:rsid w:val="3BAD62FC"/>
    <w:rsid w:val="3C180293"/>
    <w:rsid w:val="3C81295B"/>
    <w:rsid w:val="3E480050"/>
    <w:rsid w:val="3F6956C4"/>
    <w:rsid w:val="406B52E0"/>
    <w:rsid w:val="41AC322C"/>
    <w:rsid w:val="420336C3"/>
    <w:rsid w:val="423749B1"/>
    <w:rsid w:val="425D7EB7"/>
    <w:rsid w:val="42664C0F"/>
    <w:rsid w:val="44FF0DB1"/>
    <w:rsid w:val="45594B71"/>
    <w:rsid w:val="46C83575"/>
    <w:rsid w:val="47E524E0"/>
    <w:rsid w:val="48795182"/>
    <w:rsid w:val="4917550E"/>
    <w:rsid w:val="49564BCC"/>
    <w:rsid w:val="496008C3"/>
    <w:rsid w:val="4AD56FE2"/>
    <w:rsid w:val="4B9235C3"/>
    <w:rsid w:val="4BB62215"/>
    <w:rsid w:val="4C8A4A06"/>
    <w:rsid w:val="4CE16790"/>
    <w:rsid w:val="4ED758E2"/>
    <w:rsid w:val="50062548"/>
    <w:rsid w:val="513E2C61"/>
    <w:rsid w:val="52280AC9"/>
    <w:rsid w:val="52B777E5"/>
    <w:rsid w:val="52DB4680"/>
    <w:rsid w:val="539B303F"/>
    <w:rsid w:val="54216F96"/>
    <w:rsid w:val="55B014D8"/>
    <w:rsid w:val="576C7EE5"/>
    <w:rsid w:val="58607A51"/>
    <w:rsid w:val="5A101121"/>
    <w:rsid w:val="5BF47C6E"/>
    <w:rsid w:val="5C3C2CDA"/>
    <w:rsid w:val="5D255365"/>
    <w:rsid w:val="5DF72B16"/>
    <w:rsid w:val="5EED6EC6"/>
    <w:rsid w:val="5F4C206F"/>
    <w:rsid w:val="5F7D704B"/>
    <w:rsid w:val="5F812FDF"/>
    <w:rsid w:val="5FA74252"/>
    <w:rsid w:val="5FF17B2D"/>
    <w:rsid w:val="61E57855"/>
    <w:rsid w:val="62CA2486"/>
    <w:rsid w:val="63222DBD"/>
    <w:rsid w:val="63853103"/>
    <w:rsid w:val="6468612F"/>
    <w:rsid w:val="64761B65"/>
    <w:rsid w:val="661243AA"/>
    <w:rsid w:val="664B7865"/>
    <w:rsid w:val="67CB235A"/>
    <w:rsid w:val="68572B2F"/>
    <w:rsid w:val="68DD61AE"/>
    <w:rsid w:val="6900625C"/>
    <w:rsid w:val="69540E4B"/>
    <w:rsid w:val="69AE49D0"/>
    <w:rsid w:val="6BCF7160"/>
    <w:rsid w:val="6C5671C2"/>
    <w:rsid w:val="6C575044"/>
    <w:rsid w:val="6E081074"/>
    <w:rsid w:val="70C7355E"/>
    <w:rsid w:val="71461992"/>
    <w:rsid w:val="714E2468"/>
    <w:rsid w:val="71685DAD"/>
    <w:rsid w:val="72555796"/>
    <w:rsid w:val="72CE347B"/>
    <w:rsid w:val="736A1485"/>
    <w:rsid w:val="73910128"/>
    <w:rsid w:val="73A3787F"/>
    <w:rsid w:val="74474A79"/>
    <w:rsid w:val="74580265"/>
    <w:rsid w:val="76675236"/>
    <w:rsid w:val="77B43AFA"/>
    <w:rsid w:val="78306968"/>
    <w:rsid w:val="79A1746A"/>
    <w:rsid w:val="79A75FA3"/>
    <w:rsid w:val="7A8A1038"/>
    <w:rsid w:val="7B3A4FF7"/>
    <w:rsid w:val="7B660DD5"/>
    <w:rsid w:val="7C3E4761"/>
    <w:rsid w:val="7CBD7BEF"/>
    <w:rsid w:val="7CF5015E"/>
    <w:rsid w:val="7DBC330C"/>
    <w:rsid w:val="7EBA1E2E"/>
    <w:rsid w:val="7EE30820"/>
    <w:rsid w:val="7F665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Calibri" w:hAnsi="Calibri" w:cs="Calibri"/>
      <w:b/>
      <w:i/>
      <w:iCs/>
      <w:color w:val="000000"/>
      <w:sz w:val="18"/>
      <w:szCs w:val="2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15</Pages>
  <Words>4518</Words>
  <Characters>5234</Characters>
  <Lines>6</Lines>
  <Paragraphs>1</Paragraphs>
  <TotalTime>0</TotalTime>
  <ScaleCrop>false</ScaleCrop>
  <LinksUpToDate>false</LinksUpToDate>
  <CharactersWithSpaces>6590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2020-08-17T02:47:00Z</dcterms:created>
  <dc:creator>微软用户</dc:creator>
  <cp:lastModifiedBy>陈始明</cp:lastModifiedBy>
  <cp:lastPrinted>2017-06-02T00:38:00Z</cp:lastPrinted>
  <dcterms:modified xsi:type="dcterms:W3CDTF">2023-09-14T06:42:35Z</dcterms:modified>
  <dc:title>不合格报告说明</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88DEC00F62AF48D084A851DC406E99C7</vt:lpwstr>
  </property>
  <property fmtid="{D5CDD505-2E9C-101B-9397-08002B2CF9AE}" pid="4" name="commondata">
    <vt:lpwstr>eyJoZGlkIjoiNWFiNWNmM2E3YjRjZDI2YjM2ZmQ2ZDE4ZDhhMzM5MDgifQ==</vt:lpwstr>
  </property>
</Properties>
</file>