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sz w:val="44"/>
          <w:szCs w:val="44"/>
        </w:rPr>
      </w:pPr>
    </w:p>
    <w:p>
      <w:pPr>
        <w:jc w:val="center"/>
        <w:rPr>
          <w:b/>
          <w:bCs/>
          <w:sz w:val="44"/>
          <w:szCs w:val="44"/>
        </w:rPr>
      </w:pPr>
    </w:p>
    <w:p>
      <w:pPr>
        <w:jc w:val="center"/>
        <w:rPr>
          <w:b/>
          <w:bCs/>
          <w:sz w:val="44"/>
          <w:szCs w:val="44"/>
        </w:rPr>
      </w:pPr>
      <w:r>
        <w:rPr>
          <w:b/>
          <w:bCs/>
          <w:sz w:val="44"/>
          <w:szCs w:val="44"/>
        </w:rPr>
        <w:t>不合格报告说明</w:t>
      </w:r>
    </w:p>
    <w:p>
      <w:pPr>
        <w:jc w:val="center"/>
        <w:rPr>
          <w:b/>
          <w:bCs/>
          <w:sz w:val="44"/>
          <w:szCs w:val="44"/>
        </w:rPr>
      </w:pPr>
    </w:p>
    <w:p>
      <w:pPr>
        <w:rPr>
          <w:rFonts w:hint="eastAsia"/>
          <w:sz w:val="24"/>
        </w:rPr>
      </w:pPr>
      <w:r>
        <w:rPr>
          <w:rFonts w:hint="eastAsia"/>
          <w:sz w:val="24"/>
        </w:rPr>
        <w:t>检验报告书编号：JQT23FC01616</w:t>
      </w:r>
      <w:r>
        <w:rPr>
          <w:rFonts w:hint="eastAsia"/>
          <w:sz w:val="24"/>
        </w:rPr>
        <w:tab/>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842"/>
        <w:gridCol w:w="1843"/>
        <w:gridCol w:w="3260"/>
        <w:gridCol w:w="332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1384" w:type="dxa"/>
            <w:vAlign w:val="center"/>
          </w:tcPr>
          <w:p>
            <w:pPr>
              <w:spacing w:line="360" w:lineRule="exact"/>
              <w:jc w:val="center"/>
              <w:rPr>
                <w:sz w:val="24"/>
              </w:rPr>
            </w:pPr>
            <w:r>
              <w:rPr>
                <w:rFonts w:hint="eastAsia"/>
                <w:sz w:val="24"/>
              </w:rPr>
              <w:t>不合格</w:t>
            </w:r>
          </w:p>
          <w:p>
            <w:pPr>
              <w:spacing w:line="360" w:lineRule="exact"/>
              <w:jc w:val="center"/>
              <w:rPr>
                <w:sz w:val="24"/>
              </w:rPr>
            </w:pPr>
            <w:r>
              <w:rPr>
                <w:rFonts w:hint="eastAsia"/>
                <w:sz w:val="24"/>
              </w:rPr>
              <w:t>项目</w:t>
            </w:r>
          </w:p>
        </w:tc>
        <w:tc>
          <w:tcPr>
            <w:tcW w:w="1418" w:type="dxa"/>
            <w:vAlign w:val="center"/>
          </w:tcPr>
          <w:p>
            <w:pPr>
              <w:spacing w:line="360" w:lineRule="exact"/>
              <w:jc w:val="center"/>
              <w:rPr>
                <w:sz w:val="24"/>
              </w:rPr>
            </w:pPr>
            <w:r>
              <w:rPr>
                <w:rFonts w:hint="eastAsia"/>
                <w:sz w:val="24"/>
              </w:rPr>
              <w:t>不合格项目所属</w:t>
            </w:r>
          </w:p>
          <w:p>
            <w:pPr>
              <w:spacing w:line="360" w:lineRule="exact"/>
              <w:jc w:val="center"/>
              <w:rPr>
                <w:sz w:val="24"/>
              </w:rPr>
            </w:pPr>
            <w:r>
              <w:rPr>
                <w:rFonts w:hint="eastAsia"/>
                <w:sz w:val="24"/>
              </w:rPr>
              <w:t>指标</w:t>
            </w:r>
          </w:p>
        </w:tc>
        <w:tc>
          <w:tcPr>
            <w:tcW w:w="1842" w:type="dxa"/>
            <w:vAlign w:val="center"/>
          </w:tcPr>
          <w:p>
            <w:pPr>
              <w:spacing w:line="360" w:lineRule="exact"/>
              <w:jc w:val="center"/>
              <w:rPr>
                <w:sz w:val="24"/>
              </w:rPr>
            </w:pPr>
            <w:r>
              <w:rPr>
                <w:rFonts w:hint="eastAsia"/>
                <w:sz w:val="24"/>
              </w:rPr>
              <w:t>检验</w:t>
            </w:r>
          </w:p>
          <w:p>
            <w:pPr>
              <w:spacing w:line="360" w:lineRule="exact"/>
              <w:jc w:val="center"/>
              <w:rPr>
                <w:sz w:val="24"/>
              </w:rPr>
            </w:pPr>
            <w:r>
              <w:rPr>
                <w:rFonts w:hint="eastAsia"/>
                <w:sz w:val="24"/>
              </w:rPr>
              <w:t>结果</w:t>
            </w:r>
          </w:p>
        </w:tc>
        <w:tc>
          <w:tcPr>
            <w:tcW w:w="1843" w:type="dxa"/>
            <w:vAlign w:val="center"/>
          </w:tcPr>
          <w:p>
            <w:pPr>
              <w:spacing w:line="360" w:lineRule="exact"/>
              <w:jc w:val="center"/>
              <w:rPr>
                <w:sz w:val="24"/>
              </w:rPr>
            </w:pPr>
            <w:r>
              <w:rPr>
                <w:rFonts w:hint="eastAsia"/>
                <w:sz w:val="24"/>
              </w:rPr>
              <w:t>标准值</w:t>
            </w:r>
          </w:p>
          <w:p>
            <w:pPr>
              <w:spacing w:line="360" w:lineRule="exact"/>
              <w:jc w:val="center"/>
              <w:rPr>
                <w:sz w:val="24"/>
              </w:rPr>
            </w:pPr>
            <w:r>
              <w:rPr>
                <w:rFonts w:hint="eastAsia"/>
                <w:sz w:val="24"/>
              </w:rPr>
              <w:t>要求</w:t>
            </w:r>
          </w:p>
        </w:tc>
        <w:tc>
          <w:tcPr>
            <w:tcW w:w="3260" w:type="dxa"/>
            <w:vAlign w:val="center"/>
          </w:tcPr>
          <w:p>
            <w:pPr>
              <w:jc w:val="center"/>
              <w:rPr>
                <w:sz w:val="24"/>
              </w:rPr>
            </w:pPr>
            <w:r>
              <w:rPr>
                <w:rFonts w:hint="eastAsia"/>
                <w:sz w:val="24"/>
              </w:rPr>
              <w:t>不合格原因分析</w:t>
            </w:r>
          </w:p>
        </w:tc>
        <w:tc>
          <w:tcPr>
            <w:tcW w:w="3321" w:type="dxa"/>
            <w:vAlign w:val="center"/>
          </w:tcPr>
          <w:p>
            <w:pPr>
              <w:jc w:val="center"/>
              <w:rPr>
                <w:sz w:val="24"/>
              </w:rPr>
            </w:pPr>
            <w:r>
              <w:rPr>
                <w:rFonts w:hint="eastAsia"/>
                <w:sz w:val="24"/>
              </w:rPr>
              <w:t>可能引起的危害</w:t>
            </w:r>
          </w:p>
        </w:tc>
        <w:tc>
          <w:tcPr>
            <w:tcW w:w="1106"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384" w:type="dxa"/>
            <w:vAlign w:val="center"/>
          </w:tcPr>
          <w:p>
            <w:pPr>
              <w:jc w:val="center"/>
              <w:rPr>
                <w:rFonts w:hint="eastAsia"/>
                <w:szCs w:val="21"/>
              </w:rPr>
            </w:pPr>
            <w:r>
              <w:rPr>
                <w:rFonts w:hint="eastAsia"/>
                <w:szCs w:val="21"/>
              </w:rPr>
              <w:t>毒死蜱</w:t>
            </w:r>
          </w:p>
        </w:tc>
        <w:tc>
          <w:tcPr>
            <w:tcW w:w="1418" w:type="dxa"/>
            <w:vAlign w:val="center"/>
          </w:tcPr>
          <w:p>
            <w:pPr>
              <w:jc w:val="center"/>
              <w:rPr>
                <w:rFonts w:hint="eastAsia"/>
                <w:szCs w:val="21"/>
                <w:lang w:val="en-US" w:eastAsia="zh-CN"/>
              </w:rPr>
            </w:pPr>
            <w:r>
              <w:rPr>
                <w:rFonts w:hint="eastAsia"/>
                <w:szCs w:val="21"/>
                <w:lang w:val="en-US" w:eastAsia="zh-CN"/>
              </w:rPr>
              <w:t>农药残留</w:t>
            </w:r>
          </w:p>
        </w:tc>
        <w:tc>
          <w:tcPr>
            <w:tcW w:w="1842" w:type="dxa"/>
            <w:vAlign w:val="center"/>
          </w:tcPr>
          <w:p>
            <w:pPr>
              <w:jc w:val="center"/>
              <w:rPr>
                <w:rFonts w:hint="eastAsia"/>
                <w:szCs w:val="21"/>
                <w:lang w:val="en-US" w:eastAsia="zh-CN"/>
              </w:rPr>
            </w:pPr>
            <w:r>
              <w:rPr>
                <w:rFonts w:hint="eastAsia"/>
                <w:szCs w:val="21"/>
                <w:lang w:val="en-US" w:eastAsia="zh-CN"/>
              </w:rPr>
              <w:t>0.036mg/kg</w:t>
            </w:r>
          </w:p>
        </w:tc>
        <w:tc>
          <w:tcPr>
            <w:tcW w:w="1843" w:type="dxa"/>
            <w:vAlign w:val="center"/>
          </w:tcPr>
          <w:p>
            <w:pPr>
              <w:jc w:val="center"/>
              <w:rPr>
                <w:rFonts w:hint="eastAsia"/>
                <w:szCs w:val="21"/>
                <w:lang w:val="en-US" w:eastAsia="zh-CN"/>
              </w:rPr>
            </w:pPr>
            <w:r>
              <w:rPr>
                <w:rFonts w:hint="eastAsia"/>
                <w:szCs w:val="21"/>
                <w:lang w:val="en-US" w:eastAsia="zh-CN"/>
              </w:rPr>
              <w:t>≤0.02mg/kg</w:t>
            </w:r>
          </w:p>
        </w:tc>
        <w:tc>
          <w:tcPr>
            <w:tcW w:w="3260"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eastAsia="zh-CN"/>
              </w:rPr>
            </w:pPr>
            <w:r>
              <w:rPr>
                <w:rFonts w:hint="eastAsia"/>
                <w:szCs w:val="21"/>
                <w:lang w:eastAsia="zh-CN"/>
              </w:rPr>
              <w:t>蔬菜检出“毒死蜱”残留超标，可能是农户违法使用或土壤污染导致，还可能是蔬菜生长期间农药使用剂量未严格控制或在停用杀虫剂后短期内马上采收上市等原因。</w:t>
            </w:r>
          </w:p>
        </w:tc>
        <w:tc>
          <w:tcPr>
            <w:tcW w:w="3321"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eastAsia="zh-CN"/>
              </w:rPr>
            </w:pPr>
            <w:r>
              <w:rPr>
                <w:rFonts w:hint="eastAsia"/>
                <w:szCs w:val="21"/>
                <w:lang w:eastAsia="zh-CN"/>
              </w:rPr>
              <w:t>长期暴露在含有毒死蜱的环境中，可能会导致神经毒性、生殖毒性，影响胚胎的生长发育。是粮食、果树、蔬菜等作物的理想杀虫剂。毒死蜱的毒性取决于暴露计量，急性中毒会对呼吸系统、心血管和肠道、肝脏造成破坏，慢性中毒则会出现认知功能障碍、对语言和视觉功能造成危害。毒死蜱中毒会对儿童造成诸如：多动症、学习障碍及大脑、眼睛等器官缺陷。</w:t>
            </w:r>
          </w:p>
        </w:tc>
        <w:tc>
          <w:tcPr>
            <w:tcW w:w="1106" w:type="dxa"/>
            <w:vAlign w:val="center"/>
          </w:tcPr>
          <w:p>
            <w:pPr>
              <w:jc w:val="center"/>
              <w:rPr>
                <w:szCs w:val="21"/>
              </w:rPr>
            </w:pPr>
            <w:r>
              <w:rPr>
                <w:rFonts w:hint="eastAsia"/>
                <w:szCs w:val="21"/>
              </w:rPr>
              <w:t>食用农产品（</w:t>
            </w:r>
            <w:r>
              <w:rPr>
                <w:rFonts w:hint="eastAsia"/>
                <w:szCs w:val="21"/>
                <w:lang w:val="en-US" w:eastAsia="zh-CN"/>
              </w:rPr>
              <w:t>油麦菜</w:t>
            </w:r>
            <w:r>
              <w:rPr>
                <w:rFonts w:hint="eastAsia"/>
                <w:szCs w:val="21"/>
              </w:rPr>
              <w:t>）</w:t>
            </w:r>
          </w:p>
        </w:tc>
      </w:tr>
    </w:tbl>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检验报告书编号：JQT23FC01624</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842"/>
        <w:gridCol w:w="1843"/>
        <w:gridCol w:w="3260"/>
        <w:gridCol w:w="332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1384" w:type="dxa"/>
            <w:vAlign w:val="center"/>
          </w:tcPr>
          <w:p>
            <w:pPr>
              <w:spacing w:line="360" w:lineRule="exact"/>
              <w:jc w:val="center"/>
              <w:rPr>
                <w:sz w:val="24"/>
              </w:rPr>
            </w:pPr>
            <w:r>
              <w:rPr>
                <w:rFonts w:hint="eastAsia"/>
                <w:sz w:val="24"/>
              </w:rPr>
              <w:t>不合格</w:t>
            </w:r>
          </w:p>
          <w:p>
            <w:pPr>
              <w:spacing w:line="360" w:lineRule="exact"/>
              <w:jc w:val="center"/>
              <w:rPr>
                <w:sz w:val="24"/>
              </w:rPr>
            </w:pPr>
            <w:r>
              <w:rPr>
                <w:rFonts w:hint="eastAsia"/>
                <w:sz w:val="24"/>
              </w:rPr>
              <w:t>项目</w:t>
            </w:r>
          </w:p>
        </w:tc>
        <w:tc>
          <w:tcPr>
            <w:tcW w:w="1418" w:type="dxa"/>
            <w:vAlign w:val="center"/>
          </w:tcPr>
          <w:p>
            <w:pPr>
              <w:spacing w:line="360" w:lineRule="exact"/>
              <w:jc w:val="center"/>
              <w:rPr>
                <w:sz w:val="24"/>
              </w:rPr>
            </w:pPr>
            <w:r>
              <w:rPr>
                <w:rFonts w:hint="eastAsia"/>
                <w:sz w:val="24"/>
              </w:rPr>
              <w:t>不合格项目所属</w:t>
            </w:r>
          </w:p>
          <w:p>
            <w:pPr>
              <w:spacing w:line="360" w:lineRule="exact"/>
              <w:jc w:val="center"/>
              <w:rPr>
                <w:sz w:val="24"/>
              </w:rPr>
            </w:pPr>
            <w:r>
              <w:rPr>
                <w:rFonts w:hint="eastAsia"/>
                <w:sz w:val="24"/>
              </w:rPr>
              <w:t>指标</w:t>
            </w:r>
          </w:p>
        </w:tc>
        <w:tc>
          <w:tcPr>
            <w:tcW w:w="1842" w:type="dxa"/>
            <w:vAlign w:val="center"/>
          </w:tcPr>
          <w:p>
            <w:pPr>
              <w:spacing w:line="360" w:lineRule="exact"/>
              <w:jc w:val="center"/>
              <w:rPr>
                <w:sz w:val="24"/>
              </w:rPr>
            </w:pPr>
            <w:r>
              <w:rPr>
                <w:rFonts w:hint="eastAsia"/>
                <w:sz w:val="24"/>
              </w:rPr>
              <w:t>检验</w:t>
            </w:r>
          </w:p>
          <w:p>
            <w:pPr>
              <w:spacing w:line="360" w:lineRule="exact"/>
              <w:jc w:val="center"/>
              <w:rPr>
                <w:sz w:val="24"/>
              </w:rPr>
            </w:pPr>
            <w:r>
              <w:rPr>
                <w:rFonts w:hint="eastAsia"/>
                <w:sz w:val="24"/>
              </w:rPr>
              <w:t>结果</w:t>
            </w:r>
          </w:p>
        </w:tc>
        <w:tc>
          <w:tcPr>
            <w:tcW w:w="1843" w:type="dxa"/>
            <w:vAlign w:val="center"/>
          </w:tcPr>
          <w:p>
            <w:pPr>
              <w:spacing w:line="360" w:lineRule="exact"/>
              <w:jc w:val="center"/>
              <w:rPr>
                <w:sz w:val="24"/>
              </w:rPr>
            </w:pPr>
            <w:r>
              <w:rPr>
                <w:rFonts w:hint="eastAsia"/>
                <w:sz w:val="24"/>
              </w:rPr>
              <w:t>标准值</w:t>
            </w:r>
          </w:p>
          <w:p>
            <w:pPr>
              <w:spacing w:line="360" w:lineRule="exact"/>
              <w:jc w:val="center"/>
              <w:rPr>
                <w:sz w:val="24"/>
              </w:rPr>
            </w:pPr>
            <w:r>
              <w:rPr>
                <w:rFonts w:hint="eastAsia"/>
                <w:sz w:val="24"/>
              </w:rPr>
              <w:t>要求</w:t>
            </w:r>
          </w:p>
        </w:tc>
        <w:tc>
          <w:tcPr>
            <w:tcW w:w="3260" w:type="dxa"/>
            <w:vAlign w:val="center"/>
          </w:tcPr>
          <w:p>
            <w:pPr>
              <w:jc w:val="center"/>
              <w:rPr>
                <w:sz w:val="24"/>
              </w:rPr>
            </w:pPr>
            <w:r>
              <w:rPr>
                <w:rFonts w:hint="eastAsia"/>
                <w:sz w:val="24"/>
              </w:rPr>
              <w:t>不合格原因分析</w:t>
            </w:r>
          </w:p>
        </w:tc>
        <w:tc>
          <w:tcPr>
            <w:tcW w:w="3321" w:type="dxa"/>
            <w:vAlign w:val="center"/>
          </w:tcPr>
          <w:p>
            <w:pPr>
              <w:jc w:val="center"/>
              <w:rPr>
                <w:sz w:val="24"/>
              </w:rPr>
            </w:pPr>
            <w:r>
              <w:rPr>
                <w:rFonts w:hint="eastAsia"/>
                <w:sz w:val="24"/>
              </w:rPr>
              <w:t>可能引起的危害</w:t>
            </w:r>
          </w:p>
        </w:tc>
        <w:tc>
          <w:tcPr>
            <w:tcW w:w="1106"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384" w:type="dxa"/>
            <w:vAlign w:val="center"/>
          </w:tcPr>
          <w:p>
            <w:pPr>
              <w:jc w:val="center"/>
              <w:rPr>
                <w:rFonts w:hint="eastAsia"/>
                <w:szCs w:val="21"/>
                <w:lang w:val="en-US" w:eastAsia="zh-CN"/>
              </w:rPr>
            </w:pPr>
            <w:r>
              <w:rPr>
                <w:rFonts w:hint="eastAsia"/>
                <w:szCs w:val="21"/>
                <w:lang w:val="en-US" w:eastAsia="zh-CN"/>
              </w:rPr>
              <w:t>镉（以Cd计）</w:t>
            </w:r>
          </w:p>
        </w:tc>
        <w:tc>
          <w:tcPr>
            <w:tcW w:w="1418" w:type="dxa"/>
            <w:vAlign w:val="center"/>
          </w:tcPr>
          <w:p>
            <w:pPr>
              <w:jc w:val="center"/>
              <w:rPr>
                <w:rFonts w:hint="eastAsia"/>
                <w:szCs w:val="21"/>
                <w:lang w:val="en-US" w:eastAsia="zh-CN"/>
              </w:rPr>
            </w:pPr>
            <w:r>
              <w:rPr>
                <w:rFonts w:hint="eastAsia"/>
                <w:szCs w:val="21"/>
                <w:lang w:val="en-US" w:eastAsia="zh-CN"/>
              </w:rPr>
              <w:t>重金属污染物</w:t>
            </w:r>
          </w:p>
        </w:tc>
        <w:tc>
          <w:tcPr>
            <w:tcW w:w="1842" w:type="dxa"/>
            <w:vAlign w:val="center"/>
          </w:tcPr>
          <w:p>
            <w:pPr>
              <w:jc w:val="center"/>
              <w:rPr>
                <w:rFonts w:hint="eastAsia"/>
                <w:szCs w:val="21"/>
                <w:lang w:val="en-US" w:eastAsia="zh-CN"/>
              </w:rPr>
            </w:pPr>
            <w:r>
              <w:rPr>
                <w:rFonts w:hint="eastAsia"/>
                <w:szCs w:val="21"/>
                <w:lang w:val="en-US" w:eastAsia="zh-CN"/>
              </w:rPr>
              <w:t>0.30mg/kg</w:t>
            </w:r>
          </w:p>
        </w:tc>
        <w:tc>
          <w:tcPr>
            <w:tcW w:w="1843" w:type="dxa"/>
            <w:vAlign w:val="center"/>
          </w:tcPr>
          <w:p>
            <w:pPr>
              <w:jc w:val="center"/>
              <w:rPr>
                <w:rFonts w:hint="eastAsia"/>
                <w:szCs w:val="21"/>
                <w:lang w:val="en-US" w:eastAsia="zh-CN"/>
              </w:rPr>
            </w:pPr>
            <w:r>
              <w:rPr>
                <w:rFonts w:hint="eastAsia"/>
                <w:szCs w:val="21"/>
                <w:lang w:val="en-US" w:eastAsia="zh-CN"/>
              </w:rPr>
              <w:t>≤0.05mg/kg</w:t>
            </w:r>
          </w:p>
        </w:tc>
        <w:tc>
          <w:tcPr>
            <w:tcW w:w="3260"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eastAsia="zh-CN"/>
              </w:rPr>
            </w:pPr>
            <w:r>
              <w:rPr>
                <w:rFonts w:hint="eastAsia"/>
                <w:szCs w:val="21"/>
                <w:lang w:eastAsia="zh-CN"/>
              </w:rPr>
              <w:t>镉（以Cd计）检测值超标的原因，可能是其生长过程中富集环境中的镉元素所致。</w:t>
            </w:r>
          </w:p>
        </w:tc>
        <w:tc>
          <w:tcPr>
            <w:tcW w:w="3321"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eastAsia="zh-CN"/>
              </w:rPr>
            </w:pPr>
            <w:r>
              <w:rPr>
                <w:rFonts w:hint="eastAsia"/>
                <w:szCs w:val="21"/>
                <w:lang w:eastAsia="zh-CN"/>
              </w:rPr>
              <w:t>重金属元素镉（Cd）对人体中枢神经的破坏力很大，当镉毒进入人体后极难排泄，极易干扰肾功能、生殖功能。由于镉污染具有周期长、隐蔽性大等特点。镉会取代骨中钙，使骨骼严重软化，骨头寸断；镉会引起胃脏功能失调，使锌镉比降低，而导致高血压症上升。</w:t>
            </w:r>
          </w:p>
        </w:tc>
        <w:tc>
          <w:tcPr>
            <w:tcW w:w="1106" w:type="dxa"/>
            <w:vAlign w:val="center"/>
          </w:tcPr>
          <w:p>
            <w:pPr>
              <w:jc w:val="center"/>
              <w:rPr>
                <w:szCs w:val="21"/>
              </w:rPr>
            </w:pPr>
            <w:r>
              <w:rPr>
                <w:rFonts w:hint="eastAsia"/>
                <w:szCs w:val="21"/>
              </w:rPr>
              <w:t>食用农产品（</w:t>
            </w:r>
            <w:r>
              <w:rPr>
                <w:rFonts w:hint="eastAsia"/>
                <w:szCs w:val="21"/>
                <w:lang w:val="en-US" w:eastAsia="zh-CN"/>
              </w:rPr>
              <w:t>韭菜）</w:t>
            </w:r>
          </w:p>
        </w:tc>
      </w:tr>
    </w:tbl>
    <w:p>
      <w:pPr>
        <w:jc w:val="center"/>
        <w:rPr>
          <w:b/>
          <w:bCs/>
          <w:sz w:val="44"/>
          <w:szCs w:val="44"/>
        </w:rPr>
      </w:pPr>
    </w:p>
    <w:p>
      <w:pPr>
        <w:rPr>
          <w:sz w:val="24"/>
        </w:rPr>
      </w:pPr>
      <w:r>
        <w:rPr>
          <w:rFonts w:hint="eastAsia"/>
          <w:sz w:val="24"/>
        </w:rPr>
        <w:t>检验报告书编号：JQT23FC01655</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842"/>
        <w:gridCol w:w="1843"/>
        <w:gridCol w:w="3260"/>
        <w:gridCol w:w="332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1384" w:type="dxa"/>
            <w:vAlign w:val="center"/>
          </w:tcPr>
          <w:p>
            <w:pPr>
              <w:spacing w:line="360" w:lineRule="exact"/>
              <w:jc w:val="center"/>
              <w:rPr>
                <w:sz w:val="24"/>
              </w:rPr>
            </w:pPr>
            <w:r>
              <w:rPr>
                <w:rFonts w:hint="eastAsia"/>
                <w:sz w:val="24"/>
              </w:rPr>
              <w:t>不合格</w:t>
            </w:r>
          </w:p>
          <w:p>
            <w:pPr>
              <w:spacing w:line="360" w:lineRule="exact"/>
              <w:jc w:val="center"/>
              <w:rPr>
                <w:sz w:val="24"/>
              </w:rPr>
            </w:pPr>
            <w:r>
              <w:rPr>
                <w:rFonts w:hint="eastAsia"/>
                <w:sz w:val="24"/>
              </w:rPr>
              <w:t>项目</w:t>
            </w:r>
          </w:p>
        </w:tc>
        <w:tc>
          <w:tcPr>
            <w:tcW w:w="1418" w:type="dxa"/>
            <w:vAlign w:val="center"/>
          </w:tcPr>
          <w:p>
            <w:pPr>
              <w:spacing w:line="360" w:lineRule="exact"/>
              <w:jc w:val="center"/>
              <w:rPr>
                <w:sz w:val="24"/>
              </w:rPr>
            </w:pPr>
            <w:r>
              <w:rPr>
                <w:rFonts w:hint="eastAsia"/>
                <w:sz w:val="24"/>
              </w:rPr>
              <w:t>不合格项目所属</w:t>
            </w:r>
          </w:p>
          <w:p>
            <w:pPr>
              <w:spacing w:line="360" w:lineRule="exact"/>
              <w:jc w:val="center"/>
              <w:rPr>
                <w:sz w:val="24"/>
              </w:rPr>
            </w:pPr>
            <w:r>
              <w:rPr>
                <w:rFonts w:hint="eastAsia"/>
                <w:sz w:val="24"/>
              </w:rPr>
              <w:t>指标</w:t>
            </w:r>
          </w:p>
        </w:tc>
        <w:tc>
          <w:tcPr>
            <w:tcW w:w="1842" w:type="dxa"/>
            <w:vAlign w:val="center"/>
          </w:tcPr>
          <w:p>
            <w:pPr>
              <w:spacing w:line="360" w:lineRule="exact"/>
              <w:jc w:val="center"/>
              <w:rPr>
                <w:sz w:val="24"/>
              </w:rPr>
            </w:pPr>
            <w:r>
              <w:rPr>
                <w:rFonts w:hint="eastAsia"/>
                <w:sz w:val="24"/>
              </w:rPr>
              <w:t>检验</w:t>
            </w:r>
          </w:p>
          <w:p>
            <w:pPr>
              <w:spacing w:line="360" w:lineRule="exact"/>
              <w:jc w:val="center"/>
              <w:rPr>
                <w:sz w:val="24"/>
              </w:rPr>
            </w:pPr>
            <w:r>
              <w:rPr>
                <w:rFonts w:hint="eastAsia"/>
                <w:sz w:val="24"/>
              </w:rPr>
              <w:t>结果</w:t>
            </w:r>
          </w:p>
        </w:tc>
        <w:tc>
          <w:tcPr>
            <w:tcW w:w="1843" w:type="dxa"/>
            <w:vAlign w:val="center"/>
          </w:tcPr>
          <w:p>
            <w:pPr>
              <w:spacing w:line="360" w:lineRule="exact"/>
              <w:jc w:val="center"/>
              <w:rPr>
                <w:sz w:val="24"/>
              </w:rPr>
            </w:pPr>
            <w:r>
              <w:rPr>
                <w:rFonts w:hint="eastAsia"/>
                <w:sz w:val="24"/>
              </w:rPr>
              <w:t>标准值</w:t>
            </w:r>
          </w:p>
          <w:p>
            <w:pPr>
              <w:spacing w:line="360" w:lineRule="exact"/>
              <w:jc w:val="center"/>
              <w:rPr>
                <w:sz w:val="24"/>
              </w:rPr>
            </w:pPr>
            <w:r>
              <w:rPr>
                <w:rFonts w:hint="eastAsia"/>
                <w:sz w:val="24"/>
              </w:rPr>
              <w:t>要求</w:t>
            </w:r>
          </w:p>
        </w:tc>
        <w:tc>
          <w:tcPr>
            <w:tcW w:w="3260" w:type="dxa"/>
            <w:vAlign w:val="center"/>
          </w:tcPr>
          <w:p>
            <w:pPr>
              <w:jc w:val="center"/>
              <w:rPr>
                <w:sz w:val="24"/>
              </w:rPr>
            </w:pPr>
            <w:r>
              <w:rPr>
                <w:rFonts w:hint="eastAsia"/>
                <w:sz w:val="24"/>
              </w:rPr>
              <w:t>不合格原因分析</w:t>
            </w:r>
          </w:p>
        </w:tc>
        <w:tc>
          <w:tcPr>
            <w:tcW w:w="3321" w:type="dxa"/>
            <w:vAlign w:val="center"/>
          </w:tcPr>
          <w:p>
            <w:pPr>
              <w:jc w:val="center"/>
              <w:rPr>
                <w:sz w:val="24"/>
              </w:rPr>
            </w:pPr>
            <w:r>
              <w:rPr>
                <w:rFonts w:hint="eastAsia"/>
                <w:sz w:val="24"/>
              </w:rPr>
              <w:t>可能引起的危害</w:t>
            </w:r>
          </w:p>
        </w:tc>
        <w:tc>
          <w:tcPr>
            <w:tcW w:w="1106"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384" w:type="dxa"/>
            <w:vAlign w:val="center"/>
          </w:tcPr>
          <w:p>
            <w:pPr>
              <w:jc w:val="center"/>
              <w:rPr>
                <w:rFonts w:hint="eastAsia"/>
                <w:szCs w:val="21"/>
                <w:lang w:val="en-US" w:eastAsia="zh-CN"/>
              </w:rPr>
            </w:pPr>
            <w:r>
              <w:rPr>
                <w:rFonts w:hint="eastAsia"/>
                <w:szCs w:val="21"/>
                <w:lang w:val="en-US" w:eastAsia="zh-CN"/>
              </w:rPr>
              <w:t>恩诺沙星</w:t>
            </w:r>
          </w:p>
        </w:tc>
        <w:tc>
          <w:tcPr>
            <w:tcW w:w="1418" w:type="dxa"/>
            <w:vAlign w:val="center"/>
          </w:tcPr>
          <w:p>
            <w:pPr>
              <w:jc w:val="center"/>
              <w:rPr>
                <w:rFonts w:hint="eastAsia"/>
                <w:szCs w:val="21"/>
                <w:lang w:val="en-US" w:eastAsia="zh-CN"/>
              </w:rPr>
            </w:pPr>
            <w:r>
              <w:rPr>
                <w:rFonts w:hint="eastAsia"/>
                <w:szCs w:val="21"/>
                <w:lang w:val="en-US" w:eastAsia="zh-CN"/>
              </w:rPr>
              <w:t>兽药残留</w:t>
            </w:r>
          </w:p>
        </w:tc>
        <w:tc>
          <w:tcPr>
            <w:tcW w:w="1842" w:type="dxa"/>
            <w:vAlign w:val="center"/>
          </w:tcPr>
          <w:p>
            <w:pPr>
              <w:jc w:val="center"/>
              <w:rPr>
                <w:rFonts w:hint="eastAsia"/>
                <w:szCs w:val="21"/>
                <w:lang w:val="en-US" w:eastAsia="zh-CN"/>
              </w:rPr>
            </w:pPr>
            <w:r>
              <w:rPr>
                <w:rFonts w:hint="eastAsia"/>
                <w:szCs w:val="21"/>
                <w:lang w:val="en-US" w:eastAsia="zh-CN"/>
              </w:rPr>
              <w:t>149μg/kg</w:t>
            </w:r>
          </w:p>
        </w:tc>
        <w:tc>
          <w:tcPr>
            <w:tcW w:w="1843" w:type="dxa"/>
            <w:vAlign w:val="center"/>
          </w:tcPr>
          <w:p>
            <w:pPr>
              <w:jc w:val="center"/>
              <w:rPr>
                <w:rFonts w:hint="eastAsia"/>
                <w:szCs w:val="21"/>
                <w:lang w:val="en-US" w:eastAsia="zh-CN"/>
              </w:rPr>
            </w:pPr>
            <w:r>
              <w:rPr>
                <w:rFonts w:hint="eastAsia"/>
                <w:szCs w:val="21"/>
                <w:lang w:val="en-US" w:eastAsia="zh-CN"/>
              </w:rPr>
              <w:t>≤100μg/kg</w:t>
            </w:r>
          </w:p>
        </w:tc>
        <w:tc>
          <w:tcPr>
            <w:tcW w:w="3260"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val="en-US" w:eastAsia="zh-CN"/>
              </w:rPr>
            </w:pPr>
            <w:r>
              <w:rPr>
                <w:rFonts w:hint="eastAsia"/>
                <w:szCs w:val="21"/>
                <w:lang w:eastAsia="zh-CN"/>
              </w:rPr>
              <w:t>恩诺沙星残留量超标的原因，可能是在养殖过程中为快速控制疫病，违规加大用药量或不遵守休药期规定，导致上市销售产品中的药物残留量超标。</w:t>
            </w:r>
          </w:p>
        </w:tc>
        <w:tc>
          <w:tcPr>
            <w:tcW w:w="3321"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val="en-US" w:eastAsia="zh-CN"/>
              </w:rPr>
            </w:pPr>
            <w:r>
              <w:rPr>
                <w:rFonts w:hint="eastAsia"/>
                <w:szCs w:val="21"/>
                <w:lang w:eastAsia="zh-CN"/>
              </w:rPr>
              <w:t>恩诺沙星属第三代喹诺酮类药物，是一类人工合成的广谱抗菌药，用于治疗动物的皮肤感染、呼吸道感染等，是动物专属用药。长期食用恩诺沙星超标的食品，可能导致在人体中蓄积，进而对人体产生危害，还可能使人体产生耐药性菌株。</w:t>
            </w:r>
          </w:p>
        </w:tc>
        <w:tc>
          <w:tcPr>
            <w:tcW w:w="1106" w:type="dxa"/>
            <w:vAlign w:val="center"/>
          </w:tcPr>
          <w:p>
            <w:pPr>
              <w:jc w:val="center"/>
              <w:rPr>
                <w:szCs w:val="21"/>
              </w:rPr>
            </w:pPr>
            <w:r>
              <w:rPr>
                <w:rFonts w:hint="eastAsia"/>
                <w:szCs w:val="21"/>
              </w:rPr>
              <w:t>食用农产品（</w:t>
            </w:r>
            <w:r>
              <w:rPr>
                <w:rFonts w:hint="eastAsia"/>
                <w:szCs w:val="21"/>
                <w:lang w:val="en-US" w:eastAsia="zh-CN"/>
              </w:rPr>
              <w:t>淡水鱼</w:t>
            </w:r>
            <w:r>
              <w:rPr>
                <w:rFonts w:hint="eastAsia"/>
                <w:szCs w:val="21"/>
              </w:rPr>
              <w:t>）</w:t>
            </w:r>
          </w:p>
        </w:tc>
      </w:tr>
    </w:tbl>
    <w:p>
      <w:pPr>
        <w:jc w:val="center"/>
        <w:rPr>
          <w:b/>
          <w:bCs/>
          <w:sz w:val="44"/>
          <w:szCs w:val="44"/>
        </w:rPr>
      </w:pPr>
    </w:p>
    <w:p>
      <w:pPr>
        <w:rPr>
          <w:sz w:val="24"/>
        </w:rPr>
      </w:pPr>
      <w:r>
        <w:rPr>
          <w:rFonts w:hint="eastAsia"/>
          <w:sz w:val="24"/>
        </w:rPr>
        <w:t>检验报告书编号：JQT23FC01776</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842"/>
        <w:gridCol w:w="1843"/>
        <w:gridCol w:w="3260"/>
        <w:gridCol w:w="332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1384" w:type="dxa"/>
            <w:vAlign w:val="center"/>
          </w:tcPr>
          <w:p>
            <w:pPr>
              <w:spacing w:line="360" w:lineRule="exact"/>
              <w:jc w:val="center"/>
              <w:rPr>
                <w:sz w:val="24"/>
              </w:rPr>
            </w:pPr>
            <w:r>
              <w:rPr>
                <w:rFonts w:hint="eastAsia"/>
                <w:sz w:val="24"/>
              </w:rPr>
              <w:t>不合格</w:t>
            </w:r>
          </w:p>
          <w:p>
            <w:pPr>
              <w:spacing w:line="360" w:lineRule="exact"/>
              <w:jc w:val="center"/>
              <w:rPr>
                <w:sz w:val="24"/>
              </w:rPr>
            </w:pPr>
            <w:r>
              <w:rPr>
                <w:rFonts w:hint="eastAsia"/>
                <w:sz w:val="24"/>
              </w:rPr>
              <w:t>项目</w:t>
            </w:r>
          </w:p>
        </w:tc>
        <w:tc>
          <w:tcPr>
            <w:tcW w:w="1418" w:type="dxa"/>
            <w:vAlign w:val="center"/>
          </w:tcPr>
          <w:p>
            <w:pPr>
              <w:spacing w:line="360" w:lineRule="exact"/>
              <w:jc w:val="center"/>
              <w:rPr>
                <w:sz w:val="24"/>
              </w:rPr>
            </w:pPr>
            <w:r>
              <w:rPr>
                <w:rFonts w:hint="eastAsia"/>
                <w:sz w:val="24"/>
              </w:rPr>
              <w:t>不合格项目所属</w:t>
            </w:r>
          </w:p>
          <w:p>
            <w:pPr>
              <w:spacing w:line="360" w:lineRule="exact"/>
              <w:jc w:val="center"/>
              <w:rPr>
                <w:sz w:val="24"/>
              </w:rPr>
            </w:pPr>
            <w:r>
              <w:rPr>
                <w:rFonts w:hint="eastAsia"/>
                <w:sz w:val="24"/>
              </w:rPr>
              <w:t>指标</w:t>
            </w:r>
          </w:p>
        </w:tc>
        <w:tc>
          <w:tcPr>
            <w:tcW w:w="1842" w:type="dxa"/>
            <w:vAlign w:val="center"/>
          </w:tcPr>
          <w:p>
            <w:pPr>
              <w:spacing w:line="360" w:lineRule="exact"/>
              <w:jc w:val="center"/>
              <w:rPr>
                <w:sz w:val="24"/>
              </w:rPr>
            </w:pPr>
            <w:r>
              <w:rPr>
                <w:rFonts w:hint="eastAsia"/>
                <w:sz w:val="24"/>
              </w:rPr>
              <w:t>检验</w:t>
            </w:r>
          </w:p>
          <w:p>
            <w:pPr>
              <w:spacing w:line="360" w:lineRule="exact"/>
              <w:jc w:val="center"/>
              <w:rPr>
                <w:sz w:val="24"/>
              </w:rPr>
            </w:pPr>
            <w:r>
              <w:rPr>
                <w:rFonts w:hint="eastAsia"/>
                <w:sz w:val="24"/>
              </w:rPr>
              <w:t>结果</w:t>
            </w:r>
          </w:p>
        </w:tc>
        <w:tc>
          <w:tcPr>
            <w:tcW w:w="1843" w:type="dxa"/>
            <w:vAlign w:val="center"/>
          </w:tcPr>
          <w:p>
            <w:pPr>
              <w:spacing w:line="360" w:lineRule="exact"/>
              <w:jc w:val="center"/>
              <w:rPr>
                <w:sz w:val="24"/>
              </w:rPr>
            </w:pPr>
            <w:r>
              <w:rPr>
                <w:rFonts w:hint="eastAsia"/>
                <w:sz w:val="24"/>
              </w:rPr>
              <w:t>标准值</w:t>
            </w:r>
          </w:p>
          <w:p>
            <w:pPr>
              <w:spacing w:line="360" w:lineRule="exact"/>
              <w:jc w:val="center"/>
              <w:rPr>
                <w:sz w:val="24"/>
              </w:rPr>
            </w:pPr>
            <w:r>
              <w:rPr>
                <w:rFonts w:hint="eastAsia"/>
                <w:sz w:val="24"/>
              </w:rPr>
              <w:t>要求</w:t>
            </w:r>
          </w:p>
        </w:tc>
        <w:tc>
          <w:tcPr>
            <w:tcW w:w="3260" w:type="dxa"/>
            <w:vAlign w:val="center"/>
          </w:tcPr>
          <w:p>
            <w:pPr>
              <w:jc w:val="center"/>
              <w:rPr>
                <w:sz w:val="24"/>
              </w:rPr>
            </w:pPr>
            <w:r>
              <w:rPr>
                <w:rFonts w:hint="eastAsia"/>
                <w:sz w:val="24"/>
              </w:rPr>
              <w:t>不合格原因分析</w:t>
            </w:r>
          </w:p>
        </w:tc>
        <w:tc>
          <w:tcPr>
            <w:tcW w:w="3321" w:type="dxa"/>
            <w:vAlign w:val="center"/>
          </w:tcPr>
          <w:p>
            <w:pPr>
              <w:jc w:val="center"/>
              <w:rPr>
                <w:sz w:val="24"/>
              </w:rPr>
            </w:pPr>
            <w:r>
              <w:rPr>
                <w:rFonts w:hint="eastAsia"/>
                <w:sz w:val="24"/>
              </w:rPr>
              <w:t>可能引起的危害</w:t>
            </w:r>
          </w:p>
        </w:tc>
        <w:tc>
          <w:tcPr>
            <w:tcW w:w="1106"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384" w:type="dxa"/>
            <w:vAlign w:val="center"/>
          </w:tcPr>
          <w:p>
            <w:pPr>
              <w:jc w:val="center"/>
              <w:rPr>
                <w:rFonts w:hint="eastAsia"/>
                <w:szCs w:val="21"/>
              </w:rPr>
            </w:pPr>
            <w:r>
              <w:rPr>
                <w:rFonts w:hint="eastAsia"/>
                <w:szCs w:val="21"/>
              </w:rPr>
              <w:t>倍硫磷、噻虫胺</w:t>
            </w:r>
          </w:p>
        </w:tc>
        <w:tc>
          <w:tcPr>
            <w:tcW w:w="1418" w:type="dxa"/>
            <w:vAlign w:val="center"/>
          </w:tcPr>
          <w:p>
            <w:pPr>
              <w:jc w:val="center"/>
              <w:rPr>
                <w:rFonts w:hint="eastAsia"/>
                <w:szCs w:val="21"/>
                <w:lang w:val="en-US" w:eastAsia="zh-CN"/>
              </w:rPr>
            </w:pPr>
            <w:r>
              <w:rPr>
                <w:rFonts w:hint="eastAsia"/>
                <w:szCs w:val="21"/>
                <w:lang w:val="en-US" w:eastAsia="zh-CN"/>
              </w:rPr>
              <w:t>农药残留、农药残留</w:t>
            </w:r>
          </w:p>
        </w:tc>
        <w:tc>
          <w:tcPr>
            <w:tcW w:w="1842" w:type="dxa"/>
            <w:vAlign w:val="center"/>
          </w:tcPr>
          <w:p>
            <w:pPr>
              <w:jc w:val="center"/>
              <w:rPr>
                <w:rFonts w:hint="eastAsia"/>
                <w:szCs w:val="21"/>
                <w:lang w:val="en-US" w:eastAsia="zh-CN"/>
              </w:rPr>
            </w:pPr>
            <w:r>
              <w:rPr>
                <w:rFonts w:hint="eastAsia"/>
                <w:szCs w:val="21"/>
                <w:lang w:val="en-US" w:eastAsia="zh-CN"/>
              </w:rPr>
              <w:t>0.054mg/kg、0.029mg/kg</w:t>
            </w:r>
          </w:p>
        </w:tc>
        <w:tc>
          <w:tcPr>
            <w:tcW w:w="1843" w:type="dxa"/>
            <w:vAlign w:val="center"/>
          </w:tcPr>
          <w:p>
            <w:pPr>
              <w:jc w:val="center"/>
              <w:rPr>
                <w:rFonts w:hint="eastAsia"/>
                <w:szCs w:val="21"/>
                <w:lang w:val="en-US" w:eastAsia="zh-CN"/>
              </w:rPr>
            </w:pPr>
            <w:r>
              <w:rPr>
                <w:rFonts w:hint="eastAsia"/>
                <w:szCs w:val="21"/>
                <w:lang w:val="en-US" w:eastAsia="zh-CN"/>
              </w:rPr>
              <w:t>≤0.05mg/kg、≤0.01mg/kg</w:t>
            </w:r>
          </w:p>
        </w:tc>
        <w:tc>
          <w:tcPr>
            <w:tcW w:w="3260"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val="en-US" w:eastAsia="zh-CN"/>
              </w:rPr>
            </w:pPr>
            <w:r>
              <w:rPr>
                <w:rFonts w:hint="eastAsia"/>
                <w:szCs w:val="21"/>
                <w:lang w:eastAsia="zh-CN"/>
              </w:rPr>
              <w:t>倍硫磷残留量超标的原因，可能是为快速控制虫害，加大用药量或未遵守采摘间隔期规定，致使上市销售的产品中残留量超标；噻虫胺残留量超标的原因，可能是为快速控制虫害，加大用药量或未遵守采摘间隔期规定，致使上市销售的产品中残留量超标。</w:t>
            </w:r>
          </w:p>
        </w:tc>
        <w:tc>
          <w:tcPr>
            <w:tcW w:w="3321"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val="en-US" w:eastAsia="zh-CN"/>
              </w:rPr>
            </w:pPr>
            <w:r>
              <w:rPr>
                <w:rFonts w:hint="eastAsia"/>
                <w:szCs w:val="21"/>
                <w:lang w:eastAsia="zh-CN"/>
              </w:rPr>
              <w:t>倍硫磷是有机磷神经毒剂，对害虫具有触杀和胃毒作用，对蚜虫等有较好防效。少量的残留不会引起人体急性中毒，但长期食用倍硫磷超标的食品，对人体健康可能有一定影响；噻虫胺属新烟碱类杀虫剂，具有内吸性、触杀和胃毒作用，对蚜虫、斑潜蝇等有较好防效。少量的残留不会引起人体急性中毒，但长期食用噻虫胺超标的食品，对人体健康可能有一定影响。</w:t>
            </w:r>
          </w:p>
        </w:tc>
        <w:tc>
          <w:tcPr>
            <w:tcW w:w="1106" w:type="dxa"/>
            <w:vAlign w:val="center"/>
          </w:tcPr>
          <w:p>
            <w:pPr>
              <w:jc w:val="center"/>
              <w:rPr>
                <w:szCs w:val="21"/>
              </w:rPr>
            </w:pPr>
            <w:r>
              <w:rPr>
                <w:rFonts w:hint="eastAsia"/>
                <w:szCs w:val="21"/>
              </w:rPr>
              <w:t>食用农产品（</w:t>
            </w:r>
            <w:r>
              <w:rPr>
                <w:rFonts w:hint="eastAsia"/>
                <w:szCs w:val="21"/>
                <w:lang w:val="en-US" w:eastAsia="zh-CN"/>
              </w:rPr>
              <w:t>豇豆</w:t>
            </w:r>
            <w:r>
              <w:rPr>
                <w:rFonts w:hint="eastAsia"/>
                <w:szCs w:val="21"/>
              </w:rPr>
              <w:t>）</w:t>
            </w:r>
          </w:p>
        </w:tc>
      </w:tr>
    </w:tbl>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sz w:val="24"/>
        </w:rPr>
      </w:pPr>
      <w:r>
        <w:rPr>
          <w:rFonts w:hint="eastAsia"/>
          <w:sz w:val="24"/>
        </w:rPr>
        <w:t>检验报告书编号：JQT23FC01784</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842"/>
        <w:gridCol w:w="1843"/>
        <w:gridCol w:w="3260"/>
        <w:gridCol w:w="332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1384" w:type="dxa"/>
            <w:vAlign w:val="center"/>
          </w:tcPr>
          <w:p>
            <w:pPr>
              <w:spacing w:line="360" w:lineRule="exact"/>
              <w:jc w:val="center"/>
              <w:rPr>
                <w:sz w:val="24"/>
              </w:rPr>
            </w:pPr>
            <w:r>
              <w:rPr>
                <w:rFonts w:hint="eastAsia"/>
                <w:sz w:val="24"/>
              </w:rPr>
              <w:t>不合格</w:t>
            </w:r>
          </w:p>
          <w:p>
            <w:pPr>
              <w:spacing w:line="360" w:lineRule="exact"/>
              <w:jc w:val="center"/>
              <w:rPr>
                <w:sz w:val="24"/>
              </w:rPr>
            </w:pPr>
            <w:r>
              <w:rPr>
                <w:rFonts w:hint="eastAsia"/>
                <w:sz w:val="24"/>
              </w:rPr>
              <w:t>项目</w:t>
            </w:r>
          </w:p>
        </w:tc>
        <w:tc>
          <w:tcPr>
            <w:tcW w:w="1418" w:type="dxa"/>
            <w:vAlign w:val="center"/>
          </w:tcPr>
          <w:p>
            <w:pPr>
              <w:spacing w:line="360" w:lineRule="exact"/>
              <w:jc w:val="center"/>
              <w:rPr>
                <w:sz w:val="24"/>
              </w:rPr>
            </w:pPr>
            <w:r>
              <w:rPr>
                <w:rFonts w:hint="eastAsia"/>
                <w:sz w:val="24"/>
              </w:rPr>
              <w:t>不合格项目所属</w:t>
            </w:r>
          </w:p>
          <w:p>
            <w:pPr>
              <w:spacing w:line="360" w:lineRule="exact"/>
              <w:jc w:val="center"/>
              <w:rPr>
                <w:sz w:val="24"/>
              </w:rPr>
            </w:pPr>
            <w:r>
              <w:rPr>
                <w:rFonts w:hint="eastAsia"/>
                <w:sz w:val="24"/>
              </w:rPr>
              <w:t>指标</w:t>
            </w:r>
          </w:p>
        </w:tc>
        <w:tc>
          <w:tcPr>
            <w:tcW w:w="1842" w:type="dxa"/>
            <w:vAlign w:val="center"/>
          </w:tcPr>
          <w:p>
            <w:pPr>
              <w:spacing w:line="360" w:lineRule="exact"/>
              <w:jc w:val="center"/>
              <w:rPr>
                <w:sz w:val="24"/>
              </w:rPr>
            </w:pPr>
            <w:r>
              <w:rPr>
                <w:rFonts w:hint="eastAsia"/>
                <w:sz w:val="24"/>
              </w:rPr>
              <w:t>检验</w:t>
            </w:r>
          </w:p>
          <w:p>
            <w:pPr>
              <w:spacing w:line="360" w:lineRule="exact"/>
              <w:jc w:val="center"/>
              <w:rPr>
                <w:sz w:val="24"/>
              </w:rPr>
            </w:pPr>
            <w:r>
              <w:rPr>
                <w:rFonts w:hint="eastAsia"/>
                <w:sz w:val="24"/>
              </w:rPr>
              <w:t>结果</w:t>
            </w:r>
          </w:p>
        </w:tc>
        <w:tc>
          <w:tcPr>
            <w:tcW w:w="1843" w:type="dxa"/>
            <w:vAlign w:val="center"/>
          </w:tcPr>
          <w:p>
            <w:pPr>
              <w:spacing w:line="360" w:lineRule="exact"/>
              <w:jc w:val="center"/>
              <w:rPr>
                <w:sz w:val="24"/>
              </w:rPr>
            </w:pPr>
            <w:r>
              <w:rPr>
                <w:rFonts w:hint="eastAsia"/>
                <w:sz w:val="24"/>
              </w:rPr>
              <w:t>标准值</w:t>
            </w:r>
          </w:p>
          <w:p>
            <w:pPr>
              <w:spacing w:line="360" w:lineRule="exact"/>
              <w:jc w:val="center"/>
              <w:rPr>
                <w:sz w:val="24"/>
              </w:rPr>
            </w:pPr>
            <w:r>
              <w:rPr>
                <w:rFonts w:hint="eastAsia"/>
                <w:sz w:val="24"/>
              </w:rPr>
              <w:t>要求</w:t>
            </w:r>
          </w:p>
        </w:tc>
        <w:tc>
          <w:tcPr>
            <w:tcW w:w="3260" w:type="dxa"/>
            <w:vAlign w:val="center"/>
          </w:tcPr>
          <w:p>
            <w:pPr>
              <w:jc w:val="center"/>
              <w:rPr>
                <w:sz w:val="24"/>
              </w:rPr>
            </w:pPr>
            <w:r>
              <w:rPr>
                <w:rFonts w:hint="eastAsia"/>
                <w:sz w:val="24"/>
              </w:rPr>
              <w:t>不合格原因分析</w:t>
            </w:r>
          </w:p>
        </w:tc>
        <w:tc>
          <w:tcPr>
            <w:tcW w:w="3321" w:type="dxa"/>
            <w:vAlign w:val="center"/>
          </w:tcPr>
          <w:p>
            <w:pPr>
              <w:jc w:val="center"/>
              <w:rPr>
                <w:sz w:val="24"/>
              </w:rPr>
            </w:pPr>
            <w:r>
              <w:rPr>
                <w:rFonts w:hint="eastAsia"/>
                <w:sz w:val="24"/>
              </w:rPr>
              <w:t>可能引起的危害</w:t>
            </w:r>
          </w:p>
        </w:tc>
        <w:tc>
          <w:tcPr>
            <w:tcW w:w="1106"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384" w:type="dxa"/>
            <w:vAlign w:val="center"/>
          </w:tcPr>
          <w:p>
            <w:pPr>
              <w:jc w:val="center"/>
              <w:rPr>
                <w:rFonts w:hint="eastAsia"/>
                <w:szCs w:val="21"/>
              </w:rPr>
            </w:pPr>
            <w:r>
              <w:rPr>
                <w:rFonts w:hint="eastAsia"/>
                <w:szCs w:val="21"/>
              </w:rPr>
              <w:t>倍硫磷、甲氨基阿维菌素苯甲酸盐</w:t>
            </w:r>
          </w:p>
        </w:tc>
        <w:tc>
          <w:tcPr>
            <w:tcW w:w="1418" w:type="dxa"/>
            <w:vAlign w:val="center"/>
          </w:tcPr>
          <w:p>
            <w:pPr>
              <w:jc w:val="center"/>
              <w:rPr>
                <w:rFonts w:hint="eastAsia"/>
                <w:szCs w:val="21"/>
                <w:lang w:val="en-US" w:eastAsia="zh-CN"/>
              </w:rPr>
            </w:pPr>
            <w:r>
              <w:rPr>
                <w:rFonts w:hint="eastAsia"/>
                <w:szCs w:val="21"/>
                <w:lang w:val="en-US" w:eastAsia="zh-CN"/>
              </w:rPr>
              <w:t>农药残留、农药残留</w:t>
            </w:r>
          </w:p>
        </w:tc>
        <w:tc>
          <w:tcPr>
            <w:tcW w:w="1842" w:type="dxa"/>
            <w:vAlign w:val="center"/>
          </w:tcPr>
          <w:p>
            <w:pPr>
              <w:jc w:val="center"/>
              <w:rPr>
                <w:rFonts w:hint="eastAsia"/>
                <w:szCs w:val="21"/>
                <w:lang w:val="en-US" w:eastAsia="zh-CN"/>
              </w:rPr>
            </w:pPr>
            <w:r>
              <w:rPr>
                <w:rFonts w:hint="eastAsia"/>
                <w:szCs w:val="21"/>
                <w:lang w:val="en-US" w:eastAsia="zh-CN"/>
              </w:rPr>
              <w:t>0.072mg/kg、0.026mg/kg</w:t>
            </w:r>
          </w:p>
        </w:tc>
        <w:tc>
          <w:tcPr>
            <w:tcW w:w="1843" w:type="dxa"/>
            <w:vAlign w:val="center"/>
          </w:tcPr>
          <w:p>
            <w:pPr>
              <w:jc w:val="center"/>
              <w:rPr>
                <w:rFonts w:hint="eastAsia"/>
                <w:szCs w:val="21"/>
                <w:lang w:val="en-US" w:eastAsia="zh-CN"/>
              </w:rPr>
            </w:pPr>
            <w:r>
              <w:rPr>
                <w:rFonts w:hint="eastAsia"/>
                <w:szCs w:val="21"/>
                <w:lang w:val="en-US" w:eastAsia="zh-CN"/>
              </w:rPr>
              <w:t>≤0.05mg/kg、≤0.015mg/kg</w:t>
            </w:r>
          </w:p>
        </w:tc>
        <w:tc>
          <w:tcPr>
            <w:tcW w:w="3260"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eastAsia="zh-CN"/>
              </w:rPr>
            </w:pPr>
            <w:r>
              <w:rPr>
                <w:rFonts w:hint="eastAsia"/>
                <w:szCs w:val="21"/>
                <w:lang w:eastAsia="zh-CN"/>
              </w:rPr>
              <w:t>倍硫磷残留量超标的原因，可能是为快速控制虫害，加大用药量或未遵守采摘间隔期规定，致使上市销售的产品中残留量超标；甲氨基阿维菌素苯甲酸盐残留量超标的原因，可能是为快速控制虫害，加大用药量或未遵守采摘间隔期规定，致使上市销售的产品中残留量超标。</w:t>
            </w:r>
          </w:p>
        </w:tc>
        <w:tc>
          <w:tcPr>
            <w:tcW w:w="3321"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eastAsia="zh-CN"/>
              </w:rPr>
            </w:pPr>
            <w:r>
              <w:rPr>
                <w:rFonts w:hint="eastAsia"/>
                <w:szCs w:val="21"/>
                <w:lang w:eastAsia="zh-CN"/>
              </w:rPr>
              <w:t>倍硫磷是有机磷神经毒剂，对害虫具有触杀和胃毒作用，对蚜虫等有较好防效。少量的残留不会引起人体急性中毒，但长期食用倍硫磷超标的食品，对人体健康可能有一定影响；甲氨基阿维菌素苯甲酸盐是一种大环内酯类杀虫剂，具有触杀、胃毒和组织渗透作用，对豇豆中蓟马、豆荚螟等有较好防治效果。少量的残留不会引起人体急性中毒，但长期食用甲氨基阿维菌素苯甲酸盐超标的食品，对人体健康可能有一定影响。</w:t>
            </w:r>
          </w:p>
        </w:tc>
        <w:tc>
          <w:tcPr>
            <w:tcW w:w="1106" w:type="dxa"/>
            <w:vAlign w:val="center"/>
          </w:tcPr>
          <w:p>
            <w:pPr>
              <w:jc w:val="center"/>
              <w:rPr>
                <w:szCs w:val="21"/>
              </w:rPr>
            </w:pPr>
            <w:r>
              <w:rPr>
                <w:rFonts w:hint="eastAsia"/>
                <w:szCs w:val="21"/>
              </w:rPr>
              <w:t>食用农产品（</w:t>
            </w:r>
            <w:r>
              <w:rPr>
                <w:rFonts w:hint="eastAsia"/>
                <w:szCs w:val="21"/>
                <w:lang w:val="en-US" w:eastAsia="zh-CN"/>
              </w:rPr>
              <w:t>豇豆）</w:t>
            </w:r>
          </w:p>
        </w:tc>
      </w:tr>
    </w:tbl>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检验报告书编号：JQT23FC01790</w:t>
      </w:r>
      <w:r>
        <w:rPr>
          <w:rFonts w:hint="eastAsia"/>
          <w:sz w:val="24"/>
        </w:rPr>
        <w:tab/>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842"/>
        <w:gridCol w:w="1843"/>
        <w:gridCol w:w="3260"/>
        <w:gridCol w:w="332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1384" w:type="dxa"/>
            <w:vAlign w:val="center"/>
          </w:tcPr>
          <w:p>
            <w:pPr>
              <w:spacing w:line="360" w:lineRule="exact"/>
              <w:jc w:val="center"/>
              <w:rPr>
                <w:sz w:val="24"/>
              </w:rPr>
            </w:pPr>
            <w:r>
              <w:rPr>
                <w:rFonts w:hint="eastAsia"/>
                <w:sz w:val="24"/>
              </w:rPr>
              <w:t>不合格</w:t>
            </w:r>
          </w:p>
          <w:p>
            <w:pPr>
              <w:spacing w:line="360" w:lineRule="exact"/>
              <w:jc w:val="center"/>
              <w:rPr>
                <w:sz w:val="24"/>
              </w:rPr>
            </w:pPr>
            <w:r>
              <w:rPr>
                <w:rFonts w:hint="eastAsia"/>
                <w:sz w:val="24"/>
              </w:rPr>
              <w:t>项目</w:t>
            </w:r>
          </w:p>
        </w:tc>
        <w:tc>
          <w:tcPr>
            <w:tcW w:w="1418" w:type="dxa"/>
            <w:vAlign w:val="center"/>
          </w:tcPr>
          <w:p>
            <w:pPr>
              <w:spacing w:line="360" w:lineRule="exact"/>
              <w:jc w:val="center"/>
              <w:rPr>
                <w:sz w:val="24"/>
              </w:rPr>
            </w:pPr>
            <w:r>
              <w:rPr>
                <w:rFonts w:hint="eastAsia"/>
                <w:sz w:val="24"/>
              </w:rPr>
              <w:t>不合格项目所属</w:t>
            </w:r>
          </w:p>
          <w:p>
            <w:pPr>
              <w:spacing w:line="360" w:lineRule="exact"/>
              <w:jc w:val="center"/>
              <w:rPr>
                <w:sz w:val="24"/>
              </w:rPr>
            </w:pPr>
            <w:r>
              <w:rPr>
                <w:rFonts w:hint="eastAsia"/>
                <w:sz w:val="24"/>
              </w:rPr>
              <w:t>指标</w:t>
            </w:r>
          </w:p>
        </w:tc>
        <w:tc>
          <w:tcPr>
            <w:tcW w:w="1842" w:type="dxa"/>
            <w:vAlign w:val="center"/>
          </w:tcPr>
          <w:p>
            <w:pPr>
              <w:spacing w:line="360" w:lineRule="exact"/>
              <w:jc w:val="center"/>
              <w:rPr>
                <w:sz w:val="24"/>
              </w:rPr>
            </w:pPr>
            <w:r>
              <w:rPr>
                <w:rFonts w:hint="eastAsia"/>
                <w:sz w:val="24"/>
              </w:rPr>
              <w:t>检验</w:t>
            </w:r>
          </w:p>
          <w:p>
            <w:pPr>
              <w:spacing w:line="360" w:lineRule="exact"/>
              <w:jc w:val="center"/>
              <w:rPr>
                <w:sz w:val="24"/>
              </w:rPr>
            </w:pPr>
            <w:r>
              <w:rPr>
                <w:rFonts w:hint="eastAsia"/>
                <w:sz w:val="24"/>
              </w:rPr>
              <w:t>结果</w:t>
            </w:r>
          </w:p>
        </w:tc>
        <w:tc>
          <w:tcPr>
            <w:tcW w:w="1843" w:type="dxa"/>
            <w:vAlign w:val="center"/>
          </w:tcPr>
          <w:p>
            <w:pPr>
              <w:spacing w:line="360" w:lineRule="exact"/>
              <w:jc w:val="center"/>
              <w:rPr>
                <w:sz w:val="24"/>
              </w:rPr>
            </w:pPr>
            <w:r>
              <w:rPr>
                <w:rFonts w:hint="eastAsia"/>
                <w:sz w:val="24"/>
              </w:rPr>
              <w:t>标准值</w:t>
            </w:r>
          </w:p>
          <w:p>
            <w:pPr>
              <w:spacing w:line="360" w:lineRule="exact"/>
              <w:jc w:val="center"/>
              <w:rPr>
                <w:sz w:val="24"/>
              </w:rPr>
            </w:pPr>
            <w:r>
              <w:rPr>
                <w:rFonts w:hint="eastAsia"/>
                <w:sz w:val="24"/>
              </w:rPr>
              <w:t>要求</w:t>
            </w:r>
          </w:p>
        </w:tc>
        <w:tc>
          <w:tcPr>
            <w:tcW w:w="3260" w:type="dxa"/>
            <w:vAlign w:val="center"/>
          </w:tcPr>
          <w:p>
            <w:pPr>
              <w:jc w:val="center"/>
              <w:rPr>
                <w:sz w:val="24"/>
              </w:rPr>
            </w:pPr>
            <w:r>
              <w:rPr>
                <w:rFonts w:hint="eastAsia"/>
                <w:sz w:val="24"/>
              </w:rPr>
              <w:t>不合格原因分析</w:t>
            </w:r>
          </w:p>
        </w:tc>
        <w:tc>
          <w:tcPr>
            <w:tcW w:w="3321" w:type="dxa"/>
            <w:vAlign w:val="center"/>
          </w:tcPr>
          <w:p>
            <w:pPr>
              <w:jc w:val="center"/>
              <w:rPr>
                <w:sz w:val="24"/>
              </w:rPr>
            </w:pPr>
            <w:r>
              <w:rPr>
                <w:rFonts w:hint="eastAsia"/>
                <w:sz w:val="24"/>
              </w:rPr>
              <w:t>可能引起的危害</w:t>
            </w:r>
          </w:p>
        </w:tc>
        <w:tc>
          <w:tcPr>
            <w:tcW w:w="1106"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384" w:type="dxa"/>
            <w:vAlign w:val="center"/>
          </w:tcPr>
          <w:p>
            <w:pPr>
              <w:jc w:val="center"/>
              <w:rPr>
                <w:rFonts w:hint="eastAsia"/>
                <w:szCs w:val="21"/>
              </w:rPr>
            </w:pPr>
            <w:r>
              <w:rPr>
                <w:rFonts w:hint="eastAsia"/>
                <w:szCs w:val="21"/>
              </w:rPr>
              <w:t>克百威</w:t>
            </w:r>
          </w:p>
        </w:tc>
        <w:tc>
          <w:tcPr>
            <w:tcW w:w="1418" w:type="dxa"/>
            <w:vAlign w:val="center"/>
          </w:tcPr>
          <w:p>
            <w:pPr>
              <w:jc w:val="center"/>
              <w:rPr>
                <w:rFonts w:hint="eastAsia"/>
                <w:szCs w:val="21"/>
                <w:lang w:val="en-US" w:eastAsia="zh-CN"/>
              </w:rPr>
            </w:pPr>
            <w:r>
              <w:rPr>
                <w:rFonts w:hint="eastAsia"/>
                <w:szCs w:val="21"/>
                <w:lang w:val="en-US" w:eastAsia="zh-CN"/>
              </w:rPr>
              <w:t>农药残留</w:t>
            </w:r>
          </w:p>
        </w:tc>
        <w:tc>
          <w:tcPr>
            <w:tcW w:w="1842" w:type="dxa"/>
            <w:vAlign w:val="center"/>
          </w:tcPr>
          <w:p>
            <w:pPr>
              <w:jc w:val="center"/>
              <w:rPr>
                <w:rFonts w:hint="eastAsia"/>
                <w:szCs w:val="21"/>
                <w:lang w:val="en-US" w:eastAsia="zh-CN"/>
              </w:rPr>
            </w:pPr>
            <w:r>
              <w:rPr>
                <w:rFonts w:hint="eastAsia"/>
                <w:szCs w:val="21"/>
                <w:lang w:val="en-US" w:eastAsia="zh-CN"/>
              </w:rPr>
              <w:t>0.22mg/kg</w:t>
            </w:r>
          </w:p>
        </w:tc>
        <w:tc>
          <w:tcPr>
            <w:tcW w:w="1843" w:type="dxa"/>
            <w:vAlign w:val="center"/>
          </w:tcPr>
          <w:p>
            <w:pPr>
              <w:jc w:val="center"/>
              <w:rPr>
                <w:rFonts w:hint="eastAsia"/>
                <w:szCs w:val="21"/>
                <w:lang w:val="en-US" w:eastAsia="zh-CN"/>
              </w:rPr>
            </w:pPr>
            <w:r>
              <w:rPr>
                <w:rFonts w:hint="eastAsia"/>
                <w:szCs w:val="21"/>
                <w:lang w:val="en-US" w:eastAsia="zh-CN"/>
              </w:rPr>
              <w:t>≤0.02mg/kg</w:t>
            </w:r>
          </w:p>
        </w:tc>
        <w:tc>
          <w:tcPr>
            <w:tcW w:w="3260"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eastAsia="zh-CN"/>
              </w:rPr>
            </w:pPr>
            <w:r>
              <w:rPr>
                <w:rFonts w:hint="eastAsia"/>
                <w:szCs w:val="21"/>
                <w:lang w:eastAsia="zh-CN"/>
              </w:rPr>
              <w:t>克百威超标的原因，可能是为快速控制虫害，加大用药量或未遵守采摘间隔期规定，致使上市销售的产品中残留量超标。</w:t>
            </w:r>
          </w:p>
        </w:tc>
        <w:tc>
          <w:tcPr>
            <w:tcW w:w="3321"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eastAsia="zh-CN"/>
              </w:rPr>
            </w:pPr>
            <w:r>
              <w:rPr>
                <w:rFonts w:hint="eastAsia"/>
                <w:szCs w:val="21"/>
                <w:lang w:eastAsia="zh-CN"/>
              </w:rPr>
              <w:t>克百威是一种广谱、高效、低残留、高毒性的氨基甲酸酯类杀虫剂和杀线虫剂。中毒表现为多汗、流涎、瞳孔缩小、头昏、头痛、流泪及肌肉震颤等，严重者出现血压下降、意识不清；皮肤可出现接触性皮炎。少量的农药残留不会引起人体急性中毒，但长期食用克百威超标的食品，对人体健康也有一定影响。</w:t>
            </w:r>
          </w:p>
        </w:tc>
        <w:tc>
          <w:tcPr>
            <w:tcW w:w="1106" w:type="dxa"/>
            <w:vAlign w:val="center"/>
          </w:tcPr>
          <w:p>
            <w:pPr>
              <w:jc w:val="center"/>
              <w:rPr>
                <w:szCs w:val="21"/>
              </w:rPr>
            </w:pPr>
            <w:r>
              <w:rPr>
                <w:rFonts w:hint="eastAsia"/>
                <w:szCs w:val="21"/>
              </w:rPr>
              <w:t>食用农产品（</w:t>
            </w:r>
            <w:r>
              <w:rPr>
                <w:rFonts w:hint="eastAsia"/>
                <w:szCs w:val="21"/>
                <w:lang w:val="en-US" w:eastAsia="zh-CN"/>
              </w:rPr>
              <w:t>豇豆</w:t>
            </w:r>
            <w:r>
              <w:rPr>
                <w:rFonts w:hint="eastAsia"/>
                <w:szCs w:val="21"/>
              </w:rPr>
              <w:t>）</w:t>
            </w:r>
          </w:p>
        </w:tc>
      </w:tr>
    </w:tbl>
    <w:p>
      <w:pPr>
        <w:rPr>
          <w:rFonts w:hint="eastAsia"/>
          <w:sz w:val="24"/>
        </w:rPr>
      </w:pPr>
      <w:r>
        <w:rPr>
          <w:rFonts w:hint="eastAsia"/>
          <w:sz w:val="24"/>
        </w:rPr>
        <w:t>检验报告书编号：JQT23FC01887</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842"/>
        <w:gridCol w:w="1843"/>
        <w:gridCol w:w="3260"/>
        <w:gridCol w:w="332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1384" w:type="dxa"/>
            <w:vAlign w:val="center"/>
          </w:tcPr>
          <w:p>
            <w:pPr>
              <w:spacing w:line="360" w:lineRule="exact"/>
              <w:jc w:val="center"/>
              <w:rPr>
                <w:sz w:val="24"/>
              </w:rPr>
            </w:pPr>
            <w:r>
              <w:rPr>
                <w:rFonts w:hint="eastAsia"/>
                <w:sz w:val="24"/>
              </w:rPr>
              <w:t>不合格</w:t>
            </w:r>
          </w:p>
          <w:p>
            <w:pPr>
              <w:spacing w:line="360" w:lineRule="exact"/>
              <w:jc w:val="center"/>
              <w:rPr>
                <w:sz w:val="24"/>
              </w:rPr>
            </w:pPr>
            <w:r>
              <w:rPr>
                <w:rFonts w:hint="eastAsia"/>
                <w:sz w:val="24"/>
              </w:rPr>
              <w:t>项目</w:t>
            </w:r>
          </w:p>
        </w:tc>
        <w:tc>
          <w:tcPr>
            <w:tcW w:w="1418" w:type="dxa"/>
            <w:vAlign w:val="center"/>
          </w:tcPr>
          <w:p>
            <w:pPr>
              <w:spacing w:line="360" w:lineRule="exact"/>
              <w:jc w:val="center"/>
              <w:rPr>
                <w:sz w:val="24"/>
              </w:rPr>
            </w:pPr>
            <w:r>
              <w:rPr>
                <w:rFonts w:hint="eastAsia"/>
                <w:sz w:val="24"/>
              </w:rPr>
              <w:t>不合格项目所属</w:t>
            </w:r>
          </w:p>
          <w:p>
            <w:pPr>
              <w:spacing w:line="360" w:lineRule="exact"/>
              <w:jc w:val="center"/>
              <w:rPr>
                <w:sz w:val="24"/>
              </w:rPr>
            </w:pPr>
            <w:r>
              <w:rPr>
                <w:rFonts w:hint="eastAsia"/>
                <w:sz w:val="24"/>
              </w:rPr>
              <w:t>指标</w:t>
            </w:r>
          </w:p>
        </w:tc>
        <w:tc>
          <w:tcPr>
            <w:tcW w:w="1842" w:type="dxa"/>
            <w:vAlign w:val="center"/>
          </w:tcPr>
          <w:p>
            <w:pPr>
              <w:spacing w:line="360" w:lineRule="exact"/>
              <w:jc w:val="center"/>
              <w:rPr>
                <w:sz w:val="24"/>
              </w:rPr>
            </w:pPr>
            <w:r>
              <w:rPr>
                <w:rFonts w:hint="eastAsia"/>
                <w:sz w:val="24"/>
              </w:rPr>
              <w:t>检验</w:t>
            </w:r>
          </w:p>
          <w:p>
            <w:pPr>
              <w:spacing w:line="360" w:lineRule="exact"/>
              <w:jc w:val="center"/>
              <w:rPr>
                <w:sz w:val="24"/>
              </w:rPr>
            </w:pPr>
            <w:r>
              <w:rPr>
                <w:rFonts w:hint="eastAsia"/>
                <w:sz w:val="24"/>
              </w:rPr>
              <w:t>结果</w:t>
            </w:r>
          </w:p>
        </w:tc>
        <w:tc>
          <w:tcPr>
            <w:tcW w:w="1843" w:type="dxa"/>
            <w:vAlign w:val="center"/>
          </w:tcPr>
          <w:p>
            <w:pPr>
              <w:spacing w:line="360" w:lineRule="exact"/>
              <w:jc w:val="center"/>
              <w:rPr>
                <w:sz w:val="24"/>
              </w:rPr>
            </w:pPr>
            <w:r>
              <w:rPr>
                <w:rFonts w:hint="eastAsia"/>
                <w:sz w:val="24"/>
              </w:rPr>
              <w:t>标准值</w:t>
            </w:r>
          </w:p>
          <w:p>
            <w:pPr>
              <w:spacing w:line="360" w:lineRule="exact"/>
              <w:jc w:val="center"/>
              <w:rPr>
                <w:sz w:val="24"/>
              </w:rPr>
            </w:pPr>
            <w:r>
              <w:rPr>
                <w:rFonts w:hint="eastAsia"/>
                <w:sz w:val="24"/>
              </w:rPr>
              <w:t>要求</w:t>
            </w:r>
          </w:p>
        </w:tc>
        <w:tc>
          <w:tcPr>
            <w:tcW w:w="3260" w:type="dxa"/>
            <w:vAlign w:val="center"/>
          </w:tcPr>
          <w:p>
            <w:pPr>
              <w:jc w:val="center"/>
              <w:rPr>
                <w:sz w:val="24"/>
              </w:rPr>
            </w:pPr>
            <w:r>
              <w:rPr>
                <w:rFonts w:hint="eastAsia"/>
                <w:sz w:val="24"/>
              </w:rPr>
              <w:t>不合格原因分析</w:t>
            </w:r>
          </w:p>
        </w:tc>
        <w:tc>
          <w:tcPr>
            <w:tcW w:w="3321" w:type="dxa"/>
            <w:vAlign w:val="center"/>
          </w:tcPr>
          <w:p>
            <w:pPr>
              <w:jc w:val="center"/>
              <w:rPr>
                <w:sz w:val="24"/>
              </w:rPr>
            </w:pPr>
            <w:r>
              <w:rPr>
                <w:rFonts w:hint="eastAsia"/>
                <w:sz w:val="24"/>
              </w:rPr>
              <w:t>可能引起的危害</w:t>
            </w:r>
          </w:p>
        </w:tc>
        <w:tc>
          <w:tcPr>
            <w:tcW w:w="1106"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384" w:type="dxa"/>
            <w:vAlign w:val="center"/>
          </w:tcPr>
          <w:p>
            <w:pPr>
              <w:jc w:val="center"/>
              <w:rPr>
                <w:rFonts w:hint="eastAsia"/>
                <w:szCs w:val="21"/>
                <w:lang w:val="en-US" w:eastAsia="zh-CN"/>
              </w:rPr>
            </w:pPr>
            <w:r>
              <w:rPr>
                <w:rFonts w:hint="eastAsia"/>
                <w:szCs w:val="21"/>
                <w:lang w:val="en-US" w:eastAsia="zh-CN"/>
              </w:rPr>
              <w:t>倍硫磷</w:t>
            </w:r>
          </w:p>
        </w:tc>
        <w:tc>
          <w:tcPr>
            <w:tcW w:w="1418" w:type="dxa"/>
            <w:vAlign w:val="center"/>
          </w:tcPr>
          <w:p>
            <w:pPr>
              <w:jc w:val="center"/>
              <w:rPr>
                <w:rFonts w:hint="eastAsia"/>
                <w:szCs w:val="21"/>
                <w:lang w:val="en-US" w:eastAsia="zh-CN"/>
              </w:rPr>
            </w:pPr>
            <w:r>
              <w:rPr>
                <w:rFonts w:hint="eastAsia"/>
                <w:szCs w:val="21"/>
                <w:lang w:val="en-US" w:eastAsia="zh-CN"/>
              </w:rPr>
              <w:t>农药残留</w:t>
            </w:r>
          </w:p>
        </w:tc>
        <w:tc>
          <w:tcPr>
            <w:tcW w:w="1842" w:type="dxa"/>
            <w:vAlign w:val="center"/>
          </w:tcPr>
          <w:p>
            <w:pPr>
              <w:jc w:val="center"/>
              <w:rPr>
                <w:rFonts w:hint="eastAsia"/>
                <w:szCs w:val="21"/>
                <w:lang w:val="en-US" w:eastAsia="zh-CN"/>
              </w:rPr>
            </w:pPr>
            <w:r>
              <w:rPr>
                <w:rFonts w:hint="eastAsia"/>
                <w:szCs w:val="21"/>
                <w:lang w:val="en-US" w:eastAsia="zh-CN"/>
              </w:rPr>
              <w:t>0.29mg/kg</w:t>
            </w:r>
          </w:p>
        </w:tc>
        <w:tc>
          <w:tcPr>
            <w:tcW w:w="1843" w:type="dxa"/>
            <w:vAlign w:val="center"/>
          </w:tcPr>
          <w:p>
            <w:pPr>
              <w:jc w:val="center"/>
              <w:rPr>
                <w:rFonts w:hint="eastAsia"/>
                <w:szCs w:val="21"/>
                <w:lang w:val="en-US" w:eastAsia="zh-CN"/>
              </w:rPr>
            </w:pPr>
            <w:r>
              <w:rPr>
                <w:rFonts w:hint="eastAsia"/>
                <w:szCs w:val="21"/>
                <w:lang w:val="en-US" w:eastAsia="zh-CN"/>
              </w:rPr>
              <w:t>≤0.05mg/kg</w:t>
            </w:r>
          </w:p>
        </w:tc>
        <w:tc>
          <w:tcPr>
            <w:tcW w:w="3260"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eastAsia="zh-CN"/>
              </w:rPr>
            </w:pPr>
            <w:r>
              <w:rPr>
                <w:rFonts w:hint="eastAsia"/>
                <w:szCs w:val="21"/>
                <w:lang w:eastAsia="zh-CN"/>
              </w:rPr>
              <w:t>倍硫磷残留量超标的原因，可能是为快速控制虫害，加大用药量或未遵守采摘间隔期规定，致使上市销售的产品中残留量超标。</w:t>
            </w:r>
          </w:p>
        </w:tc>
        <w:tc>
          <w:tcPr>
            <w:tcW w:w="3321"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eastAsia="zh-CN"/>
              </w:rPr>
            </w:pPr>
            <w:r>
              <w:rPr>
                <w:rFonts w:hint="eastAsia"/>
                <w:szCs w:val="21"/>
                <w:lang w:eastAsia="zh-CN"/>
              </w:rPr>
              <w:t>倍硫磷是有机磷神经毒剂，对害虫具有触杀和胃毒作用，对蚜虫等有较好防效。少量的残留不会引起人体急性中毒，但长期食用倍硫磷超标的食品，对人体健康可能有一定影响。</w:t>
            </w:r>
          </w:p>
        </w:tc>
        <w:tc>
          <w:tcPr>
            <w:tcW w:w="1106" w:type="dxa"/>
            <w:vAlign w:val="center"/>
          </w:tcPr>
          <w:p>
            <w:pPr>
              <w:jc w:val="center"/>
              <w:rPr>
                <w:szCs w:val="21"/>
              </w:rPr>
            </w:pPr>
            <w:r>
              <w:rPr>
                <w:rFonts w:hint="eastAsia"/>
                <w:szCs w:val="21"/>
              </w:rPr>
              <w:t>食用农产品（</w:t>
            </w:r>
            <w:r>
              <w:rPr>
                <w:rFonts w:hint="eastAsia"/>
                <w:szCs w:val="21"/>
                <w:lang w:val="en-US" w:eastAsia="zh-CN"/>
              </w:rPr>
              <w:t>豇豆）</w:t>
            </w:r>
          </w:p>
        </w:tc>
      </w:tr>
    </w:tbl>
    <w:p>
      <w:pPr>
        <w:jc w:val="center"/>
        <w:rPr>
          <w:b/>
          <w:bCs/>
          <w:sz w:val="44"/>
          <w:szCs w:val="44"/>
        </w:rPr>
      </w:pPr>
    </w:p>
    <w:p>
      <w:pPr>
        <w:rPr>
          <w:rFonts w:hint="eastAsia"/>
          <w:sz w:val="24"/>
        </w:rPr>
      </w:pPr>
      <w:r>
        <w:rPr>
          <w:rFonts w:hint="eastAsia"/>
          <w:sz w:val="24"/>
        </w:rPr>
        <w:t>检验报告书编号：JQT23FC01878</w:t>
      </w:r>
      <w:r>
        <w:rPr>
          <w:rFonts w:hint="eastAsia"/>
          <w:sz w:val="24"/>
        </w:rPr>
        <w:tab/>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842"/>
        <w:gridCol w:w="1843"/>
        <w:gridCol w:w="3260"/>
        <w:gridCol w:w="332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1384" w:type="dxa"/>
            <w:vAlign w:val="center"/>
          </w:tcPr>
          <w:p>
            <w:pPr>
              <w:spacing w:line="360" w:lineRule="exact"/>
              <w:jc w:val="center"/>
              <w:rPr>
                <w:sz w:val="24"/>
              </w:rPr>
            </w:pPr>
            <w:r>
              <w:rPr>
                <w:rFonts w:hint="eastAsia"/>
                <w:sz w:val="24"/>
              </w:rPr>
              <w:t>不合格</w:t>
            </w:r>
          </w:p>
          <w:p>
            <w:pPr>
              <w:spacing w:line="360" w:lineRule="exact"/>
              <w:jc w:val="center"/>
              <w:rPr>
                <w:sz w:val="24"/>
              </w:rPr>
            </w:pPr>
            <w:r>
              <w:rPr>
                <w:rFonts w:hint="eastAsia"/>
                <w:sz w:val="24"/>
              </w:rPr>
              <w:t>项目</w:t>
            </w:r>
          </w:p>
        </w:tc>
        <w:tc>
          <w:tcPr>
            <w:tcW w:w="1418" w:type="dxa"/>
            <w:vAlign w:val="center"/>
          </w:tcPr>
          <w:p>
            <w:pPr>
              <w:spacing w:line="360" w:lineRule="exact"/>
              <w:jc w:val="center"/>
              <w:rPr>
                <w:sz w:val="24"/>
              </w:rPr>
            </w:pPr>
            <w:r>
              <w:rPr>
                <w:rFonts w:hint="eastAsia"/>
                <w:sz w:val="24"/>
              </w:rPr>
              <w:t>不合格项目所属</w:t>
            </w:r>
          </w:p>
          <w:p>
            <w:pPr>
              <w:spacing w:line="360" w:lineRule="exact"/>
              <w:jc w:val="center"/>
              <w:rPr>
                <w:sz w:val="24"/>
              </w:rPr>
            </w:pPr>
            <w:r>
              <w:rPr>
                <w:rFonts w:hint="eastAsia"/>
                <w:sz w:val="24"/>
              </w:rPr>
              <w:t>指标</w:t>
            </w:r>
          </w:p>
        </w:tc>
        <w:tc>
          <w:tcPr>
            <w:tcW w:w="1842" w:type="dxa"/>
            <w:vAlign w:val="center"/>
          </w:tcPr>
          <w:p>
            <w:pPr>
              <w:spacing w:line="360" w:lineRule="exact"/>
              <w:jc w:val="center"/>
              <w:rPr>
                <w:sz w:val="24"/>
              </w:rPr>
            </w:pPr>
            <w:r>
              <w:rPr>
                <w:rFonts w:hint="eastAsia"/>
                <w:sz w:val="24"/>
              </w:rPr>
              <w:t>检验</w:t>
            </w:r>
          </w:p>
          <w:p>
            <w:pPr>
              <w:spacing w:line="360" w:lineRule="exact"/>
              <w:jc w:val="center"/>
              <w:rPr>
                <w:sz w:val="24"/>
              </w:rPr>
            </w:pPr>
            <w:r>
              <w:rPr>
                <w:rFonts w:hint="eastAsia"/>
                <w:sz w:val="24"/>
              </w:rPr>
              <w:t>结果</w:t>
            </w:r>
          </w:p>
        </w:tc>
        <w:tc>
          <w:tcPr>
            <w:tcW w:w="1843" w:type="dxa"/>
            <w:vAlign w:val="center"/>
          </w:tcPr>
          <w:p>
            <w:pPr>
              <w:spacing w:line="360" w:lineRule="exact"/>
              <w:jc w:val="center"/>
              <w:rPr>
                <w:sz w:val="24"/>
              </w:rPr>
            </w:pPr>
            <w:r>
              <w:rPr>
                <w:rFonts w:hint="eastAsia"/>
                <w:sz w:val="24"/>
              </w:rPr>
              <w:t>标准值</w:t>
            </w:r>
          </w:p>
          <w:p>
            <w:pPr>
              <w:spacing w:line="360" w:lineRule="exact"/>
              <w:jc w:val="center"/>
              <w:rPr>
                <w:sz w:val="24"/>
              </w:rPr>
            </w:pPr>
            <w:r>
              <w:rPr>
                <w:rFonts w:hint="eastAsia"/>
                <w:sz w:val="24"/>
              </w:rPr>
              <w:t>要求</w:t>
            </w:r>
          </w:p>
        </w:tc>
        <w:tc>
          <w:tcPr>
            <w:tcW w:w="3260" w:type="dxa"/>
            <w:vAlign w:val="center"/>
          </w:tcPr>
          <w:p>
            <w:pPr>
              <w:jc w:val="center"/>
              <w:rPr>
                <w:sz w:val="24"/>
              </w:rPr>
            </w:pPr>
            <w:r>
              <w:rPr>
                <w:rFonts w:hint="eastAsia"/>
                <w:sz w:val="24"/>
              </w:rPr>
              <w:t>不合格原因分析</w:t>
            </w:r>
          </w:p>
        </w:tc>
        <w:tc>
          <w:tcPr>
            <w:tcW w:w="3321" w:type="dxa"/>
            <w:vAlign w:val="center"/>
          </w:tcPr>
          <w:p>
            <w:pPr>
              <w:jc w:val="center"/>
              <w:rPr>
                <w:sz w:val="24"/>
              </w:rPr>
            </w:pPr>
            <w:r>
              <w:rPr>
                <w:rFonts w:hint="eastAsia"/>
                <w:sz w:val="24"/>
              </w:rPr>
              <w:t>可能引起的危害</w:t>
            </w:r>
          </w:p>
        </w:tc>
        <w:tc>
          <w:tcPr>
            <w:tcW w:w="1106"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384" w:type="dxa"/>
            <w:vAlign w:val="center"/>
          </w:tcPr>
          <w:p>
            <w:pPr>
              <w:jc w:val="center"/>
              <w:rPr>
                <w:szCs w:val="21"/>
              </w:rPr>
            </w:pPr>
            <w:r>
              <w:rPr>
                <w:rFonts w:hint="eastAsia"/>
                <w:szCs w:val="21"/>
              </w:rPr>
              <w:t>噻虫胺</w:t>
            </w:r>
          </w:p>
        </w:tc>
        <w:tc>
          <w:tcPr>
            <w:tcW w:w="1418" w:type="dxa"/>
            <w:vAlign w:val="center"/>
          </w:tcPr>
          <w:p>
            <w:pPr>
              <w:jc w:val="center"/>
              <w:rPr>
                <w:szCs w:val="21"/>
              </w:rPr>
            </w:pPr>
            <w:r>
              <w:rPr>
                <w:rFonts w:hint="eastAsia"/>
                <w:szCs w:val="21"/>
                <w:lang w:val="en-US" w:eastAsia="zh-CN"/>
              </w:rPr>
              <w:t>农药残留</w:t>
            </w:r>
          </w:p>
        </w:tc>
        <w:tc>
          <w:tcPr>
            <w:tcW w:w="184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0.11mg/kg</w:t>
            </w:r>
          </w:p>
        </w:tc>
        <w:tc>
          <w:tcPr>
            <w:tcW w:w="184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≤0.05mg/kg</w:t>
            </w:r>
          </w:p>
        </w:tc>
        <w:tc>
          <w:tcPr>
            <w:tcW w:w="3260"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eastAsia="zh-CN"/>
              </w:rPr>
            </w:pPr>
            <w:r>
              <w:rPr>
                <w:rFonts w:hint="eastAsia"/>
                <w:szCs w:val="21"/>
                <w:lang w:eastAsia="zh-CN"/>
              </w:rPr>
              <w:t>噻虫胺残留量超标的原因，可能是为快速控制虫害，加大用药量或未遵守采摘间隔期规定，致使上市销售的产品中残留量超标。</w:t>
            </w:r>
          </w:p>
        </w:tc>
        <w:tc>
          <w:tcPr>
            <w:tcW w:w="3321"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eastAsia="zh-CN"/>
              </w:rPr>
            </w:pPr>
            <w:r>
              <w:rPr>
                <w:rFonts w:hint="eastAsia"/>
                <w:szCs w:val="21"/>
                <w:lang w:eastAsia="zh-CN"/>
              </w:rPr>
              <w:t>噻虫胺属新烟碱类杀虫剂，具有内吸性、触杀和胃毒作用，对蚜虫、斑潜蝇等有较好防效。少量的残留不会引起人体急性中毒，但长期食用噻虫胺超标的食品，对人体健康可能有一定影响。</w:t>
            </w:r>
          </w:p>
        </w:tc>
        <w:tc>
          <w:tcPr>
            <w:tcW w:w="1106" w:type="dxa"/>
            <w:vAlign w:val="center"/>
          </w:tcPr>
          <w:p>
            <w:pPr>
              <w:jc w:val="center"/>
              <w:rPr>
                <w:szCs w:val="21"/>
              </w:rPr>
            </w:pPr>
            <w:r>
              <w:rPr>
                <w:rFonts w:hint="eastAsia"/>
                <w:szCs w:val="21"/>
              </w:rPr>
              <w:t>食用农产品（</w:t>
            </w:r>
            <w:r>
              <w:rPr>
                <w:rFonts w:hint="eastAsia"/>
                <w:szCs w:val="21"/>
                <w:lang w:val="en-US" w:eastAsia="zh-CN"/>
              </w:rPr>
              <w:t>辣椒</w:t>
            </w:r>
            <w:r>
              <w:rPr>
                <w:rFonts w:hint="eastAsia"/>
                <w:szCs w:val="21"/>
              </w:rPr>
              <w:t>）</w:t>
            </w:r>
          </w:p>
        </w:tc>
      </w:tr>
    </w:tbl>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both"/>
        <w:rPr>
          <w:b/>
          <w:bCs/>
          <w:sz w:val="44"/>
          <w:szCs w:val="44"/>
        </w:rPr>
      </w:pPr>
      <w:bookmarkStart w:id="0" w:name="_GoBack"/>
      <w:bookmarkEnd w:id="0"/>
    </w:p>
    <w:p>
      <w:pPr>
        <w:rPr>
          <w:sz w:val="24"/>
        </w:rPr>
      </w:pPr>
    </w:p>
    <w:sectPr>
      <w:pgSz w:w="16838" w:h="11906" w:orient="landscape"/>
      <w:pgMar w:top="1247" w:right="1440" w:bottom="124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iNWNmM2E3YjRjZDI2YjM2ZmQ2ZDE4ZDhhMzM5MDgifQ=="/>
  </w:docVars>
  <w:rsids>
    <w:rsidRoot w:val="00172A27"/>
    <w:rsid w:val="00004BF0"/>
    <w:rsid w:val="00021E1E"/>
    <w:rsid w:val="0004452C"/>
    <w:rsid w:val="00054D9F"/>
    <w:rsid w:val="00113C00"/>
    <w:rsid w:val="0015253B"/>
    <w:rsid w:val="00172A27"/>
    <w:rsid w:val="001F1D15"/>
    <w:rsid w:val="00213700"/>
    <w:rsid w:val="00277263"/>
    <w:rsid w:val="003419A7"/>
    <w:rsid w:val="003C3CDC"/>
    <w:rsid w:val="003F3B16"/>
    <w:rsid w:val="0048297A"/>
    <w:rsid w:val="006E19FA"/>
    <w:rsid w:val="0076439A"/>
    <w:rsid w:val="0080192F"/>
    <w:rsid w:val="00867AF8"/>
    <w:rsid w:val="008A508F"/>
    <w:rsid w:val="009074DA"/>
    <w:rsid w:val="009A3E14"/>
    <w:rsid w:val="00A0105D"/>
    <w:rsid w:val="00A4460A"/>
    <w:rsid w:val="00A63396"/>
    <w:rsid w:val="00A63B4A"/>
    <w:rsid w:val="00AD3134"/>
    <w:rsid w:val="00B1689F"/>
    <w:rsid w:val="00B50016"/>
    <w:rsid w:val="00CA74C0"/>
    <w:rsid w:val="00D661E2"/>
    <w:rsid w:val="00D956C6"/>
    <w:rsid w:val="00DC3F25"/>
    <w:rsid w:val="00E15386"/>
    <w:rsid w:val="00E60345"/>
    <w:rsid w:val="00E7600A"/>
    <w:rsid w:val="029605BF"/>
    <w:rsid w:val="02F83936"/>
    <w:rsid w:val="04FC43EA"/>
    <w:rsid w:val="05950139"/>
    <w:rsid w:val="06764C22"/>
    <w:rsid w:val="070D7EC5"/>
    <w:rsid w:val="07BA6423"/>
    <w:rsid w:val="0807527E"/>
    <w:rsid w:val="09B74ED8"/>
    <w:rsid w:val="0AA60A13"/>
    <w:rsid w:val="0B7E72CA"/>
    <w:rsid w:val="0EA5395E"/>
    <w:rsid w:val="0FA6540C"/>
    <w:rsid w:val="11693AF3"/>
    <w:rsid w:val="12505D75"/>
    <w:rsid w:val="14FC2BBF"/>
    <w:rsid w:val="15490981"/>
    <w:rsid w:val="17290724"/>
    <w:rsid w:val="199E12F3"/>
    <w:rsid w:val="19EA74AD"/>
    <w:rsid w:val="1B023DCB"/>
    <w:rsid w:val="1B917B2A"/>
    <w:rsid w:val="1BDA05AA"/>
    <w:rsid w:val="1D0D1692"/>
    <w:rsid w:val="1D51161C"/>
    <w:rsid w:val="1E0669AA"/>
    <w:rsid w:val="1F992259"/>
    <w:rsid w:val="20273B9D"/>
    <w:rsid w:val="20F12F9F"/>
    <w:rsid w:val="22C56520"/>
    <w:rsid w:val="22E91FFA"/>
    <w:rsid w:val="23137B2B"/>
    <w:rsid w:val="249C4A5A"/>
    <w:rsid w:val="24D23D68"/>
    <w:rsid w:val="24F3691F"/>
    <w:rsid w:val="25060276"/>
    <w:rsid w:val="256E4199"/>
    <w:rsid w:val="26B8181C"/>
    <w:rsid w:val="29593EAF"/>
    <w:rsid w:val="298F4F7D"/>
    <w:rsid w:val="2A3034C7"/>
    <w:rsid w:val="2E0F4702"/>
    <w:rsid w:val="30204B81"/>
    <w:rsid w:val="307F7146"/>
    <w:rsid w:val="30FB21C7"/>
    <w:rsid w:val="332E5837"/>
    <w:rsid w:val="33B46B27"/>
    <w:rsid w:val="39036BAD"/>
    <w:rsid w:val="398C12A7"/>
    <w:rsid w:val="39E62997"/>
    <w:rsid w:val="3B532C89"/>
    <w:rsid w:val="3BAD62FC"/>
    <w:rsid w:val="3C180293"/>
    <w:rsid w:val="3C81295B"/>
    <w:rsid w:val="3E480050"/>
    <w:rsid w:val="3F6956C4"/>
    <w:rsid w:val="406B52E0"/>
    <w:rsid w:val="41AC322C"/>
    <w:rsid w:val="420336C3"/>
    <w:rsid w:val="423749B1"/>
    <w:rsid w:val="425D7EB7"/>
    <w:rsid w:val="42664C0F"/>
    <w:rsid w:val="44FF0DB1"/>
    <w:rsid w:val="45594B71"/>
    <w:rsid w:val="46C83575"/>
    <w:rsid w:val="47E524E0"/>
    <w:rsid w:val="48795182"/>
    <w:rsid w:val="49564BCC"/>
    <w:rsid w:val="496008C3"/>
    <w:rsid w:val="4AD56FE2"/>
    <w:rsid w:val="4B9235C3"/>
    <w:rsid w:val="4BB62215"/>
    <w:rsid w:val="4CE16790"/>
    <w:rsid w:val="50062548"/>
    <w:rsid w:val="513E2C61"/>
    <w:rsid w:val="52280AC9"/>
    <w:rsid w:val="52B777E5"/>
    <w:rsid w:val="52DB4680"/>
    <w:rsid w:val="539B303F"/>
    <w:rsid w:val="55B014D8"/>
    <w:rsid w:val="576C7EE5"/>
    <w:rsid w:val="5A101121"/>
    <w:rsid w:val="5BF47C6E"/>
    <w:rsid w:val="5C3C2CDA"/>
    <w:rsid w:val="5D255365"/>
    <w:rsid w:val="5EED6EC6"/>
    <w:rsid w:val="5F4C206F"/>
    <w:rsid w:val="5F812FDF"/>
    <w:rsid w:val="5FA74252"/>
    <w:rsid w:val="5FF17B2D"/>
    <w:rsid w:val="61E57855"/>
    <w:rsid w:val="62CA2486"/>
    <w:rsid w:val="63222DBD"/>
    <w:rsid w:val="63853103"/>
    <w:rsid w:val="6468612F"/>
    <w:rsid w:val="64761B65"/>
    <w:rsid w:val="661243AA"/>
    <w:rsid w:val="67CB235A"/>
    <w:rsid w:val="68572B2F"/>
    <w:rsid w:val="68DD61AE"/>
    <w:rsid w:val="6900625C"/>
    <w:rsid w:val="69540E4B"/>
    <w:rsid w:val="69AE49D0"/>
    <w:rsid w:val="6C5671C2"/>
    <w:rsid w:val="6C575044"/>
    <w:rsid w:val="6E081074"/>
    <w:rsid w:val="70C7355E"/>
    <w:rsid w:val="71461992"/>
    <w:rsid w:val="714E2468"/>
    <w:rsid w:val="71685DAD"/>
    <w:rsid w:val="72555796"/>
    <w:rsid w:val="72CE347B"/>
    <w:rsid w:val="736A1485"/>
    <w:rsid w:val="73910128"/>
    <w:rsid w:val="73A3787F"/>
    <w:rsid w:val="74474A79"/>
    <w:rsid w:val="77B43AFA"/>
    <w:rsid w:val="78306968"/>
    <w:rsid w:val="79A1746A"/>
    <w:rsid w:val="79A75FA3"/>
    <w:rsid w:val="7A8A1038"/>
    <w:rsid w:val="7B3A4FF7"/>
    <w:rsid w:val="7B660DD5"/>
    <w:rsid w:val="7C3E4761"/>
    <w:rsid w:val="7CBD7BEF"/>
    <w:rsid w:val="7CF5015E"/>
    <w:rsid w:val="7DBC330C"/>
    <w:rsid w:val="7EBA1E2E"/>
    <w:rsid w:val="7EE30820"/>
    <w:rsid w:val="7F665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4518</Words>
  <Characters>5234</Characters>
  <Lines>6</Lines>
  <Paragraphs>1</Paragraphs>
  <TotalTime>1</TotalTime>
  <ScaleCrop>false</ScaleCrop>
  <LinksUpToDate>false</LinksUpToDate>
  <CharactersWithSpaces>6590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2020-08-17T02:47:00Z</dcterms:created>
  <dc:creator>微软用户</dc:creator>
  <cp:lastModifiedBy>陈始明</cp:lastModifiedBy>
  <cp:lastPrinted>2017-06-02T00:38:00Z</cp:lastPrinted>
  <dcterms:modified xsi:type="dcterms:W3CDTF">2023-06-28T08:45:35Z</dcterms:modified>
  <dc:title>不合格报告说明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88DEC00F62AF48D084A851DC406E99C7</vt:lpwstr>
  </property>
  <property fmtid="{D5CDD505-2E9C-101B-9397-08002B2CF9AE}" pid="4" name="commondata">
    <vt:lpwstr>eyJoZGlkIjoiNWFiNWNmM2E3YjRjZDI2YjM2ZmQ2ZDE4ZDhhMzM5MDgifQ==</vt:lpwstr>
  </property>
</Properties>
</file>