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pPr>
      <w:bookmarkStart w:id="0" w:name="_Toc24629"/>
      <w:r>
        <w:rPr>
          <w:rFonts w:hint="eastAsia"/>
          <w:lang w:eastAsia="zh-CN"/>
        </w:rPr>
        <w:t>【</w:t>
      </w:r>
      <w:r>
        <w:rPr>
          <w:rFonts w:hint="eastAsia"/>
          <w:lang w:val="en-US" w:eastAsia="zh-CN"/>
        </w:rPr>
        <w:t>4</w:t>
      </w:r>
      <w:bookmarkStart w:id="1" w:name="_GoBack"/>
      <w:bookmarkEnd w:id="1"/>
      <w:r>
        <w:rPr>
          <w:rFonts w:hint="eastAsia"/>
          <w:lang w:eastAsia="zh-CN"/>
        </w:rPr>
        <w:t>】</w:t>
      </w:r>
      <w:r>
        <w:rPr>
          <w:rFonts w:hint="eastAsia"/>
        </w:rPr>
        <w:t>个人独资企业分支机构设立登记提交材料规范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2D2207"/>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2022-07-19T03:31:59Z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