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overflowPunct w:val="0"/>
        <w:spacing w:before="0" w:after="0" w:line="440" w:lineRule="exact"/>
        <w:ind w:left="2"/>
        <w:rPr>
          <w:rFonts w:cs="宋体" w:asciiTheme="minorEastAsia" w:hAnsiTheme="minorEastAsia"/>
          <w:b w:val="0"/>
          <w:bCs w:val="0"/>
          <w:szCs w:val="24"/>
        </w:rPr>
      </w:pPr>
      <w:bookmarkStart w:id="0" w:name="_Toc20478"/>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0"/>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EE45990"/>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2022-07-19T03:36:40Z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