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pPr>
      <w:bookmarkStart w:id="1" w:name="_GoBack"/>
      <w:bookmarkStart w:id="0" w:name="_Toc24861"/>
      <w:r>
        <w:rPr>
          <w:rFonts w:hint="eastAsia"/>
          <w:lang w:eastAsia="zh-CN"/>
        </w:rPr>
        <w:t>【</w:t>
      </w:r>
      <w:r>
        <w:rPr>
          <w:rFonts w:hint="eastAsia"/>
          <w:lang w:val="en-US" w:eastAsia="zh-CN"/>
        </w:rPr>
        <w:t>4</w:t>
      </w:r>
      <w:r>
        <w:rPr>
          <w:rFonts w:hint="eastAsia"/>
          <w:lang w:eastAsia="zh-CN"/>
        </w:rPr>
        <w:t>】</w:t>
      </w:r>
      <w:r>
        <w:rPr>
          <w:rFonts w:hint="eastAsia"/>
        </w:rPr>
        <w:t>农民专业合作社（联合社）注销登记提交材料规范</w:t>
      </w:r>
      <w:bookmarkEnd w:id="0"/>
    </w:p>
    <w:bookmarkEnd w:id="1"/>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0C4B4E"/>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2022-07-20T02:26:07Z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