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57" w:type="dxa"/>
        </w:tblCellMar>
      </w:tblPr>
      <w:tblGrid>
        <w:gridCol w:w="8119"/>
      </w:tblGrid>
      <w:tr>
        <w:tblPrEx>
          <w:tblCellMar>
            <w:top w:w="0" w:type="dxa"/>
            <w:left w:w="0" w:type="dxa"/>
            <w:bottom w:w="0" w:type="dxa"/>
            <w:right w:w="57" w:type="dxa"/>
          </w:tblCellMar>
        </w:tblPrEx>
        <w:trPr>
          <w:trHeight w:val="799" w:hRule="atLeast"/>
          <w:jc w:val="center"/>
        </w:trPr>
        <w:tc>
          <w:tcPr>
            <w:tcW w:w="8119" w:type="dxa"/>
            <w:noWrap w:val="0"/>
            <w:tcFitText/>
            <w:vAlign w:val="center"/>
          </w:tcPr>
          <w:p>
            <w:pPr>
              <w:pStyle w:val="5"/>
              <w:spacing w:line="920" w:lineRule="exact"/>
              <w:rPr>
                <w:rFonts w:eastAsia="方正小标宋简体"/>
                <w:b w:val="0"/>
                <w:spacing w:val="0"/>
                <w:w w:val="60"/>
                <w:kern w:val="0"/>
                <w:position w:val="0"/>
                <w:sz w:val="84"/>
                <w:szCs w:val="84"/>
              </w:rPr>
            </w:pPr>
            <w:bookmarkStart w:id="0" w:name="红头标题"/>
            <w:r>
              <w:rPr>
                <w:rFonts w:eastAsia="方正小标宋简体"/>
                <w:b w:val="0"/>
                <w:spacing w:val="275"/>
                <w:w w:val="63"/>
                <w:kern w:val="0"/>
                <w:position w:val="0"/>
                <w:sz w:val="84"/>
                <w:szCs w:val="84"/>
              </w:rPr>
              <w:t>云浮市生态环境</w:t>
            </w:r>
            <w:r>
              <w:rPr>
                <w:rFonts w:eastAsia="方正小标宋简体"/>
                <w:b w:val="0"/>
                <w:spacing w:val="0"/>
                <w:w w:val="63"/>
                <w:kern w:val="0"/>
                <w:position w:val="0"/>
                <w:sz w:val="84"/>
                <w:szCs w:val="84"/>
              </w:rPr>
              <w:t>局</w:t>
            </w:r>
            <w:bookmarkEnd w:id="0"/>
          </w:p>
        </w:tc>
      </w:tr>
    </w:tbl>
    <w:p>
      <w:pPr>
        <w:jc w:val="right"/>
        <w:rPr>
          <w:szCs w:val="21"/>
        </w:rPr>
      </w:pPr>
      <w:r>
        <w:rPr>
          <w:color w:val="FF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175895</wp:posOffset>
                </wp:positionV>
                <wp:extent cx="5764530" cy="0"/>
                <wp:effectExtent l="0" t="28575" r="11430" b="3238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13.85pt;height:0pt;width:453.9pt;z-index:251659264;mso-width-relative:page;mso-height-relative:page;" filled="f" stroked="t" coordsize="21600,21600" o:gfxdata="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oI2+0QAAAAcBAAAPAAAAAAAAAAEAIAAAACIAAABkcnMvZG93bnJldi54bWxQ&#10;SwECFAAUAAAACACHTuJAkoQeSP4BAAD5AwAADgAAAAAAAAABACAAAAAgAQAAZHJzL2Uyb0RvYy54&#10;bWxQSwUGAAAAAAYABgBZAQAAkAUAAAAA&#10;">
                <v:path arrowok="t"/>
                <v:fill on="f" focussize="0,0"/>
                <v:stroke weight="4.5pt" color="#FF0000" linestyle="thickThin"/>
                <v:imagedata o:title=""/>
                <o:lock v:ext="edit" aspectratio="f"/>
              </v:line>
            </w:pict>
          </mc:Fallback>
        </mc:AlternateContent>
      </w:r>
    </w:p>
    <w:p>
      <w:pPr>
        <w:pStyle w:val="10"/>
        <w:spacing w:line="600" w:lineRule="atLeast"/>
        <w:ind w:firstLine="63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云环审〔2022〕</w:t>
      </w:r>
      <w:r>
        <w:rPr>
          <w:rFonts w:hint="eastAsia" w:ascii="Times New Roman" w:hAnsi="Times New Roman" w:cs="Times New Roman"/>
          <w:sz w:val="32"/>
          <w:szCs w:val="32"/>
        </w:rPr>
        <w:t>28</w:t>
      </w:r>
      <w:r>
        <w:rPr>
          <w:rFonts w:ascii="Times New Roman" w:hAnsi="Times New Roman" w:cs="Times New Roman"/>
          <w:sz w:val="32"/>
          <w:szCs w:val="32"/>
        </w:rPr>
        <w:t>号</w:t>
      </w:r>
    </w:p>
    <w:p>
      <w:pPr>
        <w:pStyle w:val="11"/>
        <w:spacing w:line="600" w:lineRule="exact"/>
        <w:jc w:val="right"/>
        <w:rPr>
          <w:rFonts w:ascii="Times New Roman" w:hAnsi="Times New Roman" w:cs="Times New Roman"/>
          <w:sz w:val="47"/>
          <w:szCs w:val="47"/>
        </w:rPr>
      </w:pPr>
    </w:p>
    <w:p>
      <w:pPr>
        <w:pStyle w:val="4"/>
        <w:spacing w:line="640" w:lineRule="exact"/>
        <w:ind w:left="0" w:right="0"/>
        <w:rPr>
          <w:rFonts w:ascii="Times New Roman" w:hAnsi="Times New Roman" w:cs="Times New Roman"/>
        </w:rPr>
      </w:pPr>
      <w:r>
        <w:rPr>
          <w:rFonts w:ascii="Times New Roman" w:cs="Times New Roman"/>
        </w:rPr>
        <w:t>关于</w:t>
      </w:r>
      <w:r>
        <w:rPr>
          <w:rFonts w:hint="eastAsia" w:ascii="Times New Roman" w:cs="Times New Roman"/>
          <w:lang w:eastAsia="zh-CN"/>
        </w:rPr>
        <w:t>云浮市云安区都杨镇观音山矿区建筑用花岗岩矿（开采）项目</w:t>
      </w:r>
      <w:r>
        <w:rPr>
          <w:rFonts w:ascii="Times New Roman" w:cs="Times New Roman"/>
        </w:rPr>
        <w:t>环境影响报告书的批复</w:t>
      </w:r>
    </w:p>
    <w:p>
      <w:pPr>
        <w:pStyle w:val="11"/>
        <w:spacing w:line="600" w:lineRule="exact"/>
        <w:rPr>
          <w:rFonts w:ascii="Times New Roman" w:hAnsi="Times New Roman" w:eastAsia="方正小标宋简体" w:cs="Times New Roman"/>
          <w:sz w:val="31"/>
          <w:szCs w:val="31"/>
        </w:rPr>
      </w:pPr>
    </w:p>
    <w:p>
      <w:pPr>
        <w:pStyle w:val="11"/>
        <w:adjustRightInd w:val="0"/>
        <w:snapToGrid w:val="0"/>
        <w:spacing w:line="600" w:lineRule="exact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中电建（云浮）绿色矿业有限公司</w:t>
      </w:r>
      <w:r>
        <w:rPr>
          <w:rFonts w:ascii="Times New Roman" w:hAnsi="Times New Roman" w:cs="Times New Roman"/>
        </w:rPr>
        <w:t>（统一社会信用代码：</w:t>
      </w:r>
      <w:r>
        <w:rPr>
          <w:rFonts w:hint="eastAsia" w:ascii="Times New Roman" w:hAnsi="Times New Roman" w:cs="Times New Roman"/>
        </w:rPr>
        <w:t>91445323MA7GKMJUX5</w:t>
      </w:r>
      <w:r>
        <w:rPr>
          <w:rFonts w:ascii="Times New Roman" w:hAnsi="Times New Roman" w:cs="Times New Roman"/>
        </w:rPr>
        <w:t>）：</w:t>
      </w:r>
    </w:p>
    <w:p>
      <w:pPr>
        <w:pStyle w:val="11"/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你公司报批的</w:t>
      </w:r>
      <w:r>
        <w:rPr>
          <w:rFonts w:hint="eastAsia" w:ascii="Times New Roman" w:hAnsi="Times New Roman" w:cs="Times New Roman"/>
        </w:rPr>
        <w:t>云浮市云安区都杨镇观音山矿区建筑用花岗岩矿（开采）项目</w:t>
      </w:r>
      <w:r>
        <w:rPr>
          <w:rFonts w:ascii="Times New Roman" w:hAnsi="Times New Roman" w:cs="Times New Roman"/>
        </w:rPr>
        <w:t>环境影响报告书（以下简称“报告书”）等材料收悉。经研究，批复如下：</w:t>
      </w:r>
    </w:p>
    <w:p>
      <w:pPr>
        <w:pStyle w:val="10"/>
        <w:autoSpaceDN w:val="0"/>
        <w:adjustRightInd w:val="0"/>
        <w:snapToGrid w:val="0"/>
        <w:spacing w:line="600" w:lineRule="exact"/>
        <w:ind w:firstLine="6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</w:t>
      </w:r>
      <w:r>
        <w:rPr>
          <w:rFonts w:hint="eastAsia" w:ascii="Times New Roman" w:hAnsi="Times New Roman"/>
          <w:sz w:val="32"/>
          <w:szCs w:val="32"/>
        </w:rPr>
        <w:t>云浮市云安区都杨镇观音山矿区建筑用花岗岩矿（开采）项目位于云浮市云安区都杨镇南山村委，矿区面积2.3544 km</w:t>
      </w:r>
      <w:r>
        <w:rPr>
          <w:rFonts w:hint="eastAsia" w:ascii="Times New Roman" w:hAnsi="Times New Roman"/>
          <w:sz w:val="32"/>
          <w:szCs w:val="32"/>
          <w:vertAlign w:val="superscript"/>
        </w:rPr>
        <w:t>2</w:t>
      </w:r>
      <w:r>
        <w:rPr>
          <w:rFonts w:hint="eastAsia" w:ascii="Times New Roman" w:hAnsi="Times New Roman"/>
          <w:sz w:val="32"/>
          <w:szCs w:val="32"/>
        </w:rPr>
        <w:t>。项目总投资108亿元，其中环保投资3993.3万元。开采矿种为建筑用花岗岩，开采方式为露天开采，开采标高为+571 m～+150 m。开采建筑用花岗岩矿1350万m</w:t>
      </w:r>
      <w:r>
        <w:rPr>
          <w:rFonts w:hint="eastAsia" w:ascii="Times New Roman" w:hAnsi="Times New Roman"/>
          <w:sz w:val="32"/>
          <w:szCs w:val="32"/>
          <w:vertAlign w:val="superscript"/>
        </w:rPr>
        <w:t>3</w:t>
      </w:r>
      <w:r>
        <w:rPr>
          <w:rFonts w:hint="eastAsia" w:ascii="Times New Roman" w:hAnsi="Times New Roman"/>
          <w:sz w:val="32"/>
          <w:szCs w:val="32"/>
        </w:rPr>
        <w:t>/a，矿山总服务年限为20年（其中，矿山生产服务年限17年，矿山基建期2年，闭坑恢复期1年）。</w:t>
      </w:r>
    </w:p>
    <w:p>
      <w:pPr>
        <w:pStyle w:val="11"/>
        <w:adjustRightInd w:val="0"/>
        <w:snapToGrid w:val="0"/>
        <w:spacing w:line="600" w:lineRule="exact"/>
        <w:ind w:firstLine="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</w:t>
      </w:r>
      <w:r>
        <w:rPr>
          <w:rFonts w:ascii="Times New Roman" w:hAnsi="Times New Roman" w:cs="Times New Roman"/>
          <w:spacing w:val="-6"/>
        </w:rPr>
        <w:t>根据报告书的评价结论、云浮市生态环境局</w:t>
      </w:r>
      <w:r>
        <w:rPr>
          <w:rFonts w:hint="eastAsia" w:ascii="Times New Roman" w:hAnsi="Times New Roman" w:cs="Times New Roman"/>
          <w:spacing w:val="-6"/>
        </w:rPr>
        <w:t>云安</w:t>
      </w:r>
      <w:r>
        <w:rPr>
          <w:rFonts w:ascii="Times New Roman" w:hAnsi="Times New Roman" w:cs="Times New Roman"/>
          <w:spacing w:val="-6"/>
        </w:rPr>
        <w:t>分局的初审意见和</w:t>
      </w:r>
      <w:r>
        <w:rPr>
          <w:rFonts w:hint="eastAsia" w:ascii="Times New Roman" w:hAnsi="Times New Roman" w:cs="Times New Roman"/>
          <w:spacing w:val="-6"/>
        </w:rPr>
        <w:t>广东环境保护工程职业学院</w:t>
      </w:r>
      <w:r>
        <w:rPr>
          <w:rFonts w:ascii="Times New Roman" w:hAnsi="Times New Roman" w:cs="Times New Roman"/>
          <w:spacing w:val="-6"/>
        </w:rPr>
        <w:t>的技术评估意见</w:t>
      </w:r>
      <w:r>
        <w:rPr>
          <w:rFonts w:ascii="Times New Roman" w:hAnsi="Times New Roman" w:cs="Times New Roman"/>
        </w:rPr>
        <w:t>，在全面落实报告书提出的各项污染防治和环境风险防范措施，并确保各类污染物稳定达标排放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前提下，项目按照报告书中所列性质、规模、地点、采用的生产工艺和防治污染、防止生态破坏的措施进行建设，从生态环境保护角度可行。项目建设和运营中还应重点做好以下工作：</w:t>
      </w:r>
    </w:p>
    <w:p>
      <w:pPr>
        <w:pStyle w:val="11"/>
        <w:adjustRightInd w:val="0"/>
        <w:snapToGrid w:val="0"/>
        <w:spacing w:line="600" w:lineRule="exact"/>
        <w:ind w:firstLine="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（一）严格落实大气污染防治措施。</w:t>
      </w:r>
      <w:r>
        <w:rPr>
          <w:rFonts w:hint="eastAsia" w:ascii="Times New Roman" w:hAnsi="Times New Roman" w:cs="Times New Roman"/>
        </w:rPr>
        <w:t>本项目大气污染源主要集中在露天采矿场，产生的废气主要为凿岩钻孔、爆破、 车辆装载、车辆运输环节产生的粉尘、采剥、堆存环节产生的扬尘以及机械、机动 车运行过程产生的尾气，均为无组织排放，排放标准执行广东省地方标准《大气污染物排放限值》（DB44/27-2001）第二时段无组织排放监控浓度限值。</w:t>
      </w:r>
    </w:p>
    <w:p>
      <w:pPr>
        <w:pStyle w:val="11"/>
        <w:adjustRightInd w:val="0"/>
        <w:snapToGrid w:val="0"/>
        <w:spacing w:line="600" w:lineRule="exact"/>
        <w:ind w:firstLine="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（二）严格落实全厂水污染防治措施。</w:t>
      </w:r>
      <w:r>
        <w:rPr>
          <w:rFonts w:hint="eastAsia" w:ascii="Times New Roman" w:hAnsi="Times New Roman" w:cs="Times New Roman"/>
        </w:rPr>
        <w:t>项目运营期车辆清洗废水、初期雨水经沉砂池沉淀处理达到《城市污水再生利用 城 市杂用水水质》（GB/T18920-2020）中道路清扫、车辆冲洗标准限值后，全部回用于车辆冲洗、矿区抑尘，不外排。生活污水经污水一体化处理设施处理达到（GB/T18920-2020）中绿化标准后用于矿区范围内林地灌溉，不外排</w:t>
      </w:r>
      <w:r>
        <w:rPr>
          <w:rFonts w:ascii="Times New Roman" w:hAnsi="Times New Roman" w:cs="Times New Roman"/>
        </w:rPr>
        <w:t>。</w:t>
      </w:r>
    </w:p>
    <w:p>
      <w:pPr>
        <w:pStyle w:val="11"/>
        <w:adjustRightInd w:val="0"/>
        <w:snapToGrid w:val="0"/>
        <w:spacing w:line="600" w:lineRule="exact"/>
        <w:ind w:firstLine="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完善全厂初期雨水收集处理和监测、排放系统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并采取严格防渗措施，防止污染土壤、地下水环境。在上述防治措施完成后，方可投入生产。</w:t>
      </w:r>
    </w:p>
    <w:p>
      <w:pPr>
        <w:pStyle w:val="11"/>
        <w:adjustRightInd w:val="0"/>
        <w:snapToGrid w:val="0"/>
        <w:spacing w:line="600" w:lineRule="exact"/>
        <w:ind w:firstLine="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（三）严格落实噪声污染防治措施。选用低噪音设备，并采取有效的隔声、降噪等措施，确保</w:t>
      </w:r>
      <w:r>
        <w:rPr>
          <w:rFonts w:hint="eastAsia" w:ascii="Times New Roman" w:hAnsi="Times New Roman" w:cs="Times New Roman"/>
        </w:rPr>
        <w:t>项目边</w:t>
      </w:r>
      <w:r>
        <w:rPr>
          <w:rFonts w:ascii="Times New Roman" w:hAnsi="Times New Roman" w:cs="Times New Roman"/>
        </w:rPr>
        <w:t>界噪声符合《工业企业厂界环境噪声排放标准》（GB 12348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2008）相应声环境功能区排放限值。</w:t>
      </w:r>
    </w:p>
    <w:p>
      <w:pPr>
        <w:pStyle w:val="11"/>
        <w:adjustRightInd w:val="0"/>
        <w:snapToGrid w:val="0"/>
        <w:spacing w:line="600" w:lineRule="exact"/>
        <w:ind w:firstLine="6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（四）严格落实固体废物分类处理处置要求。</w:t>
      </w:r>
      <w:r>
        <w:rPr>
          <w:rFonts w:hint="eastAsia" w:ascii="Times New Roman" w:hAnsi="Times New Roman" w:cs="Times New Roman"/>
        </w:rPr>
        <w:t>废机油</w:t>
      </w:r>
      <w:r>
        <w:rPr>
          <w:rFonts w:ascii="Times New Roman" w:hAnsi="Times New Roman" w:cs="Times New Roman"/>
        </w:rPr>
        <w:t>等危险废物委托有资质单位处置</w:t>
      </w:r>
      <w:r>
        <w:rPr>
          <w:rFonts w:hint="eastAsia" w:ascii="Times New Roman" w:hAnsi="Times New Roman" w:cs="Times New Roman"/>
        </w:rPr>
        <w:t>，沉淀池沉渣</w:t>
      </w:r>
      <w:r>
        <w:rPr>
          <w:rFonts w:ascii="Times New Roman" w:hAnsi="Times New Roman" w:cs="Times New Roman"/>
        </w:rPr>
        <w:t>等一般工业固体废物依法依规处置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生活垃圾由环卫部门收集处理。</w:t>
      </w:r>
    </w:p>
    <w:p>
      <w:pPr>
        <w:pStyle w:val="11"/>
        <w:adjustRightInd w:val="0"/>
        <w:snapToGrid w:val="0"/>
        <w:spacing w:line="600" w:lineRule="exact"/>
        <w:ind w:firstLine="60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（五）完善并严格落实环境风险防范措施和应急预案，建立健全环境风险事故防范应急体系。加强污染防治设施的管理和维护，设置足够容积的废水事故应急池，切实防范环境污染事故发生。</w:t>
      </w:r>
    </w:p>
    <w:p>
      <w:pPr>
        <w:pStyle w:val="11"/>
        <w:adjustRightInd w:val="0"/>
        <w:snapToGrid w:val="0"/>
        <w:spacing w:line="600" w:lineRule="exact"/>
        <w:ind w:firstLine="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（六）加强施工期环境管理，防止工程施工造成环境污染或生态破坏。合理安排施工时间，施工噪声执行《建筑施工场界环境噪声排放标准》（GB 12523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2011）。</w:t>
      </w:r>
    </w:p>
    <w:p>
      <w:pPr>
        <w:pStyle w:val="11"/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三、项目环保投资应纳入工程投资概算并予以落实。</w:t>
      </w:r>
    </w:p>
    <w:p>
      <w:pPr>
        <w:pStyle w:val="11"/>
        <w:adjustRightInd w:val="0"/>
        <w:snapToGrid w:val="0"/>
        <w:spacing w:line="600" w:lineRule="exact"/>
        <w:ind w:firstLine="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四、报告书经批准后，建设项目的性质、规模、地点、采用的生产工艺或者防治污染、防止生态破坏的措施发生重大变动的，建设单位应当重新报批建设项目的环境影响评价文件。</w:t>
      </w:r>
    </w:p>
    <w:p>
      <w:pPr>
        <w:pStyle w:val="11"/>
        <w:adjustRightInd w:val="0"/>
        <w:snapToGrid w:val="0"/>
        <w:spacing w:line="600" w:lineRule="exact"/>
        <w:ind w:firstLine="6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五、项目建设应严格执行配套建设的环境保护设施与主体工程同时设计、同时施工、同时投产使用的环境保护“三同时”制度，并按规定接受生态环境</w:t>
      </w:r>
      <w:r>
        <w:rPr>
          <w:rFonts w:hint="eastAsia" w:ascii="Times New Roman" w:hAnsi="Times New Roman" w:cs="Times New Roman"/>
        </w:rPr>
        <w:t>主管</w:t>
      </w:r>
      <w:r>
        <w:rPr>
          <w:rFonts w:ascii="Times New Roman" w:hAnsi="Times New Roman" w:cs="Times New Roman"/>
        </w:rPr>
        <w:t>部门日常监督检查。</w:t>
      </w:r>
    </w:p>
    <w:p>
      <w:pPr>
        <w:pStyle w:val="11"/>
        <w:adjustRightInd w:val="0"/>
        <w:snapToGrid w:val="0"/>
        <w:spacing w:line="600" w:lineRule="exact"/>
        <w:ind w:firstLine="63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六、你公司应在收到本批复后 20 个工作日内，将批准后的报告书送云浮市生态环境局</w:t>
      </w:r>
      <w:r>
        <w:rPr>
          <w:rFonts w:hint="eastAsia" w:ascii="Times New Roman" w:hAnsi="Times New Roman" w:cs="Times New Roman"/>
        </w:rPr>
        <w:t>云安</w:t>
      </w:r>
      <w:r>
        <w:rPr>
          <w:rFonts w:ascii="Times New Roman" w:hAnsi="Times New Roman" w:cs="Times New Roman"/>
        </w:rPr>
        <w:t>分局。</w:t>
      </w:r>
    </w:p>
    <w:p>
      <w:pPr>
        <w:pStyle w:val="11"/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</w:rPr>
      </w:pPr>
    </w:p>
    <w:p>
      <w:pPr>
        <w:pStyle w:val="11"/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</w:rPr>
      </w:pPr>
      <w:bookmarkStart w:id="2" w:name="_GoBack"/>
      <w:bookmarkEnd w:id="2"/>
    </w:p>
    <w:p>
      <w:pPr>
        <w:pStyle w:val="11"/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</w:rPr>
      </w:pPr>
    </w:p>
    <w:p>
      <w:pPr>
        <w:pStyle w:val="11"/>
        <w:wordWrap w:val="0"/>
        <w:overflowPunct w:val="0"/>
        <w:adjustRightInd w:val="0"/>
        <w:snapToGrid w:val="0"/>
        <w:spacing w:line="6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云浮市生态环境局</w:t>
      </w:r>
      <w:r>
        <w:rPr>
          <w:rFonts w:hint="eastAsia" w:ascii="Times New Roman" w:hAnsi="Times New Roman" w:cs="Times New Roman"/>
        </w:rPr>
        <w:t xml:space="preserve">    </w:t>
      </w:r>
    </w:p>
    <w:p>
      <w:pPr>
        <w:pStyle w:val="11"/>
        <w:kinsoku w:val="0"/>
        <w:wordWrap w:val="0"/>
        <w:overflowPunct w:val="0"/>
        <w:adjustRightInd w:val="0"/>
        <w:snapToGrid w:val="0"/>
        <w:spacing w:line="60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2022年 </w:t>
      </w:r>
      <w:r>
        <w:rPr>
          <w:rFonts w:hint="eastAsia"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月 </w:t>
      </w:r>
      <w:r>
        <w:rPr>
          <w:rFonts w:hint="eastAsia"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日</w:t>
      </w:r>
      <w:r>
        <w:rPr>
          <w:rFonts w:hint="eastAsia" w:ascii="Times New Roman" w:hAnsi="Times New Roman" w:cs="Times New Roman"/>
        </w:rPr>
        <w:t xml:space="preserve">    </w:t>
      </w:r>
    </w:p>
    <w:p>
      <w:pPr>
        <w:pStyle w:val="11"/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</w:rPr>
      </w:pPr>
    </w:p>
    <w:p>
      <w:pPr>
        <w:pStyle w:val="11"/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</w:rPr>
      </w:pPr>
    </w:p>
    <w:p>
      <w:pPr>
        <w:pStyle w:val="11"/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</w:rPr>
      </w:pPr>
    </w:p>
    <w:p>
      <w:pPr>
        <w:pStyle w:val="11"/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</w:rPr>
      </w:pPr>
    </w:p>
    <w:p>
      <w:pPr>
        <w:pStyle w:val="11"/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</w:rPr>
      </w:pPr>
    </w:p>
    <w:p>
      <w:pPr>
        <w:pStyle w:val="11"/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</w:rPr>
      </w:pPr>
    </w:p>
    <w:p>
      <w:pPr>
        <w:pStyle w:val="11"/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</w:rPr>
      </w:pPr>
    </w:p>
    <w:p>
      <w:pPr>
        <w:pStyle w:val="11"/>
        <w:adjustRightInd w:val="0"/>
        <w:snapToGrid w:val="0"/>
        <w:spacing w:line="600" w:lineRule="exact"/>
        <w:rPr>
          <w:rFonts w:hint="eastAsia" w:ascii="Times New Roman" w:hAnsi="Times New Roman" w:eastAsia="黑体" w:cs="Times New Roman"/>
        </w:rPr>
      </w:pPr>
    </w:p>
    <w:p>
      <w:pPr>
        <w:pStyle w:val="11"/>
        <w:spacing w:line="600" w:lineRule="atLeast"/>
        <w:rPr>
          <w:rFonts w:ascii="Times New Roman" w:hAnsi="Times New Roman" w:cs="Times New Roman"/>
        </w:rPr>
      </w:pPr>
      <w:r>
        <w:rPr>
          <w:rFonts w:ascii="Times New Roman" w:hAnsi="黑体" w:eastAsia="黑体" w:cs="Times New Roman"/>
        </w:rPr>
        <w:t>公开方式：</w:t>
      </w:r>
      <w:r>
        <w:rPr>
          <w:rFonts w:ascii="Times New Roman" w:hAnsi="Times New Roman" w:cs="Times New Roman"/>
        </w:rPr>
        <w:t>主动公开</w:t>
      </w:r>
    </w:p>
    <w:p>
      <w:pPr>
        <w:pStyle w:val="11"/>
        <w:rPr>
          <w:rFonts w:ascii="Times New Roman" w:hAnsi="Times New Roman" w:cs="Times New Roman"/>
          <w:sz w:val="20"/>
          <w:szCs w:val="20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0"/>
              <w:autoSpaceDN w:val="0"/>
              <w:spacing w:line="600" w:lineRule="atLeast"/>
              <w:ind w:left="840" w:hanging="8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抄送：市发展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改革局、工业和信息化局、自然资源局、住房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城乡建设局，市生态环境局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云安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分局，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广东一方环保科技有限公司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pStyle w:val="10"/>
              <w:autoSpaceDN w:val="0"/>
              <w:spacing w:line="6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云浮市生态环境局办公室                 2022 年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月 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日印发</w:t>
            </w:r>
          </w:p>
        </w:tc>
      </w:tr>
    </w:tbl>
    <w:p>
      <w:bookmarkStart w:id="1" w:name="广东省生态环境厅关于广东微容电子科技有限公司年产6000亿片多层陶瓷电容器改扩建"/>
      <w:bookmarkEnd w:id="1"/>
    </w:p>
    <w:sectPr>
      <w:footerReference r:id="rId5" w:type="first"/>
      <w:footerReference r:id="rId3" w:type="default"/>
      <w:footerReference r:id="rId4" w:type="even"/>
      <w:pgSz w:w="11907" w:h="16840"/>
      <w:pgMar w:top="1985" w:right="1531" w:bottom="1985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  <w:rFonts w:ascii="宋体" w:hAnsi="宋体" w:eastAsia="宋体"/>
        <w:sz w:val="28"/>
        <w:szCs w:val="28"/>
      </w:rPr>
    </w:pPr>
    <w:r>
      <w:rPr>
        <w:rStyle w:val="9"/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Style w:val="9"/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- 4 -</w:t>
    </w:r>
    <w:r>
      <w:rPr>
        <w:rStyle w:val="9"/>
        <w:rFonts w:ascii="宋体" w:hAnsi="宋体" w:eastAsia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</w:rPr>
    </w:pPr>
    <w:r>
      <w:rPr>
        <w:rStyle w:val="9"/>
        <w:rFonts w:ascii="Calibri" w:hAnsi="Calibri" w:eastAsia="宋体"/>
      </w:rPr>
      <w:fldChar w:fldCharType="begin"/>
    </w:r>
    <w:r>
      <w:rPr>
        <w:rStyle w:val="9"/>
        <w:rFonts w:ascii="Calibri" w:hAnsi="Calibri" w:eastAsia="宋体"/>
      </w:rPr>
      <w:instrText xml:space="preserve">PAGE  </w:instrText>
    </w:r>
    <w:r>
      <w:rPr>
        <w:rStyle w:val="9"/>
        <w:rFonts w:ascii="Calibri" w:hAnsi="Calibri" w:eastAsia="宋体"/>
      </w:rP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-149225</wp:posOffset>
              </wp:positionV>
              <wp:extent cx="5755005" cy="0"/>
              <wp:effectExtent l="0" t="28575" r="5715" b="32385"/>
              <wp:wrapNone/>
              <wp:docPr id="7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5005" cy="0"/>
                      </a:xfrm>
                      <a:prstGeom prst="line">
                        <a:avLst/>
                      </a:prstGeom>
                      <a:ln w="5715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-11.75pt;height:0pt;width:453.15pt;z-index:251659264;mso-width-relative:page;mso-height-relative:page;" filled="f" stroked="t" coordsize="21600,21600" o:gfxdata="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tnMw9YAAAAJAQAADwAAAAAAAAABACAAAAAiAAAAZHJzL2Rvd25y&#10;ZXYueG1sUEsBAhQAFAAAAAgAh07iQNN099YAAgAA+QMAAA4AAAAAAAAAAQAgAAAAJQEAAGRycy9l&#10;Mm9Eb2MueG1sUEsFBgAAAAAGAAYAWQEAAJcFAAAAAA==&#10;">
              <v:path arrowok="t"/>
              <v:fill on="f" focussize="0,0"/>
              <v:stroke weight="4.5pt" color="#FF0000" linestyle="thinThick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2E5OGMxNmMwNGRiOTliYWIyYzcwN2U2ZjE5MmUifQ=="/>
  </w:docVars>
  <w:rsids>
    <w:rsidRoot w:val="00000000"/>
    <w:rsid w:val="3A3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widowControl w:val="0"/>
      <w:autoSpaceDE w:val="0"/>
      <w:autoSpaceDN w:val="0"/>
      <w:ind w:left="267" w:right="416"/>
      <w:jc w:val="center"/>
      <w:outlineLvl w:val="0"/>
    </w:pPr>
    <w:rPr>
      <w:rFonts w:ascii="方正小标宋简体" w:hAnsi="方正小标宋简体" w:eastAsia="方正小标宋简体" w:cs="方正小标宋简体"/>
      <w:kern w:val="0"/>
      <w:sz w:val="44"/>
      <w:szCs w:val="44"/>
      <w:lang w:val="en-US" w:eastAsia="en-US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  <w:jc w:val="center"/>
      <w:textAlignment w:val="baseline"/>
    </w:pPr>
    <w:rPr>
      <w:rFonts w:hint="default" w:ascii="宋体" w:hAnsi="Calibri" w:eastAsia="宋体" w:cs="宋体"/>
      <w:color w:val="000000"/>
      <w:kern w:val="2"/>
      <w:sz w:val="24"/>
      <w:szCs w:val="24"/>
      <w:lang w:val="en-US" w:eastAsia="zh-CN" w:bidi="ar-SA"/>
    </w:rPr>
  </w:style>
  <w:style w:type="paragraph" w:styleId="3">
    <w:name w:val="List 3"/>
    <w:next w:val="1"/>
    <w:unhideWhenUsed/>
    <w:qFormat/>
    <w:uiPriority w:val="0"/>
    <w:pPr>
      <w:widowControl w:val="0"/>
      <w:spacing w:beforeLines="0" w:afterLines="0"/>
      <w:ind w:left="100" w:leftChars="400" w:hanging="200" w:hangingChars="200"/>
      <w:jc w:val="both"/>
    </w:pPr>
    <w:rPr>
      <w:rFonts w:hint="default"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styleId="5">
    <w:name w:val="Body Text"/>
    <w:qFormat/>
    <w:uiPriority w:val="0"/>
    <w:pPr>
      <w:widowControl w:val="0"/>
      <w:jc w:val="center"/>
    </w:pPr>
    <w:rPr>
      <w:rFonts w:ascii="Times New Roman" w:hAnsi="Times New Roman" w:eastAsia="仿宋_GB2312" w:cs="Times New Roman"/>
      <w:b/>
      <w:color w:val="FF0000"/>
      <w:w w:val="90"/>
      <w:kern w:val="2"/>
      <w:position w:val="4"/>
      <w:sz w:val="96"/>
      <w:szCs w:val="60"/>
      <w:lang w:val="en-US" w:eastAsia="zh-CN" w:bidi="ar-SA"/>
    </w:r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9">
    <w:name w:val="page number"/>
    <w:qFormat/>
    <w:uiPriority w:val="0"/>
  </w:style>
  <w:style w:type="paragraph" w:customStyle="1" w:styleId="10">
    <w:name w:val="p0"/>
    <w:qFormat/>
    <w:uiPriority w:val="0"/>
    <w:pPr>
      <w:widowControl/>
      <w:jc w:val="left"/>
    </w:pPr>
    <w:rPr>
      <w:rFonts w:ascii="仿宋_GB2312" w:hAnsi="宋体" w:eastAsia="仿宋_GB2312" w:cs="宋体"/>
      <w:kern w:val="0"/>
      <w:sz w:val="22"/>
      <w:szCs w:val="22"/>
      <w:lang w:val="en-US" w:eastAsia="zh-CN" w:bidi="ar-SA"/>
    </w:rPr>
  </w:style>
  <w:style w:type="paragraph" w:customStyle="1" w:styleId="11">
    <w:name w:val="p16"/>
    <w:qFormat/>
    <w:uiPriority w:val="0"/>
    <w:pPr>
      <w:widowControl/>
      <w:jc w:val="left"/>
    </w:pPr>
    <w:rPr>
      <w:rFonts w:ascii="仿宋_GB2312" w:hAnsi="宋体" w:eastAsia="仿宋_GB2312" w:cs="宋体"/>
      <w:kern w:val="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2022-07-04T01:08:53Z</dcterms:created>
  <dc:creator>admin</dc:creator>
  <cp:lastModifiedBy>侯昌成</cp:lastModifiedBy>
  <dcterms:modified xsi:type="dcterms:W3CDTF">2022-07-04T01:09:23Z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7CB628F3E5B948ED97F23AAD35F790F0</vt:lpwstr>
  </property>
</Properties>
</file>