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4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275"/>
                <w:w w:val="63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63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koQeS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atLeast"/>
        <w:jc w:val="right"/>
        <w:rPr>
          <w:rFonts w:ascii="仿宋_GB2312" w:hAnsi="Calibri" w:cs="宋体"/>
          <w:kern w:val="0"/>
          <w:szCs w:val="32"/>
        </w:rPr>
      </w:pPr>
      <w:r>
        <w:rPr>
          <w:rFonts w:hint="eastAsia" w:ascii="仿宋_GB2312" w:hAnsi="Calibri" w:cs="宋体"/>
          <w:kern w:val="0"/>
          <w:szCs w:val="32"/>
        </w:rPr>
        <w:t>云环审〔2022〕27号</w:t>
      </w:r>
    </w:p>
    <w:p>
      <w:pPr>
        <w:widowControl/>
        <w:adjustRightInd w:val="0"/>
        <w:snapToGrid w:val="0"/>
        <w:spacing w:line="600" w:lineRule="exact"/>
        <w:jc w:val="right"/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spacing w:val="2"/>
          <w:kern w:val="0"/>
          <w:sz w:val="44"/>
          <w:szCs w:val="44"/>
        </w:rPr>
        <w:t>关于罗定市欣龙船步镇80 MW平价农业光伏发电（升压站变动）项目</w:t>
      </w: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环境影响</w:t>
      </w: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Calibri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宋体"/>
          <w:kern w:val="0"/>
          <w:sz w:val="44"/>
          <w:szCs w:val="44"/>
        </w:rPr>
        <w:t>报告表的批复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Calibri" w:cs="宋体"/>
          <w:kern w:val="0"/>
          <w:szCs w:val="32"/>
        </w:rPr>
      </w:pPr>
    </w:p>
    <w:p>
      <w:pPr>
        <w:spacing w:line="600" w:lineRule="exact"/>
        <w:rPr>
          <w:rFonts w:hint="eastAsia" w:ascii="仿宋_GB2312"/>
        </w:rPr>
      </w:pPr>
      <w:r>
        <w:rPr>
          <w:rFonts w:hint="eastAsia" w:ascii="仿宋_GB2312"/>
        </w:rPr>
        <w:t>罗定欣龙新能源科技有限公司（统一社会信用代码：91445381MA54BRYG0P）：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你公司报批的《罗定市欣龙船步镇80 MW平价农业光伏发电（升压站变动）项目环境影响报告表》（以下简称“报告表”）等材料收悉。经研究，批复如下：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一、《罗定市欣龙船步镇80 MW平价农业光伏发电项目环境影响报告表》已于 2022 年 1 月 21 日通过云浮市生态环境局审批，批复文号为云环审〔2022〕1 号。罗定市欣龙船步镇80MW平价农业光伏发电项目原升压站位于船步镇船北村岗仔，现拟将升压站位置调整至船步镇卫生院后方，升压站中心位置变动约 700 米。本次改建光伏升压站站址毗邻深岑高速，项目总占地面积约3245 m</w:t>
      </w:r>
      <w:r>
        <w:rPr>
          <w:rFonts w:hint="eastAsia" w:ascii="仿宋_GB2312"/>
          <w:vertAlign w:val="superscript"/>
        </w:rPr>
        <w:t>2</w:t>
      </w:r>
      <w:r>
        <w:rPr>
          <w:rFonts w:hint="eastAsia" w:ascii="仿宋_GB2312"/>
        </w:rPr>
        <w:t>。项目总投资1500万元，其中环保投资50万元。升压站采用常规户外布置，拟新建 1 台容量为 1×80 MVA的主变。出线线路工程及出线间隔工程不在本次评价范围内。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二、根据报告表的评价结论，在全面落实报告表提出的各项污染防治和环境风险防范措施，并确保各污染因子稳定达标排放的前提下，项目按照报告表中所列性质、规模、地点、采用的工艺流程和防治污染、防止生态破坏的措施进行建设，从生态环境保护角度可行。项目建设和运营中还应重点做好以下工作：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一）严格落实大气污染防治措施。施工期机械设备和运输车辆尾气通过合理选择运输路线、缩短怠速、减速和加速的时间减少尾气产生，执行《非道路移动机械用柴油机排气污染物排放限值及测量方法(中国第三、四阶段)》(GB 20891-2014) 中表2非道路移动机械用柴油机排气污染物排放限值。施工扬尘采取遮盖、洒水、减慢车速等措施抑尘，执行广东省地方标准《大气污染物排放限值》(DB44/27-2001)第二时段二级标准。项目运营期无生产废气产生，无需进行废气污染物排放总量指标替代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严格落实水污染防治措施。项目不设置施工营地，施工人员产生的生活污水依托居住地污水处理设施合理处置，施工期产生的施工废水，经沉淀后回用。升压站生活污水经化粪池加一体化设备，达到《农田灌溉水质标准》（GB5084-2021）标准后用于周边山林地灌溉，不外排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完善项目初期雨水收集、排放系统，以及防渗区域划分，采取严格防渗措施，防止污染土壤、地下水环境。在上述防治措施完成后，本项目方可投入生产。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（三）严格落实噪声污染防治措施。选用低噪音设备，采取有效的隔声、降噪等措施，确保厂界噪声符合《工业企业厂界环境噪声排放标准》（GB 12348-2008）相应声环境功能区排放限值。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（四）严格落实固体废物分类处理处置要求。危险废物经收集后委托具有相应危险废物类别资质单位处置，其他一般工业固体废物依法依规处置。生活垃圾经收集后交环卫部门清运处理。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（五）完善并严格落实环境风险防范措施和应急预案，建立健全环境风险事故防范应急体系。加强污染防治设施的管理和维护，设置足够容积的废水事故应急池，切实防范环境污染事故发生。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（六）加强施工期环境管理，防止工程施工造成环境污染或生态破坏。合理安排施工时间，施工噪声执行《建筑施工场界环境噪声排放标准》（GB 12523-2011）。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三、项目环保投资应纳入工程投资概算并予以落实。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四、报告表经批准后，建设项目的性质、规模、地点、采用的生产工艺或者防治污染、防止生态破坏的措施发生重大变动的，建设单位应当重新报批建设项目的环境影响评价文件。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五、项目建设应严格执行配套建设的环境保护设施与主体工程同时设计、同时施工、同时投产使用的环境保护“三同时”制度，并按规定接受生态环境主管部门日常监督检查。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六、你公司应在收到本批复后 20 个工作日内，将批准后的报告表送云浮市生态环境局罗定分局。</w:t>
      </w:r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rPr>
          <w:rFonts w:hint="eastAsia" w:ascii="仿宋_GB2312"/>
          <w:szCs w:val="32"/>
        </w:rPr>
      </w:pPr>
      <w:bookmarkStart w:id="2" w:name="_GoBack"/>
      <w:bookmarkEnd w:id="2"/>
    </w:p>
    <w:p>
      <w:pPr>
        <w:spacing w:line="600" w:lineRule="exact"/>
        <w:rPr>
          <w:rFonts w:hint="eastAsia" w:ascii="仿宋_GB231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云浮市生态环境局</w:t>
      </w:r>
    </w:p>
    <w:p>
      <w:pPr>
        <w:spacing w:line="600" w:lineRule="exact"/>
        <w:ind w:firstLine="5600" w:firstLineChars="17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2022年6月26日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2"/>
        <w:rPr>
          <w:rFonts w:ascii="Times New Roman"/>
        </w:rPr>
      </w:pPr>
    </w:p>
    <w:p>
      <w:pPr>
        <w:pStyle w:val="3"/>
        <w:ind w:left="1700" w:hanging="420"/>
      </w:pPr>
    </w:p>
    <w:p>
      <w:pPr>
        <w:rPr>
          <w:rFonts w:hint="eastAsia"/>
        </w:rPr>
      </w:pPr>
    </w:p>
    <w:p>
      <w:pPr>
        <w:spacing w:line="600" w:lineRule="exact"/>
        <w:jc w:val="left"/>
        <w:rPr>
          <w:rFonts w:hint="eastAsia" w:ascii="仿宋_GB2312"/>
          <w:szCs w:val="32"/>
        </w:rPr>
      </w:pPr>
    </w:p>
    <w:p>
      <w:pPr>
        <w:pStyle w:val="9"/>
        <w:spacing w:line="600" w:lineRule="atLeast"/>
        <w:rPr>
          <w:rFonts w:ascii="Times New Roman" w:hAnsi="Times New Roman" w:cs="Times New Roman"/>
        </w:rPr>
      </w:pPr>
      <w:r>
        <w:rPr>
          <w:rFonts w:ascii="Times New Roman" w:hAnsi="黑体" w:eastAsia="黑体" w:cs="Times New Roman"/>
        </w:rPr>
        <w:t>公开方式：</w:t>
      </w:r>
      <w:r>
        <w:rPr>
          <w:rFonts w:ascii="Times New Roman" w:hAnsi="Times New Roman" w:cs="Times New Roman"/>
        </w:rPr>
        <w:t>主动公开</w:t>
      </w:r>
    </w:p>
    <w:p>
      <w:pPr>
        <w:pStyle w:val="9"/>
        <w:rPr>
          <w:rFonts w:ascii="Times New Roman" w:hAnsi="Times New Roman" w:cs="Times New Roman"/>
          <w:sz w:val="20"/>
          <w:szCs w:val="20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ind w:left="840" w:hanging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抄送：市发展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改革局、工业和信息化局、自然资源局、住房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城乡建设局，市生态环境局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罗定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分局，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广东一方环保科技有限公司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云浮市生态环境局办公室                  2022 年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日印发</w:t>
            </w:r>
          </w:p>
        </w:tc>
      </w:tr>
    </w:tbl>
    <w:p>
      <w:pPr>
        <w:adjustRightInd w:val="0"/>
        <w:snapToGrid w:val="0"/>
        <w:spacing w:line="20" w:lineRule="exact"/>
      </w:pPr>
      <w:bookmarkStart w:id="1" w:name="广东省生态环境厅关于广东微容电子科技有限公司年产6000亿片多层陶瓷电容器改扩建"/>
      <w:bookmarkEnd w:id="1"/>
    </w:p>
    <w:p/>
    <w:sectPr>
      <w:footerReference r:id="rId5" w:type="first"/>
      <w:footerReference r:id="rId3" w:type="default"/>
      <w:footerReference r:id="rId4" w:type="even"/>
      <w:pgSz w:w="11907" w:h="16840"/>
      <w:pgMar w:top="1985" w:right="1531" w:bottom="1985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- 4 -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  <w:rFonts w:ascii="Calibri" w:hAnsi="Calibri" w:eastAsia="宋体"/>
      </w:rPr>
      <w:fldChar w:fldCharType="begin"/>
    </w:r>
    <w:r>
      <w:rPr>
        <w:rStyle w:val="8"/>
        <w:rFonts w:ascii="Calibri" w:hAnsi="Calibri" w:eastAsia="宋体"/>
      </w:rPr>
      <w:instrText xml:space="preserve">PAGE  </w:instrText>
    </w:r>
    <w:r>
      <w:rPr>
        <w:rStyle w:val="8"/>
        <w:rFonts w:ascii="Calibri" w:hAnsi="Calibri" w:eastAsia="宋体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J88EwE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2E5OGMxNmMwNGRiOTliYWIyYzcwN2U2ZjE5MmUifQ=="/>
  </w:docVars>
  <w:rsids>
    <w:rsidRoot w:val="00000000"/>
    <w:rsid w:val="5CB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jc w:val="center"/>
      <w:textAlignment w:val="baseline"/>
    </w:pPr>
    <w:rPr>
      <w:rFonts w:hint="default" w:ascii="宋体" w:hAnsi="Calibri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List 3"/>
    <w:next w:val="1"/>
    <w:unhideWhenUsed/>
    <w:qFormat/>
    <w:uiPriority w:val="0"/>
    <w:pPr>
      <w:widowControl w:val="0"/>
      <w:spacing w:beforeLines="0" w:afterLines="0"/>
      <w:ind w:left="100" w:leftChars="400" w:hanging="200" w:hangingChars="200"/>
      <w:jc w:val="both"/>
    </w:pPr>
    <w:rPr>
      <w:rFonts w:hint="default"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4">
    <w:name w:val="Body Text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w w:val="90"/>
      <w:kern w:val="2"/>
      <w:position w:val="4"/>
      <w:sz w:val="96"/>
      <w:szCs w:val="60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32"/>
      <w:szCs w:val="32"/>
      <w:lang w:val="en-US" w:eastAsia="zh-CN" w:bidi="ar-SA"/>
    </w:rPr>
  </w:style>
  <w:style w:type="paragraph" w:customStyle="1" w:styleId="10">
    <w:name w:val="p0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2022-07-04T01:08:17Z</dcterms:created>
  <dc:creator>admin</dc:creator>
  <cp:lastModifiedBy>侯昌成</cp:lastModifiedBy>
  <dcterms:modified xsi:type="dcterms:W3CDTF">2022-07-04T01:08:39Z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9F21971AB6A94726A382CAD2FA8F70C1</vt:lpwstr>
  </property>
</Properties>
</file>