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44"/>
          <w:szCs w:val="44"/>
        </w:rPr>
      </w:pPr>
      <w:r>
        <w:rPr>
          <w:b/>
          <w:bCs/>
          <w:sz w:val="44"/>
          <w:szCs w:val="44"/>
        </w:rPr>
        <w:t>不合格报告说明</w:t>
      </w:r>
    </w:p>
    <w:p>
      <w:pPr>
        <w:rPr>
          <w:szCs w:val="21"/>
        </w:rPr>
      </w:pPr>
    </w:p>
    <w:p>
      <w:pPr>
        <w:rPr>
          <w:sz w:val="28"/>
          <w:szCs w:val="28"/>
        </w:rPr>
      </w:pPr>
      <w:r>
        <w:rPr>
          <w:rFonts w:hint="eastAsia"/>
          <w:sz w:val="28"/>
          <w:szCs w:val="28"/>
        </w:rPr>
        <w:t>检验报告书编号：</w:t>
      </w:r>
      <w:r>
        <w:rPr>
          <w:sz w:val="28"/>
          <w:szCs w:val="28"/>
        </w:rPr>
        <w:t>SHW2021</w:t>
      </w:r>
      <w:r>
        <w:rPr>
          <w:rFonts w:hint="eastAsia"/>
          <w:sz w:val="28"/>
          <w:szCs w:val="28"/>
        </w:rPr>
        <w:t>21011</w:t>
      </w:r>
    </w:p>
    <w:tbl>
      <w:tblPr>
        <w:tblStyle w:val="9"/>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0"/>
        <w:gridCol w:w="994"/>
        <w:gridCol w:w="1643"/>
        <w:gridCol w:w="3885"/>
        <w:gridCol w:w="396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1242" w:type="dxa"/>
            <w:vAlign w:val="center"/>
          </w:tcPr>
          <w:p>
            <w:pPr>
              <w:spacing w:line="360" w:lineRule="exact"/>
              <w:jc w:val="center"/>
              <w:rPr>
                <w:szCs w:val="21"/>
              </w:rPr>
            </w:pPr>
            <w:r>
              <w:rPr>
                <w:rFonts w:hint="eastAsia"/>
                <w:szCs w:val="21"/>
              </w:rPr>
              <w:t>不合格</w:t>
            </w:r>
          </w:p>
          <w:p>
            <w:pPr>
              <w:spacing w:line="360" w:lineRule="exact"/>
              <w:jc w:val="center"/>
              <w:rPr>
                <w:szCs w:val="21"/>
              </w:rPr>
            </w:pPr>
            <w:r>
              <w:rPr>
                <w:rFonts w:hint="eastAsia"/>
                <w:szCs w:val="21"/>
              </w:rPr>
              <w:t>项目</w:t>
            </w:r>
          </w:p>
        </w:tc>
        <w:tc>
          <w:tcPr>
            <w:tcW w:w="1700" w:type="dxa"/>
            <w:vAlign w:val="center"/>
          </w:tcPr>
          <w:p>
            <w:pPr>
              <w:spacing w:line="360" w:lineRule="exact"/>
              <w:jc w:val="center"/>
              <w:rPr>
                <w:szCs w:val="21"/>
              </w:rPr>
            </w:pPr>
            <w:r>
              <w:rPr>
                <w:rFonts w:hint="eastAsia"/>
                <w:szCs w:val="21"/>
              </w:rPr>
              <w:t>不合格项目所属指标</w:t>
            </w:r>
          </w:p>
        </w:tc>
        <w:tc>
          <w:tcPr>
            <w:tcW w:w="994" w:type="dxa"/>
            <w:vAlign w:val="center"/>
          </w:tcPr>
          <w:p>
            <w:pPr>
              <w:spacing w:line="360" w:lineRule="exact"/>
              <w:jc w:val="center"/>
              <w:rPr>
                <w:szCs w:val="21"/>
              </w:rPr>
            </w:pPr>
            <w:r>
              <w:rPr>
                <w:rFonts w:hint="eastAsia"/>
                <w:szCs w:val="21"/>
              </w:rPr>
              <w:t>检验</w:t>
            </w:r>
          </w:p>
          <w:p>
            <w:pPr>
              <w:spacing w:line="360" w:lineRule="exact"/>
              <w:jc w:val="center"/>
              <w:rPr>
                <w:szCs w:val="21"/>
              </w:rPr>
            </w:pPr>
            <w:r>
              <w:rPr>
                <w:rFonts w:hint="eastAsia"/>
                <w:szCs w:val="21"/>
              </w:rPr>
              <w:t>结果</w:t>
            </w:r>
          </w:p>
        </w:tc>
        <w:tc>
          <w:tcPr>
            <w:tcW w:w="1643" w:type="dxa"/>
            <w:vAlign w:val="center"/>
          </w:tcPr>
          <w:p>
            <w:pPr>
              <w:spacing w:line="360" w:lineRule="exact"/>
              <w:jc w:val="center"/>
              <w:rPr>
                <w:szCs w:val="21"/>
              </w:rPr>
            </w:pPr>
            <w:r>
              <w:rPr>
                <w:rFonts w:hint="eastAsia"/>
                <w:szCs w:val="21"/>
              </w:rPr>
              <w:t>标准值</w:t>
            </w:r>
          </w:p>
          <w:p>
            <w:pPr>
              <w:spacing w:line="360" w:lineRule="exact"/>
              <w:jc w:val="center"/>
              <w:rPr>
                <w:szCs w:val="21"/>
              </w:rPr>
            </w:pPr>
            <w:r>
              <w:rPr>
                <w:rFonts w:hint="eastAsia"/>
                <w:szCs w:val="21"/>
              </w:rPr>
              <w:t>要求</w:t>
            </w:r>
          </w:p>
        </w:tc>
        <w:tc>
          <w:tcPr>
            <w:tcW w:w="3885" w:type="dxa"/>
            <w:vAlign w:val="center"/>
          </w:tcPr>
          <w:p>
            <w:pPr>
              <w:jc w:val="center"/>
              <w:rPr>
                <w:szCs w:val="21"/>
              </w:rPr>
            </w:pPr>
            <w:r>
              <w:rPr>
                <w:rFonts w:hint="eastAsia"/>
                <w:szCs w:val="21"/>
              </w:rPr>
              <w:t>不合格原因分析</w:t>
            </w:r>
          </w:p>
        </w:tc>
        <w:tc>
          <w:tcPr>
            <w:tcW w:w="3969" w:type="dxa"/>
            <w:vAlign w:val="center"/>
          </w:tcPr>
          <w:p>
            <w:pPr>
              <w:jc w:val="center"/>
              <w:rPr>
                <w:szCs w:val="21"/>
              </w:rPr>
            </w:pPr>
            <w:r>
              <w:rPr>
                <w:rFonts w:hint="eastAsia"/>
                <w:szCs w:val="21"/>
              </w:rPr>
              <w:t>可能引起的危害</w:t>
            </w:r>
          </w:p>
        </w:tc>
        <w:tc>
          <w:tcPr>
            <w:tcW w:w="850" w:type="dxa"/>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1242" w:type="dxa"/>
            <w:vAlign w:val="center"/>
          </w:tcPr>
          <w:p>
            <w:pPr>
              <w:jc w:val="center"/>
              <w:rPr>
                <w:rFonts w:ascii="宋体" w:hAnsi="宋体"/>
                <w:szCs w:val="21"/>
              </w:rPr>
            </w:pPr>
            <w:r>
              <w:rPr>
                <w:rFonts w:hint="eastAsia" w:ascii="宋体" w:hAnsi="宋体"/>
                <w:szCs w:val="21"/>
              </w:rPr>
              <w:t>黄曲霉毒素</w:t>
            </w:r>
            <w:r>
              <w:rPr>
                <w:rFonts w:ascii="宋体" w:hAnsi="宋体"/>
                <w:szCs w:val="21"/>
              </w:rPr>
              <w:t>B</w:t>
            </w:r>
            <w:r>
              <w:rPr>
                <w:rFonts w:ascii="Cambria Math" w:hAnsi="Cambria Math" w:cs="Cambria Math"/>
                <w:szCs w:val="21"/>
              </w:rPr>
              <w:t>₁</w:t>
            </w:r>
          </w:p>
        </w:tc>
        <w:tc>
          <w:tcPr>
            <w:tcW w:w="1700" w:type="dxa"/>
            <w:vAlign w:val="center"/>
          </w:tcPr>
          <w:p>
            <w:pPr>
              <w:rPr>
                <w:rFonts w:ascii="宋体" w:hAnsi="宋体"/>
                <w:szCs w:val="21"/>
              </w:rPr>
            </w:pPr>
            <w:r>
              <w:rPr>
                <w:rFonts w:hint="eastAsia" w:ascii="宋体" w:hAnsi="宋体"/>
                <w:szCs w:val="21"/>
              </w:rPr>
              <w:t>食品中真菌毒素限量</w:t>
            </w:r>
          </w:p>
        </w:tc>
        <w:tc>
          <w:tcPr>
            <w:tcW w:w="994" w:type="dxa"/>
            <w:vAlign w:val="center"/>
          </w:tcPr>
          <w:p>
            <w:pPr>
              <w:spacing w:line="400" w:lineRule="exact"/>
              <w:jc w:val="center"/>
              <w:rPr>
                <w:rFonts w:ascii="宋体" w:hAnsi="宋体"/>
                <w:color w:val="000000"/>
                <w:szCs w:val="21"/>
              </w:rPr>
            </w:pPr>
            <w:r>
              <w:rPr>
                <w:rFonts w:hint="eastAsia" w:ascii="宋体" w:hAnsi="宋体"/>
                <w:color w:val="000000"/>
                <w:szCs w:val="21"/>
              </w:rPr>
              <w:t>267   μ</w:t>
            </w:r>
            <w:r>
              <w:rPr>
                <w:rFonts w:ascii="宋体" w:hAnsi="宋体"/>
                <w:color w:val="000000"/>
                <w:szCs w:val="21"/>
              </w:rPr>
              <w:t>g/kg</w:t>
            </w:r>
          </w:p>
        </w:tc>
        <w:tc>
          <w:tcPr>
            <w:tcW w:w="1643" w:type="dxa"/>
            <w:vAlign w:val="center"/>
          </w:tcPr>
          <w:p>
            <w:pPr>
              <w:jc w:val="center"/>
              <w:rPr>
                <w:rFonts w:ascii="宋体" w:hAnsi="宋体"/>
                <w:szCs w:val="21"/>
              </w:rPr>
            </w:pPr>
            <w:r>
              <w:rPr>
                <w:rFonts w:hint="eastAsia" w:ascii="宋体" w:hAnsi="宋体"/>
                <w:szCs w:val="21"/>
              </w:rPr>
              <w:t>≤20μ</w:t>
            </w:r>
            <w:r>
              <w:rPr>
                <w:rFonts w:ascii="宋体" w:hAnsi="宋体"/>
                <w:szCs w:val="21"/>
              </w:rPr>
              <w:t>g/kg</w:t>
            </w:r>
          </w:p>
        </w:tc>
        <w:tc>
          <w:tcPr>
            <w:tcW w:w="3885" w:type="dxa"/>
            <w:vAlign w:val="center"/>
          </w:tcPr>
          <w:p>
            <w:pPr>
              <w:pStyle w:val="13"/>
              <w:widowControl/>
              <w:numPr>
                <w:ilvl w:val="0"/>
                <w:numId w:val="1"/>
              </w:numPr>
              <w:shd w:val="clear" w:color="auto" w:fill="FFFFFF"/>
              <w:wordWrap w:val="0"/>
              <w:spacing w:line="360" w:lineRule="auto"/>
              <w:ind w:firstLineChars="0"/>
              <w:jc w:val="left"/>
              <w:rPr>
                <w:rFonts w:hint="eastAsia"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生产商家没有对生产原料进行筛选，原料中带有发霉粒；</w:t>
            </w:r>
          </w:p>
          <w:p>
            <w:pPr>
              <w:pStyle w:val="13"/>
              <w:widowControl/>
              <w:numPr>
                <w:ilvl w:val="0"/>
                <w:numId w:val="1"/>
              </w:numPr>
              <w:shd w:val="clear" w:color="auto" w:fill="FFFFFF"/>
              <w:wordWrap w:val="0"/>
              <w:spacing w:line="360" w:lineRule="auto"/>
              <w:ind w:firstLineChars="0"/>
              <w:jc w:val="left"/>
              <w:rPr>
                <w:rFonts w:ascii="宋体" w:hAnsi="宋体"/>
                <w:szCs w:val="21"/>
              </w:rPr>
            </w:pPr>
            <w:r>
              <w:rPr>
                <w:rFonts w:hint="eastAsia" w:ascii="宋体" w:hAnsi="宋体"/>
                <w:szCs w:val="21"/>
              </w:rPr>
              <w:t>生产工艺落后，没有后续的吸附、精炼等加工过程。</w:t>
            </w:r>
          </w:p>
        </w:tc>
        <w:tc>
          <w:tcPr>
            <w:tcW w:w="3969" w:type="dxa"/>
            <w:vAlign w:val="center"/>
          </w:tcPr>
          <w:p>
            <w:pPr>
              <w:widowControl/>
              <w:shd w:val="clear" w:color="auto" w:fill="FFFFFF"/>
              <w:wordWrap w:val="0"/>
              <w:spacing w:line="360" w:lineRule="auto"/>
              <w:jc w:val="left"/>
              <w:rPr>
                <w:rFonts w:ascii="宋体" w:hAnsi="宋体"/>
                <w:szCs w:val="21"/>
              </w:rPr>
            </w:pPr>
            <w:r>
              <w:rPr>
                <w:rFonts w:hint="eastAsia"/>
                <w:szCs w:val="21"/>
              </w:rPr>
              <w:t>黄曲霉毒素B1（AFB1）是一种天然强致癌物，主要表现为对肝脏的损害。</w:t>
            </w:r>
          </w:p>
        </w:tc>
        <w:tc>
          <w:tcPr>
            <w:tcW w:w="850" w:type="dxa"/>
            <w:vAlign w:val="center"/>
          </w:tcPr>
          <w:p>
            <w:pPr>
              <w:jc w:val="center"/>
              <w:rPr>
                <w:rFonts w:ascii="宋体" w:hAnsi="宋体"/>
                <w:szCs w:val="21"/>
              </w:rPr>
            </w:pPr>
          </w:p>
        </w:tc>
      </w:tr>
    </w:tbl>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sz w:val="24"/>
        </w:rPr>
      </w:pPr>
      <w:r>
        <w:rPr>
          <w:rFonts w:hint="eastAsia"/>
          <w:sz w:val="24"/>
        </w:rPr>
        <w:t>检验报告书编号：JQT22FC03813</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szCs w:val="21"/>
              </w:rPr>
            </w:pPr>
            <w:r>
              <w:rPr>
                <w:rFonts w:hint="eastAsia"/>
                <w:szCs w:val="21"/>
              </w:rPr>
              <w:t>毒死蜱</w:t>
            </w:r>
          </w:p>
        </w:tc>
        <w:tc>
          <w:tcPr>
            <w:tcW w:w="1418" w:type="dxa"/>
            <w:vAlign w:val="center"/>
          </w:tcPr>
          <w:p>
            <w:pPr>
              <w:jc w:val="center"/>
              <w:rPr>
                <w:szCs w:val="21"/>
              </w:rPr>
            </w:pPr>
            <w:r>
              <w:rPr>
                <w:rFonts w:hint="eastAsia"/>
                <w:szCs w:val="21"/>
                <w:lang w:val="en-US" w:eastAsia="zh-CN"/>
              </w:rPr>
              <w:t>农药残留</w:t>
            </w:r>
          </w:p>
        </w:tc>
        <w:tc>
          <w:tcPr>
            <w:tcW w:w="1842" w:type="dxa"/>
            <w:vAlign w:val="center"/>
          </w:tcPr>
          <w:p>
            <w:pPr>
              <w:spacing w:line="400" w:lineRule="exact"/>
              <w:jc w:val="center"/>
              <w:rPr>
                <w:color w:val="000000"/>
                <w:szCs w:val="21"/>
              </w:rPr>
            </w:pPr>
            <w:r>
              <w:rPr>
                <w:rFonts w:hint="eastAsia" w:ascii="Times New Roman" w:hAnsi="Times New Roman" w:eastAsia="宋体" w:cs="Times New Roman"/>
                <w:kern w:val="2"/>
                <w:sz w:val="21"/>
                <w:szCs w:val="21"/>
                <w:lang w:val="en-US" w:eastAsia="zh-CN" w:bidi="ar-SA"/>
              </w:rPr>
              <w:t>0.022mg/kg</w:t>
            </w:r>
          </w:p>
        </w:tc>
        <w:tc>
          <w:tcPr>
            <w:tcW w:w="1843" w:type="dxa"/>
            <w:vAlign w:val="center"/>
          </w:tcPr>
          <w:p>
            <w:pPr>
              <w:jc w:val="center"/>
              <w:rPr>
                <w:szCs w:val="21"/>
              </w:rPr>
            </w:pPr>
            <w:r>
              <w:rPr>
                <w:rFonts w:hint="eastAsia"/>
                <w:szCs w:val="21"/>
              </w:rPr>
              <w:t>≤0.02mg/kg</w:t>
            </w:r>
          </w:p>
        </w:tc>
        <w:tc>
          <w:tcPr>
            <w:tcW w:w="3260" w:type="dxa"/>
            <w:vAlign w:val="center"/>
          </w:tcPr>
          <w:p>
            <w:pPr>
              <w:jc w:val="center"/>
              <w:rPr>
                <w:szCs w:val="21"/>
              </w:rPr>
            </w:pPr>
            <w:r>
              <w:rPr>
                <w:rFonts w:hint="eastAsia"/>
                <w:szCs w:val="21"/>
              </w:rPr>
              <w:t>蔬菜检出“毒死蜱”残留超标，可能是农户违法使用或土壤污染导致</w:t>
            </w:r>
            <w:r>
              <w:rPr>
                <w:rFonts w:hint="eastAsia"/>
                <w:szCs w:val="21"/>
                <w:lang w:eastAsia="zh-CN"/>
              </w:rPr>
              <w:t>，还可能是蔬菜生长期间农药使用剂量未严格控制或在停用杀虫剂后短期内马上采收上市等原因</w:t>
            </w:r>
            <w:r>
              <w:rPr>
                <w:rFonts w:hint="eastAsia"/>
                <w:szCs w:val="21"/>
              </w:rPr>
              <w:t>。</w:t>
            </w:r>
          </w:p>
        </w:tc>
        <w:tc>
          <w:tcPr>
            <w:tcW w:w="3321" w:type="dxa"/>
            <w:vAlign w:val="center"/>
          </w:tcPr>
          <w:p>
            <w:pPr>
              <w:jc w:val="center"/>
              <w:rPr>
                <w:rFonts w:ascii="宋体" w:hAnsi="宋体"/>
                <w:color w:val="000000"/>
                <w:szCs w:val="21"/>
                <w:shd w:val="clear" w:color="auto" w:fill="FFFFFF"/>
              </w:rPr>
            </w:pPr>
            <w:r>
              <w:rPr>
                <w:rFonts w:hint="eastAsia"/>
                <w:szCs w:val="21"/>
              </w:rPr>
              <w:t>长期暴露在含有毒死蜱的环境中，可能会导致神经毒性、生殖毒性，影响胚胎的生长发育。是粮食、果树、蔬菜等作物的理想杀虫剂。毒死蜱的毒性取决于暴露计量，急性中毒会对呼吸系统、心血管和肠道、肝脏造成破坏，慢性中毒则会出现认知功能障碍、对语言和视觉功能造成危害。毒死蜱中毒会对儿童造成诸如：多动症、学习障碍及大脑、眼睛等器官缺陷。</w:t>
            </w:r>
          </w:p>
        </w:tc>
        <w:tc>
          <w:tcPr>
            <w:tcW w:w="1106" w:type="dxa"/>
            <w:vAlign w:val="center"/>
          </w:tcPr>
          <w:p>
            <w:pPr>
              <w:jc w:val="center"/>
              <w:rPr>
                <w:szCs w:val="21"/>
              </w:rPr>
            </w:pPr>
            <w:r>
              <w:rPr>
                <w:rFonts w:hint="eastAsia"/>
                <w:szCs w:val="21"/>
              </w:rPr>
              <w:t>食用农产品（</w:t>
            </w:r>
            <w:r>
              <w:rPr>
                <w:rFonts w:hint="eastAsia"/>
                <w:szCs w:val="21"/>
                <w:lang w:val="en-US" w:eastAsia="zh-CN"/>
              </w:rPr>
              <w:t>油麦菜</w:t>
            </w:r>
            <w:r>
              <w:rPr>
                <w:rFonts w:hint="eastAsia"/>
                <w:szCs w:val="21"/>
              </w:rPr>
              <w:t>）</w:t>
            </w:r>
          </w:p>
        </w:tc>
      </w:tr>
    </w:tbl>
    <w:p>
      <w:pPr>
        <w:ind w:firstLine="480"/>
        <w:rPr>
          <w:b/>
          <w:bCs/>
          <w:sz w:val="44"/>
          <w:szCs w:val="44"/>
        </w:rPr>
      </w:pPr>
    </w:p>
    <w:p>
      <w:pPr>
        <w:ind w:firstLine="480"/>
        <w:rPr>
          <w:b/>
          <w:bCs/>
          <w:sz w:val="44"/>
          <w:szCs w:val="44"/>
        </w:rPr>
      </w:pPr>
    </w:p>
    <w:p>
      <w:pPr>
        <w:ind w:firstLine="480"/>
        <w:rPr>
          <w:b/>
          <w:bCs/>
          <w:sz w:val="44"/>
          <w:szCs w:val="44"/>
        </w:rPr>
      </w:pPr>
    </w:p>
    <w:p>
      <w:pPr>
        <w:ind w:firstLine="480"/>
        <w:rPr>
          <w:b/>
          <w:bCs/>
          <w:sz w:val="44"/>
          <w:szCs w:val="44"/>
        </w:rPr>
      </w:pPr>
    </w:p>
    <w:p>
      <w:pPr>
        <w:ind w:firstLine="480"/>
        <w:rPr>
          <w:b/>
          <w:bCs/>
          <w:sz w:val="44"/>
          <w:szCs w:val="44"/>
        </w:rPr>
      </w:pPr>
    </w:p>
    <w:p>
      <w:pPr>
        <w:rPr>
          <w:sz w:val="24"/>
        </w:rPr>
      </w:pPr>
      <w:r>
        <w:rPr>
          <w:rFonts w:hint="eastAsia"/>
          <w:sz w:val="24"/>
        </w:rPr>
        <w:t>检验报告书编号：JQT22FC03858</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szCs w:val="21"/>
              </w:rPr>
            </w:pPr>
            <w:r>
              <w:rPr>
                <w:rFonts w:hint="eastAsia"/>
                <w:szCs w:val="21"/>
              </w:rPr>
              <w:t>甲胺磷</w:t>
            </w:r>
          </w:p>
        </w:tc>
        <w:tc>
          <w:tcPr>
            <w:tcW w:w="1418" w:type="dxa"/>
            <w:vAlign w:val="center"/>
          </w:tcPr>
          <w:p>
            <w:pPr>
              <w:jc w:val="center"/>
              <w:rPr>
                <w:szCs w:val="21"/>
              </w:rPr>
            </w:pPr>
            <w:r>
              <w:rPr>
                <w:rFonts w:hint="eastAsia"/>
                <w:szCs w:val="21"/>
                <w:lang w:val="en-US" w:eastAsia="zh-CN"/>
              </w:rPr>
              <w:t>农药残留</w:t>
            </w:r>
          </w:p>
        </w:tc>
        <w:tc>
          <w:tcPr>
            <w:tcW w:w="1842" w:type="dxa"/>
            <w:vAlign w:val="center"/>
          </w:tcPr>
          <w:p>
            <w:pPr>
              <w:spacing w:line="400" w:lineRule="exact"/>
              <w:jc w:val="center"/>
              <w:rPr>
                <w:color w:val="000000"/>
                <w:szCs w:val="21"/>
              </w:rPr>
            </w:pPr>
            <w:r>
              <w:rPr>
                <w:rFonts w:hint="eastAsia" w:ascii="Times New Roman" w:hAnsi="Times New Roman" w:eastAsia="宋体" w:cs="Times New Roman"/>
                <w:kern w:val="2"/>
                <w:sz w:val="21"/>
                <w:szCs w:val="21"/>
                <w:lang w:val="en-US" w:eastAsia="zh-CN" w:bidi="ar-SA"/>
              </w:rPr>
              <w:t>0.052mg/kg</w:t>
            </w:r>
          </w:p>
        </w:tc>
        <w:tc>
          <w:tcPr>
            <w:tcW w:w="1843" w:type="dxa"/>
            <w:vAlign w:val="center"/>
          </w:tcPr>
          <w:p>
            <w:pPr>
              <w:jc w:val="center"/>
              <w:rPr>
                <w:szCs w:val="21"/>
              </w:rPr>
            </w:pPr>
            <w:r>
              <w:rPr>
                <w:rFonts w:hint="eastAsia"/>
                <w:szCs w:val="21"/>
              </w:rPr>
              <w:t>≤0.05mg/kg</w:t>
            </w:r>
          </w:p>
        </w:tc>
        <w:tc>
          <w:tcPr>
            <w:tcW w:w="3260" w:type="dxa"/>
            <w:vAlign w:val="center"/>
          </w:tcPr>
          <w:p>
            <w:pPr>
              <w:jc w:val="center"/>
              <w:rPr>
                <w:szCs w:val="21"/>
              </w:rPr>
            </w:pPr>
            <w:r>
              <w:rPr>
                <w:rFonts w:hint="eastAsia"/>
                <w:szCs w:val="21"/>
              </w:rPr>
              <w:t>甲胺磷超标的原因，可能是菜农对使用农药的安全间隔期不了解，从而违规使用或滥用农药。</w:t>
            </w:r>
          </w:p>
        </w:tc>
        <w:tc>
          <w:tcPr>
            <w:tcW w:w="3321" w:type="dxa"/>
            <w:vAlign w:val="center"/>
          </w:tcPr>
          <w:p>
            <w:pPr>
              <w:jc w:val="center"/>
              <w:rPr>
                <w:rFonts w:ascii="宋体" w:hAnsi="宋体"/>
                <w:color w:val="000000"/>
                <w:szCs w:val="21"/>
                <w:shd w:val="clear" w:color="auto" w:fill="FFFFFF"/>
              </w:rPr>
            </w:pPr>
            <w:r>
              <w:rPr>
                <w:rFonts w:hint="eastAsia" w:ascii="宋体" w:hAnsi="宋体"/>
                <w:color w:val="000000"/>
                <w:szCs w:val="21"/>
                <w:shd w:val="clear" w:color="auto" w:fill="FFFFFF"/>
              </w:rPr>
              <w:t>甲胺磷为有机磷化合物，该类农药抑制体内胆碱酯酶，造成神经生理功能紊乱。若食用该物质一次量较大，则可引起急性中毒，其表现为食欲减退、瞳孔缩小、肌束震颤等。若进食过多则发生肺水肿、脑水肿，则有生命危险。甚至失去生命的危险，对身体造成的毒性损害也是巨大的。</w:t>
            </w:r>
          </w:p>
        </w:tc>
        <w:tc>
          <w:tcPr>
            <w:tcW w:w="1106" w:type="dxa"/>
            <w:vAlign w:val="center"/>
          </w:tcPr>
          <w:p>
            <w:pPr>
              <w:jc w:val="center"/>
              <w:rPr>
                <w:szCs w:val="21"/>
              </w:rPr>
            </w:pPr>
            <w:r>
              <w:rPr>
                <w:rFonts w:hint="eastAsia"/>
                <w:szCs w:val="21"/>
              </w:rPr>
              <w:t>食用农产品（</w:t>
            </w:r>
            <w:r>
              <w:rPr>
                <w:rFonts w:hint="eastAsia"/>
                <w:szCs w:val="21"/>
                <w:lang w:val="en-US" w:eastAsia="zh-CN"/>
              </w:rPr>
              <w:t>韭菜</w:t>
            </w:r>
            <w:r>
              <w:rPr>
                <w:rFonts w:hint="eastAsia"/>
                <w:szCs w:val="21"/>
              </w:rPr>
              <w:t>）</w:t>
            </w:r>
          </w:p>
        </w:tc>
      </w:tr>
    </w:tbl>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sz w:val="24"/>
        </w:rPr>
      </w:pPr>
      <w:r>
        <w:rPr>
          <w:rFonts w:hint="eastAsia"/>
          <w:sz w:val="24"/>
        </w:rPr>
        <w:t>检验报告书编号：JQT22FC03910</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szCs w:val="21"/>
              </w:rPr>
            </w:pPr>
            <w:r>
              <w:rPr>
                <w:rFonts w:hint="eastAsia"/>
                <w:szCs w:val="21"/>
              </w:rPr>
              <w:t>恩诺沙星</w:t>
            </w:r>
          </w:p>
        </w:tc>
        <w:tc>
          <w:tcPr>
            <w:tcW w:w="1418" w:type="dxa"/>
            <w:vAlign w:val="center"/>
          </w:tcPr>
          <w:p>
            <w:pPr>
              <w:jc w:val="center"/>
              <w:rPr>
                <w:szCs w:val="21"/>
              </w:rPr>
            </w:pPr>
            <w:r>
              <w:rPr>
                <w:rFonts w:hint="eastAsia"/>
                <w:szCs w:val="21"/>
                <w:lang w:val="en-US" w:eastAsia="zh-CN"/>
              </w:rPr>
              <w:t>兽药残留</w:t>
            </w:r>
          </w:p>
        </w:tc>
        <w:tc>
          <w:tcPr>
            <w:tcW w:w="1842" w:type="dxa"/>
            <w:vAlign w:val="center"/>
          </w:tcPr>
          <w:p>
            <w:pPr>
              <w:spacing w:line="400" w:lineRule="exact"/>
              <w:jc w:val="center"/>
              <w:rPr>
                <w:color w:val="000000"/>
                <w:szCs w:val="21"/>
              </w:rPr>
            </w:pPr>
            <w:r>
              <w:rPr>
                <w:rFonts w:hint="eastAsia" w:ascii="Times New Roman" w:hAnsi="Times New Roman" w:eastAsia="宋体" w:cs="Times New Roman"/>
                <w:kern w:val="2"/>
                <w:sz w:val="21"/>
                <w:szCs w:val="21"/>
                <w:lang w:val="en-US" w:eastAsia="zh-CN" w:bidi="ar-SA"/>
              </w:rPr>
              <w:t>116μg/kg</w:t>
            </w:r>
          </w:p>
        </w:tc>
        <w:tc>
          <w:tcPr>
            <w:tcW w:w="1843" w:type="dxa"/>
            <w:vAlign w:val="center"/>
          </w:tcPr>
          <w:p>
            <w:pPr>
              <w:jc w:val="center"/>
              <w:rPr>
                <w:szCs w:val="21"/>
              </w:rPr>
            </w:pPr>
            <w:r>
              <w:rPr>
                <w:rFonts w:hint="eastAsia"/>
                <w:szCs w:val="21"/>
              </w:rPr>
              <w:t>≤100μg/kg</w:t>
            </w:r>
          </w:p>
        </w:tc>
        <w:tc>
          <w:tcPr>
            <w:tcW w:w="3260" w:type="dxa"/>
            <w:vAlign w:val="center"/>
          </w:tcPr>
          <w:p>
            <w:pPr>
              <w:jc w:val="center"/>
              <w:rPr>
                <w:szCs w:val="21"/>
              </w:rPr>
            </w:pPr>
            <w:r>
              <w:rPr>
                <w:rFonts w:hint="eastAsia"/>
                <w:szCs w:val="21"/>
              </w:rPr>
              <w:t>恩诺沙星超标的原因，可能是养殖户在养殖过程中违规使用相关兽药。</w:t>
            </w:r>
          </w:p>
        </w:tc>
        <w:tc>
          <w:tcPr>
            <w:tcW w:w="3321" w:type="dxa"/>
            <w:vAlign w:val="center"/>
          </w:tcPr>
          <w:p>
            <w:pPr>
              <w:jc w:val="center"/>
              <w:rPr>
                <w:rFonts w:ascii="宋体" w:hAnsi="宋体"/>
                <w:color w:val="000000"/>
                <w:szCs w:val="21"/>
                <w:shd w:val="clear" w:color="auto" w:fill="FFFFFF"/>
              </w:rPr>
            </w:pPr>
            <w:r>
              <w:rPr>
                <w:rFonts w:hint="eastAsia"/>
                <w:szCs w:val="21"/>
              </w:rPr>
              <w:t>摄入恩诺沙星超标的食品，可能引起头晕、头痛、睡眠不良、胃肠道刺激或不适等症状，甚至还可能引起肝损害。</w:t>
            </w:r>
          </w:p>
        </w:tc>
        <w:tc>
          <w:tcPr>
            <w:tcW w:w="1106" w:type="dxa"/>
            <w:vAlign w:val="center"/>
          </w:tcPr>
          <w:p>
            <w:pPr>
              <w:jc w:val="center"/>
              <w:rPr>
                <w:szCs w:val="21"/>
              </w:rPr>
            </w:pPr>
            <w:r>
              <w:rPr>
                <w:rFonts w:hint="eastAsia"/>
                <w:szCs w:val="21"/>
              </w:rPr>
              <w:t>食用农产品（</w:t>
            </w:r>
            <w:r>
              <w:rPr>
                <w:rFonts w:hint="eastAsia"/>
                <w:szCs w:val="21"/>
                <w:lang w:val="en-US" w:eastAsia="zh-CN"/>
              </w:rPr>
              <w:t>淡水鱼</w:t>
            </w:r>
            <w:r>
              <w:rPr>
                <w:rFonts w:hint="eastAsia"/>
                <w:szCs w:val="21"/>
              </w:rPr>
              <w:t>）</w:t>
            </w:r>
          </w:p>
        </w:tc>
      </w:tr>
    </w:tbl>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sz w:val="24"/>
        </w:rPr>
      </w:pPr>
      <w:r>
        <w:rPr>
          <w:rFonts w:hint="eastAsia"/>
          <w:sz w:val="24"/>
        </w:rPr>
        <w:t>检验报告书编号：JQT22FC03968</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szCs w:val="21"/>
              </w:rPr>
            </w:pPr>
            <w:r>
              <w:rPr>
                <w:rFonts w:hint="eastAsia"/>
                <w:szCs w:val="21"/>
              </w:rPr>
              <w:t>丙溴磷</w:t>
            </w:r>
          </w:p>
        </w:tc>
        <w:tc>
          <w:tcPr>
            <w:tcW w:w="1418" w:type="dxa"/>
            <w:vAlign w:val="center"/>
          </w:tcPr>
          <w:p>
            <w:pPr>
              <w:jc w:val="center"/>
              <w:rPr>
                <w:szCs w:val="21"/>
              </w:rPr>
            </w:pPr>
            <w:r>
              <w:rPr>
                <w:rFonts w:hint="eastAsia"/>
                <w:szCs w:val="21"/>
                <w:lang w:val="en-US" w:eastAsia="zh-CN"/>
              </w:rPr>
              <w:t>农药残留</w:t>
            </w:r>
          </w:p>
        </w:tc>
        <w:tc>
          <w:tcPr>
            <w:tcW w:w="1842" w:type="dxa"/>
            <w:vAlign w:val="center"/>
          </w:tcPr>
          <w:p>
            <w:pPr>
              <w:spacing w:line="400" w:lineRule="exact"/>
              <w:jc w:val="center"/>
              <w:rPr>
                <w:color w:val="000000"/>
                <w:szCs w:val="21"/>
              </w:rPr>
            </w:pPr>
            <w:r>
              <w:rPr>
                <w:rFonts w:hint="eastAsia" w:ascii="Times New Roman" w:hAnsi="Times New Roman" w:eastAsia="宋体" w:cs="Times New Roman"/>
                <w:kern w:val="2"/>
                <w:sz w:val="21"/>
                <w:szCs w:val="21"/>
                <w:lang w:val="en-US" w:eastAsia="zh-CN" w:bidi="ar-SA"/>
              </w:rPr>
              <w:t>0.21mg/kg</w:t>
            </w:r>
          </w:p>
        </w:tc>
        <w:tc>
          <w:tcPr>
            <w:tcW w:w="1843" w:type="dxa"/>
            <w:vAlign w:val="center"/>
          </w:tcPr>
          <w:p>
            <w:pPr>
              <w:jc w:val="center"/>
              <w:rPr>
                <w:szCs w:val="21"/>
              </w:rPr>
            </w:pPr>
            <w:r>
              <w:rPr>
                <w:rFonts w:hint="eastAsia"/>
                <w:szCs w:val="21"/>
              </w:rPr>
              <w:t>≤0.2mg/kg</w:t>
            </w:r>
          </w:p>
        </w:tc>
        <w:tc>
          <w:tcPr>
            <w:tcW w:w="3260" w:type="dxa"/>
            <w:vAlign w:val="center"/>
          </w:tcPr>
          <w:p>
            <w:pPr>
              <w:jc w:val="center"/>
              <w:rPr>
                <w:szCs w:val="21"/>
              </w:rPr>
            </w:pPr>
            <w:r>
              <w:rPr>
                <w:rFonts w:hint="eastAsia"/>
                <w:szCs w:val="21"/>
                <w:lang w:eastAsia="zh-CN"/>
              </w:rPr>
              <w:t>丙溴磷</w:t>
            </w:r>
            <w:r>
              <w:rPr>
                <w:rFonts w:hint="eastAsia"/>
                <w:szCs w:val="21"/>
                <w:lang w:val="en-US" w:eastAsia="zh-CN"/>
              </w:rPr>
              <w:t>是一种</w:t>
            </w:r>
            <w:r>
              <w:rPr>
                <w:rFonts w:hint="eastAsia"/>
                <w:szCs w:val="21"/>
              </w:rPr>
              <w:t>不对称有机磷杀虫剂。具触杀和胃毒作用，无内吸作用，杀虫谱广，能防治棉花、蔬菜地有害昆虫和螨类。</w:t>
            </w:r>
            <w:r>
              <w:rPr>
                <w:rFonts w:hint="eastAsia"/>
                <w:szCs w:val="21"/>
                <w:lang w:eastAsia="zh-CN"/>
              </w:rPr>
              <w:t>丙溴磷</w:t>
            </w:r>
            <w:r>
              <w:rPr>
                <w:rFonts w:hint="eastAsia"/>
                <w:szCs w:val="21"/>
              </w:rPr>
              <w:t>超标的原因，可能是菜农对使用农药的安全间隔期不了解，从而违规使用或滥用农药。</w:t>
            </w:r>
          </w:p>
        </w:tc>
        <w:tc>
          <w:tcPr>
            <w:tcW w:w="3321" w:type="dxa"/>
            <w:vAlign w:val="center"/>
          </w:tcPr>
          <w:p>
            <w:pPr>
              <w:jc w:val="center"/>
              <w:rPr>
                <w:rFonts w:hint="eastAsia" w:ascii="宋体" w:hAnsi="宋体" w:eastAsia="宋体"/>
                <w:color w:val="000000"/>
                <w:szCs w:val="21"/>
                <w:shd w:val="clear" w:color="auto" w:fill="FFFFFF"/>
                <w:lang w:eastAsia="zh-CN"/>
              </w:rPr>
            </w:pPr>
            <w:r>
              <w:rPr>
                <w:rFonts w:hint="eastAsia" w:ascii="宋体" w:hAnsi="宋体"/>
                <w:color w:val="000000"/>
                <w:szCs w:val="21"/>
                <w:shd w:val="clear" w:color="auto" w:fill="FFFFFF"/>
                <w:lang w:eastAsia="zh-CN"/>
              </w:rPr>
              <w:t>摄入丙溴磷过量，可能引起</w:t>
            </w:r>
            <w:r>
              <w:rPr>
                <w:rFonts w:hint="default" w:ascii="Arial" w:hAnsi="Arial" w:eastAsia="宋体" w:cs="Arial"/>
                <w:i w:val="0"/>
                <w:iCs w:val="0"/>
                <w:caps w:val="0"/>
                <w:color w:val="333333"/>
                <w:spacing w:val="0"/>
                <w:sz w:val="21"/>
                <w:szCs w:val="21"/>
                <w:shd w:val="clear" w:fill="FFFFFF"/>
              </w:rPr>
              <w:t>恶心、</w:t>
            </w:r>
            <w:r>
              <w:rPr>
                <w:rFonts w:hint="default" w:ascii="Arial" w:hAnsi="Arial" w:eastAsia="宋体" w:cs="Arial"/>
                <w:i w:val="0"/>
                <w:iCs w:val="0"/>
                <w:caps w:val="0"/>
                <w:color w:val="333333"/>
                <w:spacing w:val="0"/>
                <w:sz w:val="21"/>
                <w:szCs w:val="21"/>
                <w:shd w:val="clear" w:fill="FFFFFF"/>
              </w:rPr>
              <w:fldChar w:fldCharType="begin"/>
            </w:r>
            <w:r>
              <w:rPr>
                <w:rFonts w:hint="default" w:ascii="Arial" w:hAnsi="Arial" w:eastAsia="宋体" w:cs="Arial"/>
                <w:i w:val="0"/>
                <w:iCs w:val="0"/>
                <w:caps w:val="0"/>
                <w:color w:val="333333"/>
                <w:spacing w:val="0"/>
                <w:sz w:val="21"/>
                <w:szCs w:val="21"/>
                <w:shd w:val="clear" w:fill="FFFFFF"/>
              </w:rPr>
              <w:instrText xml:space="preserve"> HYPERLINK "https://baike.so.com/doc/5393304.html" \t "https://baike.so.com/doc/_blank" </w:instrText>
            </w:r>
            <w:r>
              <w:rPr>
                <w:rFonts w:hint="default" w:ascii="Arial" w:hAnsi="Arial" w:eastAsia="宋体" w:cs="Arial"/>
                <w:i w:val="0"/>
                <w:iCs w:val="0"/>
                <w:caps w:val="0"/>
                <w:color w:val="333333"/>
                <w:spacing w:val="0"/>
                <w:sz w:val="21"/>
                <w:szCs w:val="21"/>
                <w:shd w:val="clear" w:fill="FFFFFF"/>
              </w:rPr>
              <w:fldChar w:fldCharType="separate"/>
            </w:r>
            <w:r>
              <w:rPr>
                <w:rFonts w:hint="default" w:ascii="Arial" w:hAnsi="Arial" w:eastAsia="宋体" w:cs="Arial"/>
                <w:i w:val="0"/>
                <w:iCs w:val="0"/>
                <w:caps w:val="0"/>
                <w:color w:val="333333"/>
                <w:spacing w:val="0"/>
                <w:sz w:val="21"/>
                <w:szCs w:val="21"/>
                <w:shd w:val="clear" w:fill="FFFFFF"/>
              </w:rPr>
              <w:t>呕吐</w:t>
            </w:r>
            <w:r>
              <w:rPr>
                <w:rFonts w:hint="default" w:ascii="Arial" w:hAnsi="Arial" w:eastAsia="宋体" w:cs="Arial"/>
                <w:i w:val="0"/>
                <w:iCs w:val="0"/>
                <w:caps w:val="0"/>
                <w:color w:val="333333"/>
                <w:spacing w:val="0"/>
                <w:sz w:val="21"/>
                <w:szCs w:val="21"/>
                <w:shd w:val="clear" w:fill="FFFFFF"/>
              </w:rPr>
              <w:fldChar w:fldCharType="end"/>
            </w:r>
            <w:r>
              <w:rPr>
                <w:rFonts w:hint="default" w:ascii="Arial" w:hAnsi="Arial" w:eastAsia="宋体" w:cs="Arial"/>
                <w:i w:val="0"/>
                <w:iCs w:val="0"/>
                <w:caps w:val="0"/>
                <w:color w:val="333333"/>
                <w:spacing w:val="0"/>
                <w:sz w:val="21"/>
                <w:szCs w:val="21"/>
                <w:shd w:val="clear" w:fill="FFFFFF"/>
              </w:rPr>
              <w:t>、多汗、无力、胸闷、视力模糊、胃口不佳等</w:t>
            </w:r>
            <w:r>
              <w:rPr>
                <w:rFonts w:hint="eastAsia" w:ascii="Arial" w:hAnsi="Arial" w:eastAsia="宋体" w:cs="Arial"/>
                <w:i w:val="0"/>
                <w:iCs w:val="0"/>
                <w:caps w:val="0"/>
                <w:color w:val="333333"/>
                <w:spacing w:val="0"/>
                <w:sz w:val="21"/>
                <w:szCs w:val="21"/>
                <w:shd w:val="clear" w:fill="FFFFFF"/>
                <w:lang w:eastAsia="zh-CN"/>
              </w:rPr>
              <w:t>，重则</w:t>
            </w:r>
            <w:r>
              <w:rPr>
                <w:rFonts w:hint="default" w:ascii="Arial" w:hAnsi="Arial" w:eastAsia="宋体" w:cs="Arial"/>
                <w:i w:val="0"/>
                <w:iCs w:val="0"/>
                <w:caps w:val="0"/>
                <w:color w:val="333333"/>
                <w:spacing w:val="0"/>
                <w:sz w:val="21"/>
                <w:szCs w:val="21"/>
                <w:shd w:val="clear" w:fill="FFFFFF"/>
              </w:rPr>
              <w:t>还会出现昏迷、抽</w:t>
            </w:r>
            <w:r>
              <w:rPr>
                <w:rFonts w:ascii="Arial" w:hAnsi="Arial" w:eastAsia="宋体" w:cs="Arial"/>
                <w:i w:val="0"/>
                <w:iCs w:val="0"/>
                <w:caps w:val="0"/>
                <w:color w:val="333333"/>
                <w:spacing w:val="0"/>
                <w:sz w:val="21"/>
                <w:szCs w:val="21"/>
                <w:shd w:val="clear" w:fill="FFFFFF"/>
              </w:rPr>
              <w:t>搐、呼吸困难、口吐白沫、大小便失禁，惊</w:t>
            </w:r>
            <w:r>
              <w:rPr>
                <w:rFonts w:hint="default" w:ascii="Arial" w:hAnsi="Arial" w:eastAsia="宋体" w:cs="Arial"/>
                <w:i w:val="0"/>
                <w:iCs w:val="0"/>
                <w:caps w:val="0"/>
                <w:color w:val="333333"/>
                <w:spacing w:val="0"/>
                <w:sz w:val="21"/>
                <w:szCs w:val="21"/>
                <w:shd w:val="clear" w:fill="FFFFFF"/>
              </w:rPr>
              <w:t>厥，呼吸麻痹</w:t>
            </w:r>
            <w:r>
              <w:rPr>
                <w:rFonts w:hint="eastAsia" w:ascii="Arial" w:hAnsi="Arial" w:eastAsia="宋体" w:cs="Arial"/>
                <w:i w:val="0"/>
                <w:iCs w:val="0"/>
                <w:caps w:val="0"/>
                <w:color w:val="333333"/>
                <w:spacing w:val="0"/>
                <w:sz w:val="21"/>
                <w:szCs w:val="21"/>
                <w:shd w:val="clear" w:fill="FFFFFF"/>
                <w:lang w:eastAsia="zh-CN"/>
              </w:rPr>
              <w:t>。</w:t>
            </w:r>
            <w:r>
              <w:rPr>
                <w:rFonts w:hint="eastAsia" w:ascii="Arial" w:hAnsi="Arial" w:eastAsia="宋体" w:cs="Arial"/>
                <w:i w:val="0"/>
                <w:iCs w:val="0"/>
                <w:caps w:val="0"/>
                <w:color w:val="333333"/>
                <w:spacing w:val="0"/>
                <w:sz w:val="21"/>
                <w:szCs w:val="21"/>
                <w:shd w:val="clear" w:fill="FFFFFF"/>
              </w:rPr>
              <w:t>长期食用农药残留超标的水果，人类身体内会沉积一定量的残留农药，会诱发长期慢性疾病以及引起肝脏病变，甚至诱发癌症和基因突变。</w:t>
            </w:r>
          </w:p>
        </w:tc>
        <w:tc>
          <w:tcPr>
            <w:tcW w:w="1106" w:type="dxa"/>
            <w:vAlign w:val="center"/>
          </w:tcPr>
          <w:p>
            <w:pPr>
              <w:jc w:val="center"/>
              <w:rPr>
                <w:szCs w:val="21"/>
              </w:rPr>
            </w:pPr>
            <w:r>
              <w:rPr>
                <w:rFonts w:hint="eastAsia"/>
                <w:szCs w:val="21"/>
              </w:rPr>
              <w:t>食用农产品（</w:t>
            </w:r>
            <w:r>
              <w:rPr>
                <w:rFonts w:hint="eastAsia"/>
                <w:szCs w:val="21"/>
                <w:lang w:val="en-US" w:eastAsia="zh-CN"/>
              </w:rPr>
              <w:t>柑、橘</w:t>
            </w:r>
            <w:r>
              <w:rPr>
                <w:rFonts w:hint="eastAsia"/>
                <w:szCs w:val="21"/>
              </w:rPr>
              <w:t>）</w:t>
            </w:r>
          </w:p>
        </w:tc>
      </w:tr>
    </w:tbl>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pStyle w:val="2"/>
      </w:pPr>
    </w:p>
    <w:p>
      <w:pPr>
        <w:rPr>
          <w:rFonts w:hint="eastAsia"/>
          <w:sz w:val="28"/>
          <w:szCs w:val="28"/>
        </w:rPr>
      </w:pPr>
      <w:r>
        <w:rPr>
          <w:rFonts w:hint="eastAsia"/>
          <w:sz w:val="28"/>
          <w:szCs w:val="28"/>
        </w:rPr>
        <w:t>检验报告书编号：ZNY220400401</w:t>
      </w:r>
    </w:p>
    <w:tbl>
      <w:tblPr>
        <w:tblStyle w:val="9"/>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9"/>
        <w:gridCol w:w="1415"/>
        <w:gridCol w:w="1275"/>
        <w:gridCol w:w="4253"/>
        <w:gridCol w:w="396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124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项目</w:t>
            </w:r>
          </w:p>
        </w:tc>
        <w:tc>
          <w:tcPr>
            <w:tcW w:w="127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不合格项目所属指标</w:t>
            </w:r>
          </w:p>
        </w:tc>
        <w:tc>
          <w:tcPr>
            <w:tcW w:w="141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检验</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结果</w:t>
            </w:r>
          </w:p>
        </w:tc>
        <w:tc>
          <w:tcPr>
            <w:tcW w:w="127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标准值</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要求</w:t>
            </w:r>
          </w:p>
        </w:tc>
        <w:tc>
          <w:tcPr>
            <w:tcW w:w="425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不合格原因分析</w:t>
            </w:r>
          </w:p>
        </w:tc>
        <w:tc>
          <w:tcPr>
            <w:tcW w:w="396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可能引起的危害</w:t>
            </w:r>
          </w:p>
        </w:tc>
        <w:tc>
          <w:tcPr>
            <w:tcW w:w="85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12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腐霉利</w:t>
            </w:r>
          </w:p>
        </w:tc>
        <w:tc>
          <w:tcPr>
            <w:tcW w:w="1279" w:type="dxa"/>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农药残留</w:t>
            </w:r>
          </w:p>
        </w:tc>
        <w:tc>
          <w:tcPr>
            <w:tcW w:w="1415" w:type="dxa"/>
            <w:noWrap w:val="0"/>
            <w:vAlign w:val="center"/>
          </w:tcPr>
          <w:p>
            <w:pPr>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0.</w:t>
            </w:r>
            <w:r>
              <w:rPr>
                <w:rFonts w:hint="eastAsia" w:ascii="宋体" w:hAnsi="宋体" w:cs="宋体"/>
                <w:color w:val="000000"/>
                <w:sz w:val="21"/>
                <w:szCs w:val="21"/>
                <w:lang w:val="en-US" w:eastAsia="zh-CN"/>
              </w:rPr>
              <w:t>68m</w:t>
            </w:r>
            <w:r>
              <w:rPr>
                <w:rFonts w:hint="eastAsia" w:ascii="宋体" w:hAnsi="宋体" w:eastAsia="宋体" w:cs="宋体"/>
                <w:color w:val="000000"/>
                <w:sz w:val="21"/>
                <w:szCs w:val="21"/>
              </w:rPr>
              <w:t>g/kg</w:t>
            </w:r>
          </w:p>
        </w:tc>
        <w:tc>
          <w:tcPr>
            <w:tcW w:w="127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w:t>
            </w:r>
            <w:r>
              <w:rPr>
                <w:rFonts w:hint="eastAsia" w:ascii="宋体" w:hAnsi="宋体" w:cs="宋体"/>
                <w:color w:val="000000"/>
                <w:sz w:val="21"/>
                <w:szCs w:val="21"/>
                <w:lang w:val="en-US" w:eastAsia="zh-CN"/>
              </w:rPr>
              <w:t>m</w:t>
            </w:r>
            <w:r>
              <w:rPr>
                <w:rFonts w:hint="eastAsia" w:ascii="宋体" w:hAnsi="宋体" w:eastAsia="宋体" w:cs="宋体"/>
                <w:color w:val="000000"/>
                <w:sz w:val="21"/>
                <w:szCs w:val="21"/>
              </w:rPr>
              <w:t>g/kg</w:t>
            </w:r>
          </w:p>
        </w:tc>
        <w:tc>
          <w:tcPr>
            <w:tcW w:w="4253"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可能是菜农对使用农药的安全间隔期不了解，从而违规使用或滥用农药。</w:t>
            </w:r>
          </w:p>
        </w:tc>
        <w:tc>
          <w:tcPr>
            <w:tcW w:w="3969" w:type="dxa"/>
            <w:noWrap w:val="0"/>
            <w:vAlign w:val="center"/>
          </w:tcPr>
          <w:p>
            <w:pPr>
              <w:rPr>
                <w:rFonts w:hint="eastAsia" w:ascii="宋体" w:hAnsi="宋体" w:eastAsia="宋体" w:cs="宋体"/>
                <w:sz w:val="21"/>
                <w:szCs w:val="21"/>
                <w:lang w:eastAsia="zh-CN"/>
              </w:rPr>
            </w:pPr>
            <w:r>
              <w:rPr>
                <w:rFonts w:hint="eastAsia" w:ascii="宋体" w:hAnsi="宋体" w:eastAsia="宋体" w:cs="宋体"/>
                <w:b w:val="0"/>
                <w:i w:val="0"/>
                <w:caps w:val="0"/>
                <w:color w:val="333333"/>
                <w:spacing w:val="0"/>
                <w:kern w:val="0"/>
                <w:sz w:val="21"/>
                <w:szCs w:val="21"/>
                <w:shd w:val="clear" w:color="auto" w:fill="FFFFFF"/>
                <w:lang w:val="en-US" w:eastAsia="zh-CN" w:bidi="ar"/>
              </w:rPr>
              <w:t>少量的农药残留不会引起人体急性中毒，但长期食用腐霉利超标的食品，对人体健康有一定影响。</w:t>
            </w:r>
          </w:p>
        </w:tc>
        <w:tc>
          <w:tcPr>
            <w:tcW w:w="850" w:type="dxa"/>
            <w:noWrap w:val="0"/>
            <w:vAlign w:val="center"/>
          </w:tcPr>
          <w:p>
            <w:pPr>
              <w:jc w:val="center"/>
              <w:rPr>
                <w:rFonts w:hint="eastAsia" w:ascii="宋体" w:hAnsi="宋体" w:eastAsia="宋体" w:cs="宋体"/>
                <w:sz w:val="21"/>
                <w:szCs w:val="21"/>
              </w:rPr>
            </w:pPr>
          </w:p>
        </w:tc>
      </w:tr>
    </w:tbl>
    <w:p>
      <w:pPr>
        <w:rPr>
          <w:rFonts w:hint="eastAsia"/>
          <w:szCs w:val="21"/>
        </w:rPr>
      </w:pPr>
    </w:p>
    <w:p>
      <w:pPr>
        <w:rPr>
          <w:rFonts w:hint="eastAsia"/>
          <w:sz w:val="28"/>
          <w:szCs w:val="28"/>
        </w:rPr>
      </w:pPr>
      <w:r>
        <w:rPr>
          <w:rFonts w:hint="eastAsia"/>
          <w:sz w:val="28"/>
          <w:szCs w:val="28"/>
        </w:rPr>
        <w:t>检验报告书编号：ZNY220400711</w:t>
      </w:r>
    </w:p>
    <w:tbl>
      <w:tblPr>
        <w:tblStyle w:val="9"/>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99"/>
        <w:gridCol w:w="1295"/>
        <w:gridCol w:w="1643"/>
        <w:gridCol w:w="3885"/>
        <w:gridCol w:w="396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124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项目</w:t>
            </w:r>
          </w:p>
        </w:tc>
        <w:tc>
          <w:tcPr>
            <w:tcW w:w="139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不合格项目所属指标</w:t>
            </w:r>
          </w:p>
        </w:tc>
        <w:tc>
          <w:tcPr>
            <w:tcW w:w="129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检验</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结果</w:t>
            </w:r>
          </w:p>
        </w:tc>
        <w:tc>
          <w:tcPr>
            <w:tcW w:w="1643"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标准值</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要求</w:t>
            </w:r>
          </w:p>
        </w:tc>
        <w:tc>
          <w:tcPr>
            <w:tcW w:w="388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不合格原因分析</w:t>
            </w:r>
          </w:p>
        </w:tc>
        <w:tc>
          <w:tcPr>
            <w:tcW w:w="396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可能引起的危害</w:t>
            </w:r>
          </w:p>
        </w:tc>
        <w:tc>
          <w:tcPr>
            <w:tcW w:w="85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124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三唑磷</w:t>
            </w:r>
          </w:p>
        </w:tc>
        <w:tc>
          <w:tcPr>
            <w:tcW w:w="1399" w:type="dxa"/>
            <w:noWrap w:val="0"/>
            <w:vAlign w:val="center"/>
          </w:tcPr>
          <w:p>
            <w:pPr>
              <w:spacing w:line="36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农药残留</w:t>
            </w:r>
          </w:p>
        </w:tc>
        <w:tc>
          <w:tcPr>
            <w:tcW w:w="129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0.</w:t>
            </w:r>
            <w:r>
              <w:rPr>
                <w:rFonts w:hint="eastAsia" w:ascii="宋体" w:hAnsi="宋体" w:cs="宋体"/>
                <w:sz w:val="21"/>
                <w:szCs w:val="21"/>
                <w:lang w:val="en-US" w:eastAsia="zh-CN"/>
              </w:rPr>
              <w:t>22</w:t>
            </w:r>
            <w:r>
              <w:rPr>
                <w:rFonts w:hint="eastAsia" w:ascii="宋体" w:hAnsi="宋体" w:eastAsia="宋体" w:cs="宋体"/>
                <w:sz w:val="21"/>
                <w:szCs w:val="21"/>
              </w:rPr>
              <w:t>mg/kg</w:t>
            </w:r>
          </w:p>
        </w:tc>
        <w:tc>
          <w:tcPr>
            <w:tcW w:w="1643" w:type="dxa"/>
            <w:noWrap w:val="0"/>
            <w:vAlign w:val="center"/>
          </w:tcPr>
          <w:p>
            <w:pPr>
              <w:spacing w:line="36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r>
              <w:rPr>
                <w:rFonts w:hint="eastAsia" w:ascii="宋体" w:hAnsi="宋体" w:cs="宋体"/>
                <w:sz w:val="21"/>
                <w:szCs w:val="21"/>
                <w:lang w:val="en-US" w:eastAsia="zh-CN"/>
              </w:rPr>
              <w:t>05</w:t>
            </w:r>
            <w:r>
              <w:rPr>
                <w:rFonts w:hint="eastAsia" w:ascii="宋体" w:hAnsi="宋体" w:eastAsia="宋体" w:cs="宋体"/>
                <w:sz w:val="21"/>
                <w:szCs w:val="21"/>
              </w:rPr>
              <w:t>mg/kg</w:t>
            </w:r>
          </w:p>
        </w:tc>
        <w:tc>
          <w:tcPr>
            <w:tcW w:w="388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可能是菜农对使用农药的安全间隔期不了解，从而违规使用或滥用农药。</w:t>
            </w:r>
          </w:p>
        </w:tc>
        <w:tc>
          <w:tcPr>
            <w:tcW w:w="3969"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少量的</w:t>
            </w:r>
            <w:r>
              <w:rPr>
                <w:rFonts w:hint="eastAsia" w:ascii="宋体" w:hAnsi="宋体" w:eastAsia="宋体" w:cs="宋体"/>
                <w:sz w:val="21"/>
                <w:szCs w:val="21"/>
              </w:rPr>
              <w:t>三唑磷</w:t>
            </w:r>
            <w:r>
              <w:rPr>
                <w:rFonts w:hint="eastAsia" w:ascii="宋体" w:hAnsi="宋体" w:eastAsia="宋体" w:cs="宋体"/>
                <w:sz w:val="21"/>
                <w:szCs w:val="21"/>
                <w:lang w:val="en-US" w:eastAsia="zh-CN"/>
              </w:rPr>
              <w:t>残留不会引起人体急性中毒，但长期食用</w:t>
            </w:r>
            <w:r>
              <w:rPr>
                <w:rFonts w:hint="eastAsia" w:ascii="宋体" w:hAnsi="宋体" w:eastAsia="宋体" w:cs="宋体"/>
                <w:sz w:val="21"/>
                <w:szCs w:val="21"/>
              </w:rPr>
              <w:t>三唑磷</w:t>
            </w:r>
            <w:r>
              <w:rPr>
                <w:rFonts w:hint="eastAsia" w:ascii="宋体" w:hAnsi="宋体" w:eastAsia="宋体" w:cs="宋体"/>
                <w:sz w:val="21"/>
                <w:szCs w:val="21"/>
                <w:lang w:val="en-US" w:eastAsia="zh-CN"/>
              </w:rPr>
              <w:t>超标的食品，对人体健康有一定影响。</w:t>
            </w:r>
          </w:p>
          <w:p>
            <w:pPr>
              <w:spacing w:line="360" w:lineRule="exact"/>
              <w:jc w:val="center"/>
              <w:rPr>
                <w:rFonts w:hint="eastAsia" w:ascii="宋体" w:hAnsi="宋体" w:eastAsia="宋体" w:cs="宋体"/>
                <w:sz w:val="21"/>
                <w:szCs w:val="21"/>
              </w:rPr>
            </w:pPr>
          </w:p>
        </w:tc>
        <w:tc>
          <w:tcPr>
            <w:tcW w:w="850" w:type="dxa"/>
            <w:noWrap w:val="0"/>
            <w:vAlign w:val="center"/>
          </w:tcPr>
          <w:p>
            <w:pPr>
              <w:spacing w:line="360" w:lineRule="exact"/>
              <w:jc w:val="center"/>
              <w:rPr>
                <w:rFonts w:hint="eastAsia" w:ascii="宋体" w:hAnsi="宋体" w:eastAsia="宋体" w:cs="宋体"/>
                <w:sz w:val="21"/>
                <w:szCs w:val="21"/>
              </w:rPr>
            </w:pPr>
          </w:p>
        </w:tc>
      </w:tr>
    </w:tbl>
    <w:p>
      <w:pPr>
        <w:rPr>
          <w:b/>
          <w:bCs/>
          <w:sz w:val="44"/>
          <w:szCs w:val="44"/>
        </w:rPr>
      </w:pPr>
    </w:p>
    <w:p>
      <w:pPr>
        <w:rPr>
          <w:rFonts w:hint="eastAsia"/>
          <w:sz w:val="28"/>
          <w:szCs w:val="28"/>
        </w:rPr>
      </w:pPr>
      <w:r>
        <w:rPr>
          <w:rFonts w:hint="eastAsia"/>
          <w:sz w:val="28"/>
          <w:szCs w:val="28"/>
        </w:rPr>
        <w:t>检验报告书编号：ZNY220400712</w:t>
      </w:r>
    </w:p>
    <w:tbl>
      <w:tblPr>
        <w:tblStyle w:val="9"/>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39"/>
        <w:gridCol w:w="1355"/>
        <w:gridCol w:w="1690"/>
        <w:gridCol w:w="3838"/>
        <w:gridCol w:w="396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124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项目</w:t>
            </w:r>
          </w:p>
        </w:tc>
        <w:tc>
          <w:tcPr>
            <w:tcW w:w="133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不合格项目所属指标</w:t>
            </w:r>
          </w:p>
        </w:tc>
        <w:tc>
          <w:tcPr>
            <w:tcW w:w="135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检验</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结果</w:t>
            </w:r>
          </w:p>
        </w:tc>
        <w:tc>
          <w:tcPr>
            <w:tcW w:w="169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标准值</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要求</w:t>
            </w:r>
          </w:p>
        </w:tc>
        <w:tc>
          <w:tcPr>
            <w:tcW w:w="3838"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不合格原因分析</w:t>
            </w:r>
          </w:p>
        </w:tc>
        <w:tc>
          <w:tcPr>
            <w:tcW w:w="396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可能引起的危害</w:t>
            </w:r>
          </w:p>
        </w:tc>
        <w:tc>
          <w:tcPr>
            <w:tcW w:w="85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124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甲基异柳磷</w:t>
            </w:r>
          </w:p>
        </w:tc>
        <w:tc>
          <w:tcPr>
            <w:tcW w:w="1339" w:type="dxa"/>
            <w:noWrap w:val="0"/>
            <w:vAlign w:val="center"/>
          </w:tcPr>
          <w:p>
            <w:pPr>
              <w:spacing w:line="36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农药残留</w:t>
            </w:r>
          </w:p>
        </w:tc>
        <w:tc>
          <w:tcPr>
            <w:tcW w:w="135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0.0</w:t>
            </w:r>
            <w:r>
              <w:rPr>
                <w:rFonts w:hint="eastAsia" w:ascii="宋体" w:hAnsi="宋体" w:cs="宋体"/>
                <w:sz w:val="21"/>
                <w:szCs w:val="21"/>
                <w:lang w:val="en-US" w:eastAsia="zh-CN"/>
              </w:rPr>
              <w:t>56m</w:t>
            </w:r>
            <w:r>
              <w:rPr>
                <w:rFonts w:hint="eastAsia" w:ascii="宋体" w:hAnsi="宋体" w:eastAsia="宋体" w:cs="宋体"/>
                <w:sz w:val="21"/>
                <w:szCs w:val="21"/>
              </w:rPr>
              <w:t>g/kg</w:t>
            </w:r>
          </w:p>
        </w:tc>
        <w:tc>
          <w:tcPr>
            <w:tcW w:w="1690" w:type="dxa"/>
            <w:noWrap w:val="0"/>
            <w:vAlign w:val="center"/>
          </w:tcPr>
          <w:p>
            <w:pPr>
              <w:spacing w:line="36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≤0.0</w:t>
            </w:r>
            <w:r>
              <w:rPr>
                <w:rFonts w:hint="eastAsia" w:ascii="宋体" w:hAnsi="宋体" w:cs="宋体"/>
                <w:sz w:val="21"/>
                <w:szCs w:val="21"/>
                <w:lang w:val="en-US" w:eastAsia="zh-CN"/>
              </w:rPr>
              <w:t>1m</w:t>
            </w:r>
            <w:r>
              <w:rPr>
                <w:rFonts w:hint="eastAsia" w:ascii="宋体" w:hAnsi="宋体" w:eastAsia="宋体" w:cs="宋体"/>
                <w:sz w:val="21"/>
                <w:szCs w:val="21"/>
              </w:rPr>
              <w:t>g/kg</w:t>
            </w:r>
          </w:p>
        </w:tc>
        <w:tc>
          <w:tcPr>
            <w:tcW w:w="3838"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可能是菜农对使用农药的安全间隔期不了解，从而违规使用或滥用农药。</w:t>
            </w:r>
          </w:p>
        </w:tc>
        <w:tc>
          <w:tcPr>
            <w:tcW w:w="396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少量的残留不会引起人体急性中毒，但长期食用甲基异柳磷超标的食品，对人体健康可能有一定影响</w:t>
            </w:r>
          </w:p>
        </w:tc>
        <w:tc>
          <w:tcPr>
            <w:tcW w:w="850" w:type="dxa"/>
            <w:noWrap w:val="0"/>
            <w:vAlign w:val="center"/>
          </w:tcPr>
          <w:p>
            <w:pPr>
              <w:spacing w:line="360" w:lineRule="exact"/>
              <w:jc w:val="center"/>
              <w:rPr>
                <w:rFonts w:hint="eastAsia" w:ascii="宋体" w:hAnsi="宋体" w:eastAsia="宋体" w:cs="宋体"/>
                <w:sz w:val="21"/>
                <w:szCs w:val="21"/>
              </w:rPr>
            </w:pPr>
          </w:p>
        </w:tc>
      </w:tr>
    </w:tbl>
    <w:p>
      <w:pPr>
        <w:rPr>
          <w:rFonts w:hint="eastAsia"/>
          <w:sz w:val="28"/>
          <w:szCs w:val="28"/>
        </w:rPr>
      </w:pPr>
    </w:p>
    <w:p>
      <w:pPr>
        <w:rPr>
          <w:rFonts w:hint="eastAsia"/>
          <w:sz w:val="28"/>
          <w:szCs w:val="28"/>
        </w:rPr>
      </w:pPr>
      <w:r>
        <w:rPr>
          <w:rFonts w:hint="eastAsia"/>
          <w:sz w:val="28"/>
          <w:szCs w:val="28"/>
        </w:rPr>
        <w:t>检验报告书编号：ZFO220401508</w:t>
      </w:r>
    </w:p>
    <w:tbl>
      <w:tblPr>
        <w:tblStyle w:val="9"/>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99"/>
        <w:gridCol w:w="1295"/>
        <w:gridCol w:w="1643"/>
        <w:gridCol w:w="3885"/>
        <w:gridCol w:w="396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124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项目</w:t>
            </w:r>
          </w:p>
        </w:tc>
        <w:tc>
          <w:tcPr>
            <w:tcW w:w="139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不合格项目所属指标</w:t>
            </w:r>
          </w:p>
        </w:tc>
        <w:tc>
          <w:tcPr>
            <w:tcW w:w="129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检验</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结果</w:t>
            </w:r>
          </w:p>
        </w:tc>
        <w:tc>
          <w:tcPr>
            <w:tcW w:w="1643"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标准值</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要求</w:t>
            </w:r>
          </w:p>
        </w:tc>
        <w:tc>
          <w:tcPr>
            <w:tcW w:w="388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不合格原因分析</w:t>
            </w:r>
          </w:p>
        </w:tc>
        <w:tc>
          <w:tcPr>
            <w:tcW w:w="396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可能引起的危害</w:t>
            </w:r>
          </w:p>
        </w:tc>
        <w:tc>
          <w:tcPr>
            <w:tcW w:w="85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124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孔雀石绿</w:t>
            </w:r>
          </w:p>
        </w:tc>
        <w:tc>
          <w:tcPr>
            <w:tcW w:w="1399" w:type="dxa"/>
            <w:noWrap w:val="0"/>
            <w:vAlign w:val="center"/>
          </w:tcPr>
          <w:p>
            <w:pPr>
              <w:spacing w:line="36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兽</w:t>
            </w:r>
            <w:r>
              <w:rPr>
                <w:rFonts w:hint="eastAsia" w:ascii="宋体" w:hAnsi="宋体" w:eastAsia="宋体" w:cs="宋体"/>
                <w:sz w:val="21"/>
                <w:szCs w:val="21"/>
                <w:lang w:val="en-US" w:eastAsia="zh-CN"/>
              </w:rPr>
              <w:t>药残留</w:t>
            </w:r>
          </w:p>
        </w:tc>
        <w:tc>
          <w:tcPr>
            <w:tcW w:w="1295" w:type="dxa"/>
            <w:noWrap w:val="0"/>
            <w:vAlign w:val="center"/>
          </w:tcPr>
          <w:p>
            <w:pPr>
              <w:spacing w:line="360" w:lineRule="exact"/>
              <w:jc w:val="center"/>
              <w:rPr>
                <w:rFonts w:hint="eastAsia" w:ascii="宋体" w:hAnsi="宋体" w:eastAsia="宋体" w:cs="宋体"/>
                <w:sz w:val="21"/>
                <w:szCs w:val="21"/>
              </w:rPr>
            </w:pPr>
            <w:r>
              <w:rPr>
                <w:rFonts w:hint="eastAsia" w:ascii="宋体" w:hAnsi="宋体" w:cs="宋体"/>
                <w:sz w:val="21"/>
                <w:szCs w:val="21"/>
                <w:lang w:val="en-US" w:eastAsia="zh-CN"/>
              </w:rPr>
              <w:t>3.34</w:t>
            </w:r>
            <w:r>
              <w:rPr>
                <w:rFonts w:hint="eastAsia" w:ascii="宋体" w:hAnsi="宋体" w:eastAsia="宋体" w:cs="宋体"/>
                <w:sz w:val="21"/>
                <w:szCs w:val="21"/>
              </w:rPr>
              <w:t>mg/kg</w:t>
            </w:r>
          </w:p>
        </w:tc>
        <w:tc>
          <w:tcPr>
            <w:tcW w:w="1643" w:type="dxa"/>
            <w:noWrap w:val="0"/>
            <w:vAlign w:val="center"/>
          </w:tcPr>
          <w:p>
            <w:pPr>
              <w:spacing w:line="36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不得检出</w:t>
            </w:r>
          </w:p>
        </w:tc>
        <w:tc>
          <w:tcPr>
            <w:tcW w:w="388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孔雀石绿超标的原因可能是养殖户在养殖过程中违规使用相关兽药</w:t>
            </w:r>
          </w:p>
        </w:tc>
        <w:tc>
          <w:tcPr>
            <w:tcW w:w="396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孔雀石绿具有潜在的致癌、致畸、致突变的作用。长期食用检出孔雀石绿的食品，会对人体健康有一定影响。</w:t>
            </w:r>
          </w:p>
        </w:tc>
        <w:tc>
          <w:tcPr>
            <w:tcW w:w="850" w:type="dxa"/>
            <w:noWrap w:val="0"/>
            <w:vAlign w:val="center"/>
          </w:tcPr>
          <w:p>
            <w:pPr>
              <w:spacing w:line="360" w:lineRule="exact"/>
              <w:jc w:val="center"/>
              <w:rPr>
                <w:rFonts w:hint="eastAsia" w:ascii="宋体" w:hAnsi="宋体" w:eastAsia="宋体" w:cs="宋体"/>
                <w:sz w:val="21"/>
                <w:szCs w:val="21"/>
              </w:rPr>
            </w:pPr>
          </w:p>
        </w:tc>
      </w:tr>
    </w:tbl>
    <w:p>
      <w:pPr>
        <w:rPr>
          <w:b/>
          <w:bCs/>
          <w:sz w:val="44"/>
          <w:szCs w:val="44"/>
        </w:rPr>
      </w:pP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4971"/>
    <w:multiLevelType w:val="multilevel"/>
    <w:tmpl w:val="5DD749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1E1E"/>
    <w:rsid w:val="0004452C"/>
    <w:rsid w:val="00054D9F"/>
    <w:rsid w:val="00113C00"/>
    <w:rsid w:val="0015253B"/>
    <w:rsid w:val="00165D89"/>
    <w:rsid w:val="00172A27"/>
    <w:rsid w:val="001F1D15"/>
    <w:rsid w:val="00213700"/>
    <w:rsid w:val="00277263"/>
    <w:rsid w:val="003419A7"/>
    <w:rsid w:val="003C3CDC"/>
    <w:rsid w:val="003F3B16"/>
    <w:rsid w:val="0048297A"/>
    <w:rsid w:val="00555461"/>
    <w:rsid w:val="00611F28"/>
    <w:rsid w:val="00670273"/>
    <w:rsid w:val="006E19FA"/>
    <w:rsid w:val="0076443D"/>
    <w:rsid w:val="007A274E"/>
    <w:rsid w:val="007A2ECB"/>
    <w:rsid w:val="0080192F"/>
    <w:rsid w:val="00867AF8"/>
    <w:rsid w:val="008A508F"/>
    <w:rsid w:val="008C7E64"/>
    <w:rsid w:val="009074DA"/>
    <w:rsid w:val="009366F5"/>
    <w:rsid w:val="009A3E14"/>
    <w:rsid w:val="00A0105D"/>
    <w:rsid w:val="00A4460A"/>
    <w:rsid w:val="00A63B4A"/>
    <w:rsid w:val="00AD3134"/>
    <w:rsid w:val="00B1689F"/>
    <w:rsid w:val="00B50016"/>
    <w:rsid w:val="00CA74C0"/>
    <w:rsid w:val="00D32EE8"/>
    <w:rsid w:val="00D661E2"/>
    <w:rsid w:val="00D956C6"/>
    <w:rsid w:val="00DC3F25"/>
    <w:rsid w:val="00E15386"/>
    <w:rsid w:val="00E60345"/>
    <w:rsid w:val="00E7600A"/>
    <w:rsid w:val="09B74ED8"/>
    <w:rsid w:val="0AA60A13"/>
    <w:rsid w:val="0AE727C5"/>
    <w:rsid w:val="19EA74AD"/>
    <w:rsid w:val="1B023DCB"/>
    <w:rsid w:val="1E0669AA"/>
    <w:rsid w:val="2342076D"/>
    <w:rsid w:val="249C2CC0"/>
    <w:rsid w:val="26B8181C"/>
    <w:rsid w:val="27ED1D77"/>
    <w:rsid w:val="299939D8"/>
    <w:rsid w:val="2F837AFF"/>
    <w:rsid w:val="2F8F4D52"/>
    <w:rsid w:val="39036BAD"/>
    <w:rsid w:val="3C180293"/>
    <w:rsid w:val="4570638C"/>
    <w:rsid w:val="46C83575"/>
    <w:rsid w:val="4B483914"/>
    <w:rsid w:val="4B807E47"/>
    <w:rsid w:val="4CE16790"/>
    <w:rsid w:val="4D6741F0"/>
    <w:rsid w:val="4DCB5F62"/>
    <w:rsid w:val="4ED33E01"/>
    <w:rsid w:val="52B777E5"/>
    <w:rsid w:val="5F4C206F"/>
    <w:rsid w:val="63BA7ECA"/>
    <w:rsid w:val="67CB235A"/>
    <w:rsid w:val="6900625C"/>
    <w:rsid w:val="79A1746A"/>
    <w:rsid w:val="7A8A1038"/>
    <w:rsid w:val="7B660DD5"/>
    <w:rsid w:val="7DBC330C"/>
    <w:rsid w:val="7F66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qFormat/>
    <w:uiPriority w:val="0"/>
    <w:pPr>
      <w:spacing w:before="260" w:line="415" w:lineRule="auto"/>
      <w:ind w:firstLine="420" w:firstLineChars="100"/>
    </w:pPr>
    <w:rPr>
      <w:rFonts w:ascii="Times New Roman" w:hAnsi="Times New Roman"/>
      <w:szCs w:val="24"/>
    </w:rPr>
  </w:style>
  <w:style w:type="paragraph" w:styleId="3">
    <w:name w:val="Body Text"/>
    <w:basedOn w:val="1"/>
    <w:qFormat/>
    <w:uiPriority w:val="0"/>
    <w:pPr>
      <w:spacing w:after="120"/>
    </w:pPr>
  </w:style>
  <w:style w:type="paragraph" w:styleId="4">
    <w:name w:val="Body Text First Indent 2"/>
    <w:basedOn w:val="1"/>
    <w:next w:val="1"/>
    <w:qFormat/>
    <w:uiPriority w:val="0"/>
    <w:pPr>
      <w:ind w:left="0" w:leftChars="0"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font41"/>
    <w:basedOn w:val="10"/>
    <w:qFormat/>
    <w:uiPriority w:val="0"/>
    <w:rPr>
      <w:rFonts w:hint="eastAsia" w:ascii="宋体" w:hAnsi="宋体" w:eastAsia="宋体" w:cs="宋体"/>
      <w:color w:val="000000"/>
      <w:sz w:val="20"/>
      <w:szCs w:val="20"/>
      <w:u w:val="none"/>
    </w:rPr>
  </w:style>
  <w:style w:type="character" w:customStyle="1" w:styleId="12">
    <w:name w:val="font31"/>
    <w:basedOn w:val="10"/>
    <w:qFormat/>
    <w:uiPriority w:val="0"/>
    <w:rPr>
      <w:rFonts w:hint="default" w:ascii="Times New Roman" w:hAnsi="Times New Roman" w:cs="Times New Roman"/>
      <w:color w:val="000000"/>
      <w:sz w:val="20"/>
      <w:szCs w:val="20"/>
      <w:u w:val="none"/>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78</Words>
  <Characters>448</Characters>
  <Lines>3</Lines>
  <Paragraphs>1</Paragraphs>
  <TotalTime>0</TotalTime>
  <ScaleCrop>false</ScaleCrop>
  <LinksUpToDate>false</LinksUpToDate>
  <CharactersWithSpaces>525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2020-08-17T02:47:00Z</dcterms:created>
  <dc:creator>微软用户</dc:creator>
  <cp:lastModifiedBy>陈始明</cp:lastModifiedBy>
  <cp:lastPrinted>2017-06-02T00:38:00Z</cp:lastPrinted>
  <dcterms:modified xsi:type="dcterms:W3CDTF">2022-05-31T02:20:44Z</dcterms:modified>
  <dc:title>不合格报告说明</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