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2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275"/>
                <w:w w:val="63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63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Gyte7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atLeast"/>
        <w:jc w:val="right"/>
        <w:rPr>
          <w:rFonts w:ascii="仿宋_GB2312" w:hAnsi="Calibri" w:cs="宋体"/>
          <w:kern w:val="0"/>
          <w:szCs w:val="32"/>
        </w:rPr>
      </w:pPr>
      <w:r>
        <w:rPr>
          <w:rFonts w:hint="eastAsia" w:ascii="仿宋_GB2312" w:hAnsi="Calibri" w:cs="宋体"/>
          <w:kern w:val="0"/>
          <w:szCs w:val="32"/>
        </w:rPr>
        <w:t>云环审〔2022〕14号</w:t>
      </w:r>
    </w:p>
    <w:p>
      <w:pPr>
        <w:widowControl/>
        <w:adjustRightInd w:val="0"/>
        <w:snapToGrid w:val="0"/>
        <w:spacing w:line="600" w:lineRule="exact"/>
        <w:jc w:val="right"/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  <w:t>关于云浮罗定市100兆瓦光伏复合项目接入</w:t>
      </w: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  <w:t>系统工程</w:t>
      </w: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环境影响报告表的批复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Calibri" w:cs="宋体"/>
          <w:kern w:val="0"/>
          <w:szCs w:val="32"/>
        </w:rPr>
      </w:pP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/>
        </w:rPr>
        <w:t>广东电网有限责任公司云浮供电局（统一社会信用代码：91445302736165326Y）：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你单位报批的《云浮罗定市100兆瓦光伏复合项目接入系统工程环境影响报告表》（以下简称“报告表”）等材料收悉。经研究，批复如下：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云浮罗定市100兆瓦光伏复合项目接入系统工程线路途经云浮市罗定市苹塘镇，光伏升压站中心地理坐标为北纬22°45'33.435"，东经111°45'7.091"，110kV苹塘站中心地理坐标为北纬22°45'30.299"，东经111°44'56.390"。项目总投资约280万元，其中环保投资约15万，占总投资的5.36%。本项目由110 kV出线间隔扩建和110 kV线路部分组成，工程规模为：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（一）110 kV出线间隔扩建部分。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在对侧110 kV 苹塘变电站上扩建1 回110 kV 出线间隔。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（二）110 kV线路部分。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从光伏升压站新建一回110 kV 线路接入110 kV苹塘站，新建单回架空线路长约0.35 km。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根据报告表的评价结论，在全面落实报告表提出的各项污染防治和环境风险防范措施，并确保各类污染物稳定达标排放的前提下，项目按照报告表中所列性质、规模、地点、采用的工艺流程和防治污染、防止生态破坏的措施进行建设，从生态环境保护角度可行。项目建设和运营中还应重点做好以下工作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一）严格落实大气污染防治措施。施工期机械设备和运输车辆尾气通过合理选择运输路线、缩短怠速、减速和加速的时间减少尾气产生，执行《非道路移动机械用柴油机排气污染物排放限值及测量方法(中国第三、四阶段)》(GB 20891-2014) 中表2非道路移动机械用柴油机排气污染物排放限值。施工扬尘采取遮盖、洒水、减慢车速等措施抑尘，执行广东省地方标准《大气污染物排放限值》(DB 44/27-2001)第二时段二级标准。项目运营期无生产废气产生，无需进行废气污染物排放总量指标替代。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严格落实水污染防治措施。项目不设置施工营地，施工人员产生的生活污水依托居住地污水处理设施合理处置，施工期产生的施工废水，经沉淀后回用。运营期输电线路无废水产生，不会对沿线环境产生影响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完善项目初期雨水收集、排放系统，以及防渗区域划分，采取严格防渗措施，防止污染土壤、地下水环境。在上述防治措施完成后，本项目方可投入生产。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（三）严格落实噪声污染防治措施。选用低噪音设备，采取有效的隔声、降噪等措施，确保输电线路噪声符合《声环境质量标准》(GB 3096-2008 )相应声环境功能区限值。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（四）严格落实固体废物分类处理处置要求。危险废物经收集后委托具有相应危险废物类别资质单位处置，其他一般工业固体废物依法依规处置。生活垃圾经收集后交环卫部门清运处理。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（五）完善并严格落实环境风险防范措施和应急预案，建立健全环境风险事故防范应急体系。加强污染防治设施的管理和维护，设置足够容积的废水事故应急池，切实防范环境污染事故发生。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（六）加强施工期环境管理，防止工程施工造成环境污染或生态破坏。合理安排施工时间，施工噪声执行《建筑施工场界环境噪声排放标准》（GB 12523-2011）。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（七）在项目施工和运营过程中，建立畅通的公众参与平台，及时解决公众合理的环境诉求。定期发布企业环境信息，主动接受社会监督。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三、项目环保投资应纳入工程投资概算并予以落实。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四、报告表经批准后，建设项目的性质、规模、地点、采用的生产工艺或者防治污染、防止生态破坏的措施发生重大变动的，建设单位应当重新报批建设项目的环境影响评价文件。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五、项目建设应严格执行配套建设的环境保护设施与主体工程同时设计、同时施工、同时投产使用的环境保护“三同时”制度，并按规定接受生态环境主管部门日常监督检查。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六、你单位应在收到本批复后 20 个工作日内，将批准后的报告表送云浮市生态环境局罗定分局。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  <w:bookmarkStart w:id="1" w:name="_GoBack"/>
      <w:bookmarkEnd w:id="1"/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云浮市生态环境局</w:t>
      </w:r>
    </w:p>
    <w:p>
      <w:pPr>
        <w:spacing w:line="600" w:lineRule="exact"/>
        <w:ind w:firstLine="5600" w:firstLineChars="17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2022年5月16日</w:t>
      </w: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ind w:left="839" w:hanging="839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kern w:val="0"/>
                <w:sz w:val="28"/>
                <w:szCs w:val="28"/>
              </w:rPr>
              <w:t>抄送：市发展改革局、市工业和信息化局、市自然资源局、市住房城乡建设局，云浮市生态环境局罗定分局，广东智环创新环境科技有限公司。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ascii="仿宋_GB2312" w:hAnsi="Calibri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kern w:val="0"/>
                <w:sz w:val="28"/>
                <w:szCs w:val="28"/>
              </w:rPr>
              <w:t>云浮市生态环境局办公室                   2022 年 5 月 16 日印发</w:t>
            </w:r>
          </w:p>
        </w:tc>
      </w:tr>
    </w:tbl>
    <w:p>
      <w:pPr>
        <w:adjustRightInd w:val="0"/>
        <w:snapToGrid w:val="0"/>
        <w:spacing w:line="20" w:lineRule="exact"/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985" w:right="1531" w:bottom="1985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  <w:rFonts w:ascii="Calibri" w:hAnsi="Calibri" w:eastAsia="宋体"/>
      </w:rPr>
      <w:fldChar w:fldCharType="begin"/>
    </w:r>
    <w:r>
      <w:rPr>
        <w:rStyle w:val="6"/>
        <w:rFonts w:ascii="Calibri" w:hAnsi="Calibri" w:eastAsia="宋体"/>
      </w:rPr>
      <w:instrText xml:space="preserve">PAGE  </w:instrText>
    </w:r>
    <w:r>
      <w:rPr>
        <w:rStyle w:val="6"/>
        <w:rFonts w:ascii="Calibri" w:hAnsi="Calibri" w:eastAsia="宋体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J88EwE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2E5OGMxNmMwNGRiOTliYWIyYzcwN2U2ZjE5MmUifQ=="/>
  </w:docVars>
  <w:rsids>
    <w:rsidRoot w:val="00000000"/>
    <w:rsid w:val="6DB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w w:val="90"/>
      <w:kern w:val="2"/>
      <w:position w:val="4"/>
      <w:sz w:val="96"/>
      <w:szCs w:val="6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2022-05-20T10:31:43Z</dcterms:created>
  <dc:creator>admin</dc:creator>
  <cp:lastModifiedBy>Adm1n</cp:lastModifiedBy>
  <dcterms:modified xsi:type="dcterms:W3CDTF">2022-05-20T10:31:50Z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9515BFF604F747F1AD43AC7466E0EEBD</vt:lpwstr>
  </property>
</Properties>
</file>