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健康申报及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返粤人员健康管理措施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一、健康申报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1.微信关注“云浮防疫”小程序，点击“来（返）云浮登记”，按照申报页面填报要求如实进行健康申报；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2.“云浮防疫”小程序二维码见下图。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708400" cy="2945130"/>
            <wp:effectExtent l="0" t="0" r="6350" b="7620"/>
            <wp:docPr id="1" name="图片 1" descr="云浮防疫小程序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云浮防疫小程序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二、来返粤人员健康管理措施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  <w:t>1.微信关注“健康广东”公众号；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  <w:t>2.在公众号内搜索“重点地区来返粤人员健康管理措施”；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  <w:t>3.选择排序方式为“按发布时间排序”查看最新动态；</w:t>
      </w:r>
    </w:p>
    <w:p>
      <w:pPr>
        <w:numPr>
          <w:ilvl w:val="0"/>
          <w:numId w:val="0"/>
        </w:numP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/>
        </w:rPr>
        <w:t>4.对号入座</w:t>
      </w:r>
      <w:r>
        <w:rPr>
          <w:rFonts w:hint="eastAsia" w:ascii="仿宋_GB2312" w:hAnsi="Times New Roman" w:eastAsia="仿宋_GB2312" w:cs="仿宋_GB2312"/>
          <w:color w:val="auto"/>
          <w:sz w:val="32"/>
          <w:szCs w:val="32"/>
        </w:rPr>
        <w:t>按照重点地区</w:t>
      </w: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eastAsia="zh-CN"/>
        </w:rPr>
        <w:t>来</w:t>
      </w:r>
      <w:r>
        <w:rPr>
          <w:rFonts w:hint="eastAsia" w:ascii="仿宋_GB2312" w:hAnsi="Times New Roman" w:eastAsia="仿宋_GB2312" w:cs="仿宋_GB2312"/>
          <w:color w:val="auto"/>
          <w:sz w:val="32"/>
          <w:szCs w:val="32"/>
        </w:rPr>
        <w:t>返粤人员健康管理措施落实分级分类健康管理</w:t>
      </w: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70EA4"/>
    <w:rsid w:val="1EB45FED"/>
    <w:rsid w:val="220554C4"/>
    <w:rsid w:val="23901DDE"/>
    <w:rsid w:val="249A7601"/>
    <w:rsid w:val="397F42C7"/>
    <w:rsid w:val="40C1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2022-03-11T10:18:00Z</dcterms:created>
  <dc:creator>Administrator</dc:creator>
  <cp:lastModifiedBy>陈康宁</cp:lastModifiedBy>
  <dcterms:modified xsi:type="dcterms:W3CDTF">2022-04-27T08:33:28Z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