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720" w:lineRule="exact"/>
        <w:jc w:val="center"/>
        <w:rPr>
          <w:rFonts w:hint="eastAsia" w:ascii="方正小标宋简体" w:eastAsia="方正小标宋简体"/>
          <w:snapToGrid w:val="0"/>
          <w:kern w:val="0"/>
          <w:sz w:val="44"/>
          <w:szCs w:val="44"/>
          <w:highlight w:val="none"/>
          <w:lang w:eastAsia="zh-CN"/>
        </w:rPr>
      </w:pPr>
      <w:r>
        <w:rPr>
          <w:rFonts w:hint="eastAsia" w:ascii="方正小标宋简体" w:eastAsia="方正小标宋简体"/>
          <w:snapToGrid w:val="0"/>
          <w:kern w:val="0"/>
          <w:sz w:val="44"/>
          <w:szCs w:val="44"/>
          <w:highlight w:val="none"/>
          <w:lang w:eastAsia="zh-CN"/>
        </w:rPr>
        <w:t>20</w:t>
      </w:r>
      <w:r>
        <w:rPr>
          <w:rFonts w:hint="eastAsia" w:ascii="方正小标宋简体" w:eastAsia="方正小标宋简体"/>
          <w:snapToGrid w:val="0"/>
          <w:kern w:val="0"/>
          <w:sz w:val="44"/>
          <w:szCs w:val="44"/>
          <w:highlight w:val="none"/>
          <w:lang w:val="en-US" w:eastAsia="zh-CN"/>
        </w:rPr>
        <w:t>21</w:t>
      </w:r>
      <w:r>
        <w:rPr>
          <w:rFonts w:hint="eastAsia" w:ascii="方正小标宋简体" w:eastAsia="方正小标宋简体"/>
          <w:snapToGrid w:val="0"/>
          <w:kern w:val="0"/>
          <w:sz w:val="44"/>
          <w:szCs w:val="44"/>
          <w:highlight w:val="none"/>
          <w:lang w:eastAsia="zh-CN"/>
        </w:rPr>
        <w:t>年广东省国民经济和社会发展统计公报</w:t>
      </w:r>
    </w:p>
    <w:p>
      <w:pPr>
        <w:adjustRightInd w:val="0"/>
        <w:spacing w:line="240" w:lineRule="exact"/>
        <w:ind w:firstLine="646"/>
        <w:jc w:val="center"/>
        <w:rPr>
          <w:rFonts w:hint="eastAsia" w:ascii="仿宋_GB2312"/>
          <w:bCs/>
          <w:snapToGrid w:val="0"/>
          <w:kern w:val="0"/>
          <w:sz w:val="32"/>
          <w:szCs w:val="32"/>
          <w:highlight w:val="none"/>
        </w:rPr>
      </w:pPr>
    </w:p>
    <w:p>
      <w:pPr>
        <w:adjustRightInd w:val="0"/>
        <w:jc w:val="center"/>
        <w:rPr>
          <w:rFonts w:hint="eastAsia" w:ascii="楷体_GB2312" w:hAnsi="楷体_GB2312" w:eastAsia="楷体_GB2312" w:cs="楷体_GB2312"/>
          <w:bCs/>
          <w:snapToGrid w:val="0"/>
          <w:kern w:val="0"/>
          <w:sz w:val="32"/>
          <w:szCs w:val="32"/>
          <w:highlight w:val="none"/>
        </w:rPr>
      </w:pPr>
      <w:r>
        <w:rPr>
          <w:rFonts w:hint="eastAsia" w:ascii="楷体_GB2312" w:hAnsi="楷体_GB2312" w:eastAsia="楷体_GB2312" w:cs="楷体_GB2312"/>
          <w:bCs/>
          <w:snapToGrid w:val="0"/>
          <w:kern w:val="0"/>
          <w:sz w:val="32"/>
          <w:szCs w:val="32"/>
          <w:highlight w:val="none"/>
        </w:rPr>
        <w:t>广东省统计局   国家统计局广东调查总队</w:t>
      </w:r>
    </w:p>
    <w:p>
      <w:pPr>
        <w:adjustRightInd w:val="0"/>
        <w:jc w:val="center"/>
        <w:rPr>
          <w:rFonts w:hint="eastAsia" w:ascii="楷体_GB2312" w:hAnsi="楷体_GB2312" w:eastAsia="楷体_GB2312" w:cs="楷体_GB2312"/>
          <w:snapToGrid w:val="0"/>
          <w:kern w:val="0"/>
          <w:sz w:val="32"/>
          <w:szCs w:val="32"/>
          <w:highlight w:val="none"/>
          <w:lang w:val="en-US" w:eastAsia="zh-CN"/>
        </w:rPr>
      </w:pPr>
      <w:r>
        <w:rPr>
          <w:rFonts w:hint="eastAsia" w:ascii="楷体_GB2312" w:hAnsi="楷体_GB2312" w:eastAsia="楷体_GB2312" w:cs="楷体_GB2312"/>
          <w:snapToGrid w:val="0"/>
          <w:kern w:val="0"/>
          <w:sz w:val="32"/>
          <w:szCs w:val="32"/>
          <w:highlight w:val="none"/>
          <w:lang w:val="en-US" w:eastAsia="zh-CN"/>
        </w:rPr>
        <w:t>2022年2月28日</w:t>
      </w:r>
    </w:p>
    <w:p>
      <w:pPr>
        <w:adjustRightInd w:val="0"/>
        <w:ind w:firstLine="670" w:firstLineChars="200"/>
        <w:rPr>
          <w:rFonts w:hint="eastAsia" w:ascii="仿宋_GB2312"/>
          <w:snapToGrid w:val="0"/>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rPr>
      </w:pPr>
      <w:r>
        <w:rPr>
          <w:rFonts w:hint="eastAsia" w:ascii="仿宋_GB2312"/>
          <w:snapToGrid w:val="0"/>
          <w:kern w:val="0"/>
          <w:sz w:val="32"/>
          <w:szCs w:val="32"/>
          <w:highlight w:val="none"/>
          <w:lang w:val="en-US" w:eastAsia="zh-CN"/>
        </w:rPr>
        <w:t>2021年，是党和国家历史上具有里程碑意义的一年，也是广东改革发展历史上具有重要意义的一年。广东坚持以习近平新时代中国特色社会主义思想为指导，认真贯彻习近平总书记对广东重要讲话重要指示批示精神和党中央决策部署，完整、准确、全面贯彻新发展理念，深入落实省委、省政府“1+1+9”工作部署，扎实打造新发展格局战略支点，坚定不移推动高质量发展，以新担当新作为推动经济社会发展迈上新台阶，顺利完成年度主要目标任务，实现“十四五”良好开局。</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snapToGrid w:val="0"/>
          <w:kern w:val="0"/>
          <w:sz w:val="32"/>
          <w:szCs w:val="32"/>
          <w:highlight w:val="none"/>
        </w:rPr>
      </w:pPr>
      <w:r>
        <w:rPr>
          <w:rFonts w:hint="eastAsia" w:ascii="黑体" w:hAnsi="黑体" w:eastAsia="黑体" w:cs="黑体"/>
          <w:snapToGrid w:val="0"/>
          <w:kern w:val="0"/>
          <w:sz w:val="32"/>
          <w:szCs w:val="32"/>
          <w:highlight w:val="none"/>
        </w:rPr>
        <w:t>一、综合</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left"/>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2021年末，全省常住人口12684.00万人，比上年末增加60万人，其中城镇常住人口9466.07万人，占常住人口比重（常住人口城镇化率）74.63%，比上年末提高0.48个百分点。全年出生人口118.31万人，出生率9.35‰；死亡人口61.12万人，死亡率4.83‰；自然增长人口57.19万人，自然增长率4.52‰。</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bookmarkStart w:id="2" w:name="_GoBack"/>
      <w:bookmarkEnd w:id="2"/>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仿宋_GB2312"/>
          <w:snapToGrid w:val="0"/>
          <w:kern w:val="0"/>
          <w:sz w:val="32"/>
          <w:szCs w:val="32"/>
          <w:highlight w:val="none"/>
          <w:u w:val="none"/>
          <w:lang w:val="en-US" w:eastAsia="zh-CN"/>
        </w:rPr>
      </w:pPr>
      <w:r>
        <w:rPr>
          <w:rFonts w:hint="eastAsia" w:ascii="黑体" w:hAnsi="黑体" w:eastAsia="黑体" w:cs="黑体"/>
          <w:bCs/>
          <w:snapToGrid w:val="0"/>
          <w:kern w:val="0"/>
          <w:sz w:val="32"/>
          <w:szCs w:val="32"/>
          <w:highlight w:val="none"/>
          <w:u w:val="none"/>
          <w:lang w:val="en-US" w:eastAsia="zh-CN"/>
        </w:rPr>
        <w:t>表1  2021年年末常住人口及构成</w:t>
      </w:r>
    </w:p>
    <w:tbl>
      <w:tblPr>
        <w:tblStyle w:val="10"/>
        <w:tblW w:w="8634" w:type="dxa"/>
        <w:jc w:val="center"/>
        <w:tblInd w:w="0" w:type="dxa"/>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
      <w:tblGrid>
        <w:gridCol w:w="3975"/>
        <w:gridCol w:w="2454"/>
        <w:gridCol w:w="2205"/>
      </w:tblGrid>
      <w:tr>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Ex>
        <w:trPr>
          <w:trHeight w:val="295" w:hRule="atLeast"/>
          <w:jc w:val="center"/>
        </w:trPr>
        <w:tc>
          <w:tcPr>
            <w:tcW w:w="3975" w:type="dxa"/>
            <w:tcBorders>
              <w:top w:val="single" w:color="000000" w:sz="4" w:space="0"/>
              <w:left w:val="nil"/>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21"/>
                <w:szCs w:val="21"/>
                <w:highlight w:val="none"/>
                <w:u w:val="none"/>
                <w:lang w:val="en-US" w:eastAsia="zh-CN"/>
              </w:rPr>
            </w:pPr>
            <w:r>
              <w:rPr>
                <w:rFonts w:hint="eastAsia" w:ascii="黑体" w:hAnsi="黑体" w:eastAsia="黑体" w:cs="黑体"/>
                <w:bCs/>
                <w:sz w:val="21"/>
                <w:szCs w:val="21"/>
                <w:highlight w:val="none"/>
                <w:u w:val="none"/>
                <w:lang w:val="en-US" w:eastAsia="zh-CN"/>
              </w:rPr>
              <w:t>指标</w:t>
            </w:r>
          </w:p>
        </w:tc>
        <w:tc>
          <w:tcPr>
            <w:tcW w:w="24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21"/>
                <w:szCs w:val="21"/>
                <w:highlight w:val="none"/>
                <w:u w:val="none"/>
                <w:lang w:val="en-US" w:eastAsia="zh-CN"/>
              </w:rPr>
            </w:pPr>
            <w:r>
              <w:rPr>
                <w:rFonts w:hint="eastAsia" w:ascii="黑体" w:hAnsi="黑体" w:eastAsia="黑体" w:cs="黑体"/>
                <w:bCs/>
                <w:sz w:val="21"/>
                <w:szCs w:val="21"/>
                <w:highlight w:val="none"/>
                <w:u w:val="none"/>
                <w:lang w:val="en-US" w:eastAsia="zh-CN"/>
              </w:rPr>
              <w:t>年末常住人口（万人）</w:t>
            </w:r>
          </w:p>
        </w:tc>
        <w:tc>
          <w:tcPr>
            <w:tcW w:w="2205" w:type="dxa"/>
            <w:tcBorders>
              <w:top w:val="single" w:color="000000" w:sz="4" w:space="0"/>
              <w:left w:val="single" w:color="000000" w:sz="4" w:space="0"/>
              <w:bottom w:val="single" w:color="000000" w:sz="4" w:space="0"/>
              <w:right w:val="nil"/>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21"/>
                <w:szCs w:val="21"/>
                <w:highlight w:val="none"/>
                <w:u w:val="none"/>
                <w:lang w:val="en-US" w:eastAsia="zh-CN"/>
              </w:rPr>
            </w:pPr>
            <w:r>
              <w:rPr>
                <w:rFonts w:hint="eastAsia" w:ascii="黑体" w:hAnsi="黑体" w:eastAsia="黑体" w:cs="黑体"/>
                <w:bCs/>
                <w:sz w:val="21"/>
                <w:szCs w:val="21"/>
                <w:highlight w:val="none"/>
                <w:u w:val="none"/>
                <w:lang w:val="en-US" w:eastAsia="zh-CN"/>
              </w:rPr>
              <w:t>比重（%）</w:t>
            </w:r>
          </w:p>
        </w:tc>
      </w:tr>
      <w:tr>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Ex>
        <w:trPr>
          <w:trHeight w:val="255" w:hRule="atLeast"/>
          <w:jc w:val="center"/>
        </w:trPr>
        <w:tc>
          <w:tcPr>
            <w:tcW w:w="3975" w:type="dxa"/>
            <w:tcBorders>
              <w:top w:val="single" w:color="000000" w:sz="4" w:space="0"/>
              <w:left w:val="nil"/>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常住人口</w:t>
            </w:r>
          </w:p>
        </w:tc>
        <w:tc>
          <w:tcPr>
            <w:tcW w:w="2454" w:type="dxa"/>
            <w:tcBorders>
              <w:top w:val="single" w:color="000000" w:sz="4" w:space="0"/>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12684.00</w:t>
            </w:r>
          </w:p>
        </w:tc>
        <w:tc>
          <w:tcPr>
            <w:tcW w:w="2205" w:type="dxa"/>
            <w:tcBorders>
              <w:top w:val="single" w:color="000000" w:sz="4" w:space="0"/>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100.00</w:t>
            </w:r>
          </w:p>
        </w:tc>
      </w:tr>
      <w:tr>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Ex>
        <w:trPr>
          <w:trHeight w:val="255" w:hRule="atLeast"/>
          <w:jc w:val="center"/>
        </w:trPr>
        <w:tc>
          <w:tcPr>
            <w:tcW w:w="3975" w:type="dxa"/>
            <w:tcBorders>
              <w:top w:val="nil"/>
              <w:left w:val="nil"/>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  其中：城镇</w:t>
            </w:r>
          </w:p>
        </w:tc>
        <w:tc>
          <w:tcPr>
            <w:tcW w:w="2454"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9466.07</w:t>
            </w:r>
          </w:p>
        </w:tc>
        <w:tc>
          <w:tcPr>
            <w:tcW w:w="2205"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74.63</w:t>
            </w:r>
          </w:p>
        </w:tc>
      </w:tr>
      <w:tr>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Ex>
        <w:trPr>
          <w:trHeight w:val="255" w:hRule="atLeast"/>
          <w:jc w:val="center"/>
        </w:trPr>
        <w:tc>
          <w:tcPr>
            <w:tcW w:w="3975" w:type="dxa"/>
            <w:tcBorders>
              <w:top w:val="nil"/>
              <w:left w:val="nil"/>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        乡村</w:t>
            </w:r>
          </w:p>
        </w:tc>
        <w:tc>
          <w:tcPr>
            <w:tcW w:w="2454"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3217.93</w:t>
            </w:r>
          </w:p>
        </w:tc>
        <w:tc>
          <w:tcPr>
            <w:tcW w:w="2205"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25.37</w:t>
            </w:r>
          </w:p>
        </w:tc>
      </w:tr>
      <w:tr>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Ex>
        <w:trPr>
          <w:trHeight w:val="90" w:hRule="atLeast"/>
          <w:jc w:val="center"/>
        </w:trPr>
        <w:tc>
          <w:tcPr>
            <w:tcW w:w="3975" w:type="dxa"/>
            <w:tcBorders>
              <w:top w:val="nil"/>
              <w:left w:val="nil"/>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  其中：男性</w:t>
            </w:r>
          </w:p>
        </w:tc>
        <w:tc>
          <w:tcPr>
            <w:tcW w:w="2454"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6693.00</w:t>
            </w:r>
          </w:p>
        </w:tc>
        <w:tc>
          <w:tcPr>
            <w:tcW w:w="2205"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52.77</w:t>
            </w:r>
          </w:p>
        </w:tc>
      </w:tr>
      <w:tr>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Ex>
        <w:trPr>
          <w:trHeight w:val="255" w:hRule="atLeast"/>
          <w:jc w:val="center"/>
        </w:trPr>
        <w:tc>
          <w:tcPr>
            <w:tcW w:w="3975" w:type="dxa"/>
            <w:tcBorders>
              <w:top w:val="nil"/>
              <w:left w:val="nil"/>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        女性</w:t>
            </w:r>
          </w:p>
        </w:tc>
        <w:tc>
          <w:tcPr>
            <w:tcW w:w="2454"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5991.00</w:t>
            </w:r>
          </w:p>
        </w:tc>
        <w:tc>
          <w:tcPr>
            <w:tcW w:w="2205"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47.23</w:t>
            </w:r>
          </w:p>
        </w:tc>
      </w:tr>
      <w:tr>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Ex>
        <w:trPr>
          <w:trHeight w:val="255" w:hRule="atLeast"/>
          <w:jc w:val="center"/>
        </w:trPr>
        <w:tc>
          <w:tcPr>
            <w:tcW w:w="3975" w:type="dxa"/>
            <w:tcBorders>
              <w:top w:val="nil"/>
              <w:left w:val="nil"/>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  其中：0-15岁</w:t>
            </w:r>
          </w:p>
        </w:tc>
        <w:tc>
          <w:tcPr>
            <w:tcW w:w="2454"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2506.00</w:t>
            </w:r>
          </w:p>
        </w:tc>
        <w:tc>
          <w:tcPr>
            <w:tcW w:w="2205"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19.76</w:t>
            </w:r>
          </w:p>
        </w:tc>
      </w:tr>
      <w:tr>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Ex>
        <w:trPr>
          <w:trHeight w:val="255" w:hRule="atLeast"/>
          <w:jc w:val="center"/>
        </w:trPr>
        <w:tc>
          <w:tcPr>
            <w:tcW w:w="3975" w:type="dxa"/>
            <w:tcBorders>
              <w:top w:val="nil"/>
              <w:left w:val="nil"/>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        16-59岁</w:t>
            </w:r>
          </w:p>
        </w:tc>
        <w:tc>
          <w:tcPr>
            <w:tcW w:w="2454"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8563.00</w:t>
            </w:r>
          </w:p>
        </w:tc>
        <w:tc>
          <w:tcPr>
            <w:tcW w:w="2205"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67.51</w:t>
            </w:r>
          </w:p>
        </w:tc>
      </w:tr>
      <w:tr>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Ex>
        <w:trPr>
          <w:trHeight w:val="255" w:hRule="atLeast"/>
          <w:jc w:val="center"/>
        </w:trPr>
        <w:tc>
          <w:tcPr>
            <w:tcW w:w="3975" w:type="dxa"/>
            <w:tcBorders>
              <w:top w:val="nil"/>
              <w:left w:val="nil"/>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        60岁及以上</w:t>
            </w:r>
          </w:p>
        </w:tc>
        <w:tc>
          <w:tcPr>
            <w:tcW w:w="2454" w:type="dxa"/>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1615.00</w:t>
            </w:r>
          </w:p>
        </w:tc>
        <w:tc>
          <w:tcPr>
            <w:tcW w:w="2205" w:type="dxa"/>
            <w:tcBorders>
              <w:top w:val="nil"/>
              <w:left w:val="single" w:color="000000" w:sz="4" w:space="0"/>
              <w:bottom w:val="single" w:color="000000" w:sz="4" w:space="0"/>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12.73</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left"/>
        <w:textAlignment w:val="auto"/>
        <w:outlineLvl w:val="9"/>
        <w:rPr>
          <w:rFonts w:hint="eastAsia" w:ascii="黑体" w:hAnsi="黑体" w:eastAsia="黑体" w:cs="黑体"/>
          <w:bCs/>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经国家统计局统一核算，2021年广东实现地区生产总值（初步核算数）124369.67亿元，比上年增长8.0%。其中，第一产业增加值5003.66亿元，增长7.9%，对地区生产总值增长的贡献率为</w:t>
      </w:r>
      <w:r>
        <w:rPr>
          <w:rFonts w:hint="eastAsia" w:ascii="仿宋_GB2312"/>
          <w:b w:val="0"/>
          <w:bCs w:val="0"/>
          <w:snapToGrid w:val="0"/>
          <w:kern w:val="0"/>
          <w:sz w:val="32"/>
          <w:szCs w:val="32"/>
          <w:highlight w:val="none"/>
          <w:u w:val="none"/>
          <w:lang w:val="en-US" w:eastAsia="zh-CN"/>
        </w:rPr>
        <w:t>4.2%</w:t>
      </w:r>
      <w:r>
        <w:rPr>
          <w:rFonts w:hint="eastAsia" w:ascii="仿宋_GB2312"/>
          <w:snapToGrid w:val="0"/>
          <w:kern w:val="0"/>
          <w:sz w:val="32"/>
          <w:szCs w:val="32"/>
          <w:highlight w:val="none"/>
          <w:u w:val="none"/>
          <w:lang w:val="en-US" w:eastAsia="zh-CN"/>
        </w:rPr>
        <w:t>；第二产业增加值50219.19亿元，增长8.7%，对地区生产总值增长的贡献率为43.0%；第三产业增加值69146.82亿元，增长</w:t>
      </w:r>
      <w:r>
        <w:rPr>
          <w:rFonts w:hint="eastAsia" w:ascii="仿宋_GB2312"/>
          <w:i w:val="0"/>
          <w:iCs w:val="0"/>
          <w:snapToGrid w:val="0"/>
          <w:kern w:val="0"/>
          <w:sz w:val="32"/>
          <w:szCs w:val="32"/>
          <w:highlight w:val="none"/>
          <w:u w:val="none"/>
          <w:lang w:val="en-US" w:eastAsia="zh-CN"/>
        </w:rPr>
        <w:t>7.5</w:t>
      </w:r>
      <w:r>
        <w:rPr>
          <w:rFonts w:hint="eastAsia" w:ascii="仿宋_GB2312"/>
          <w:snapToGrid w:val="0"/>
          <w:kern w:val="0"/>
          <w:sz w:val="32"/>
          <w:szCs w:val="32"/>
          <w:highlight w:val="none"/>
          <w:u w:val="none"/>
          <w:lang w:val="en-US" w:eastAsia="zh-CN"/>
        </w:rPr>
        <w:t xml:space="preserve">%，对地区生产总值增长的贡献率为52.8%。三次产业结构比重为4.0:40.4:55.6，第二产业比重提高0.9个百分点。人均地区生产总值98285元（按年平均汇率折算为15234美元），增长7.1%。 </w:t>
      </w:r>
      <w:r>
        <w:rPr>
          <w:rFonts w:hint="eastAsia" w:ascii="黑体" w:hAnsi="黑体" w:eastAsia="黑体" w:cs="黑体"/>
          <w:bCs/>
          <w:snapToGrid w:val="0"/>
          <w:kern w:val="0"/>
          <w:sz w:val="32"/>
          <w:szCs w:val="32"/>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r>
        <w:rPr>
          <w:rFonts w:hint="eastAsia" w:ascii="黑体" w:hAnsi="黑体" w:eastAsia="黑体" w:cs="黑体"/>
          <w:bCs/>
          <w:snapToGrid w:val="0"/>
          <w:kern w:val="0"/>
          <w:sz w:val="32"/>
          <w:szCs w:val="32"/>
          <w:highlight w:val="none"/>
          <w:u w:val="none"/>
          <w:lang w:val="en-US" w:eastAsia="zh-CN"/>
        </w:rPr>
        <w:t>图1  2016-2021年广东地区生产总值及增长速度</w:t>
      </w:r>
      <w:r>
        <w:rPr>
          <w:highlight w:val="none"/>
          <w:u w:val="none"/>
        </w:rPr>
        <w:drawing>
          <wp:inline distT="0" distB="0" distL="114300" distR="114300">
            <wp:extent cx="5449570" cy="3672205"/>
            <wp:effectExtent l="0" t="0" r="1778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5449570" cy="36722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lang w:val="en-US" w:eastAsia="zh-CN"/>
        </w:rPr>
      </w:pPr>
      <w:r>
        <w:rPr>
          <w:rFonts w:hint="eastAsia" w:ascii="黑体" w:hAnsi="黑体" w:eastAsia="黑体" w:cs="黑体"/>
          <w:bCs/>
          <w:snapToGrid w:val="0"/>
          <w:kern w:val="0"/>
          <w:sz w:val="32"/>
          <w:szCs w:val="32"/>
          <w:highlight w:val="none"/>
          <w:u w:val="none"/>
          <w:lang w:val="en-US" w:eastAsia="zh-CN"/>
        </w:rPr>
        <w:t>图2  2016-2021年三次产业结构</w:t>
      </w:r>
    </w:p>
    <w:p>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_GB2312"/>
          <w:snapToGrid w:val="0"/>
          <w:kern w:val="0"/>
          <w:sz w:val="32"/>
          <w:szCs w:val="32"/>
          <w:highlight w:val="none"/>
          <w:u w:val="none"/>
          <w:lang w:val="en-US" w:eastAsia="zh-CN"/>
        </w:rPr>
      </w:pPr>
      <w:r>
        <w:rPr>
          <w:highlight w:val="none"/>
          <w:u w:val="none"/>
        </w:rPr>
        <w:drawing>
          <wp:inline distT="0" distB="0" distL="114300" distR="114300">
            <wp:extent cx="5235575" cy="3672205"/>
            <wp:effectExtent l="0" t="0" r="317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35575" cy="36722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left"/>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分区域看，珠三角核心区地区生产总值占全省比重80.9%，东翼、西翼、北部生态发展区分别占6.2%、7.0%、5.9%。</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w:t>
      </w:r>
      <w:r>
        <w:rPr>
          <w:rFonts w:hint="eastAsia" w:ascii="黑体" w:hAnsi="黑体" w:eastAsia="黑体" w:cs="黑体"/>
          <w:bCs/>
          <w:snapToGrid w:val="0"/>
          <w:kern w:val="0"/>
          <w:sz w:val="32"/>
          <w:szCs w:val="32"/>
          <w:highlight w:val="none"/>
          <w:u w:val="none"/>
          <w:lang w:val="en-US" w:eastAsia="zh-CN"/>
        </w:rPr>
        <w:t>2</w:t>
      </w:r>
      <w:r>
        <w:rPr>
          <w:rFonts w:hint="eastAsia" w:ascii="黑体" w:hAnsi="黑体" w:eastAsia="黑体" w:cs="黑体"/>
          <w:bCs/>
          <w:snapToGrid w:val="0"/>
          <w:kern w:val="0"/>
          <w:sz w:val="32"/>
          <w:szCs w:val="32"/>
          <w:highlight w:val="none"/>
          <w:u w:val="none"/>
        </w:rPr>
        <w:t xml:space="preserve">  20</w:t>
      </w:r>
      <w:r>
        <w:rPr>
          <w:rFonts w:hint="eastAsia" w:ascii="黑体" w:hAnsi="黑体" w:eastAsia="黑体" w:cs="黑体"/>
          <w:bCs/>
          <w:snapToGrid w:val="0"/>
          <w:kern w:val="0"/>
          <w:sz w:val="32"/>
          <w:szCs w:val="32"/>
          <w:highlight w:val="none"/>
          <w:u w:val="none"/>
          <w:lang w:val="en-US" w:eastAsia="zh-CN"/>
        </w:rPr>
        <w:t>21</w:t>
      </w:r>
      <w:r>
        <w:rPr>
          <w:rFonts w:hint="eastAsia" w:ascii="黑体" w:hAnsi="黑体" w:eastAsia="黑体" w:cs="黑体"/>
          <w:bCs/>
          <w:snapToGrid w:val="0"/>
          <w:kern w:val="0"/>
          <w:sz w:val="32"/>
          <w:szCs w:val="32"/>
          <w:highlight w:val="none"/>
          <w:u w:val="none"/>
        </w:rPr>
        <w:t>年分区域主要指标</w:t>
      </w:r>
    </w:p>
    <w:tbl>
      <w:tblPr>
        <w:tblStyle w:val="10"/>
        <w:tblW w:w="906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948"/>
        <w:gridCol w:w="1335"/>
        <w:gridCol w:w="1074"/>
        <w:gridCol w:w="1060"/>
        <w:gridCol w:w="1120"/>
        <w:gridCol w:w="1202"/>
        <w:gridCol w:w="132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5" w:hRule="atLeast"/>
          <w:jc w:val="center"/>
        </w:trPr>
        <w:tc>
          <w:tcPr>
            <w:tcW w:w="1948" w:type="dxa"/>
            <w:vMerge w:val="restart"/>
            <w:tcBorders>
              <w:top w:val="single" w:color="000000" w:sz="4" w:space="0"/>
              <w:left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区域</w:t>
            </w:r>
          </w:p>
        </w:tc>
        <w:tc>
          <w:tcPr>
            <w:tcW w:w="1335" w:type="dxa"/>
            <w:vMerge w:val="restart"/>
            <w:tcBorders>
              <w:top w:val="single" w:color="000000" w:sz="4" w:space="0"/>
              <w:left w:val="single" w:color="000000" w:sz="4" w:space="0"/>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地区生产总值（亿元）</w:t>
            </w:r>
          </w:p>
        </w:tc>
        <w:tc>
          <w:tcPr>
            <w:tcW w:w="1074" w:type="dxa"/>
            <w:tcBorders>
              <w:top w:val="single" w:color="000000" w:sz="4" w:space="0"/>
              <w:left w:val="nil"/>
              <w:bottom w:val="single" w:color="auto"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21"/>
                <w:szCs w:val="21"/>
                <w:highlight w:val="none"/>
                <w:u w:val="none"/>
              </w:rPr>
            </w:pPr>
          </w:p>
        </w:tc>
        <w:tc>
          <w:tcPr>
            <w:tcW w:w="1060" w:type="dxa"/>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color w:val="auto"/>
                <w:sz w:val="21"/>
                <w:szCs w:val="21"/>
                <w:highlight w:val="none"/>
                <w:u w:val="none"/>
                <w:lang w:val="en-US" w:eastAsia="zh-CN"/>
              </w:rPr>
            </w:pPr>
            <w:r>
              <w:rPr>
                <w:rFonts w:hint="eastAsia" w:ascii="黑体" w:hAnsi="黑体" w:eastAsia="黑体" w:cs="黑体"/>
                <w:bCs/>
                <w:color w:val="auto"/>
                <w:sz w:val="21"/>
                <w:szCs w:val="21"/>
                <w:highlight w:val="none"/>
                <w:u w:val="none"/>
                <w:lang w:val="en-US" w:eastAsia="zh-CN"/>
              </w:rPr>
              <w:t>规模以上工业增加值增长（%）</w:t>
            </w:r>
          </w:p>
        </w:tc>
        <w:tc>
          <w:tcPr>
            <w:tcW w:w="1120" w:type="dxa"/>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color w:val="auto"/>
                <w:sz w:val="21"/>
                <w:szCs w:val="21"/>
                <w:highlight w:val="none"/>
                <w:u w:val="none"/>
              </w:rPr>
            </w:pPr>
            <w:r>
              <w:rPr>
                <w:rFonts w:hint="eastAsia" w:ascii="黑体" w:hAnsi="黑体" w:eastAsia="黑体" w:cs="黑体"/>
                <w:bCs/>
                <w:color w:val="auto"/>
                <w:sz w:val="21"/>
                <w:szCs w:val="21"/>
                <w:highlight w:val="none"/>
                <w:u w:val="none"/>
              </w:rPr>
              <w:t>固定资产</w:t>
            </w: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color w:val="auto"/>
                <w:sz w:val="21"/>
                <w:szCs w:val="21"/>
                <w:highlight w:val="none"/>
                <w:u w:val="none"/>
                <w:lang w:eastAsia="zh-CN"/>
              </w:rPr>
            </w:pPr>
            <w:r>
              <w:rPr>
                <w:rFonts w:hint="eastAsia" w:ascii="黑体" w:hAnsi="黑体" w:eastAsia="黑体" w:cs="黑体"/>
                <w:bCs/>
                <w:color w:val="auto"/>
                <w:sz w:val="21"/>
                <w:szCs w:val="21"/>
                <w:highlight w:val="none"/>
                <w:u w:val="none"/>
              </w:rPr>
              <w:t>投资</w:t>
            </w: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color w:val="auto"/>
                <w:sz w:val="21"/>
                <w:szCs w:val="21"/>
                <w:highlight w:val="none"/>
                <w:u w:val="none"/>
              </w:rPr>
            </w:pPr>
            <w:r>
              <w:rPr>
                <w:rFonts w:hint="eastAsia" w:ascii="黑体" w:hAnsi="黑体" w:eastAsia="黑体" w:cs="黑体"/>
                <w:bCs/>
                <w:color w:val="auto"/>
                <w:sz w:val="21"/>
                <w:szCs w:val="21"/>
                <w:highlight w:val="none"/>
                <w:u w:val="none"/>
              </w:rPr>
              <w:t>增长(%)</w:t>
            </w:r>
          </w:p>
        </w:tc>
        <w:tc>
          <w:tcPr>
            <w:tcW w:w="1202" w:type="dxa"/>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color w:val="auto"/>
                <w:sz w:val="21"/>
                <w:szCs w:val="21"/>
                <w:highlight w:val="none"/>
                <w:u w:val="none"/>
              </w:rPr>
            </w:pPr>
            <w:r>
              <w:rPr>
                <w:rFonts w:hint="eastAsia" w:ascii="黑体" w:hAnsi="黑体" w:eastAsia="黑体" w:cs="黑体"/>
                <w:bCs/>
                <w:color w:val="auto"/>
                <w:sz w:val="21"/>
                <w:szCs w:val="21"/>
                <w:highlight w:val="none"/>
                <w:u w:val="none"/>
              </w:rPr>
              <w:t>社会消费品零售总额</w:t>
            </w: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color w:val="auto"/>
                <w:sz w:val="21"/>
                <w:szCs w:val="21"/>
                <w:highlight w:val="none"/>
                <w:u w:val="none"/>
              </w:rPr>
            </w:pPr>
            <w:r>
              <w:rPr>
                <w:rFonts w:hint="eastAsia" w:ascii="黑体" w:hAnsi="黑体" w:eastAsia="黑体" w:cs="黑体"/>
                <w:bCs/>
                <w:color w:val="auto"/>
                <w:sz w:val="21"/>
                <w:szCs w:val="21"/>
                <w:highlight w:val="none"/>
                <w:u w:val="none"/>
              </w:rPr>
              <w:t>增长（%）</w:t>
            </w:r>
          </w:p>
        </w:tc>
        <w:tc>
          <w:tcPr>
            <w:tcW w:w="1321" w:type="dxa"/>
            <w:vMerge w:val="restart"/>
            <w:tcBorders>
              <w:top w:val="single" w:color="000000" w:sz="4" w:space="0"/>
              <w:left w:val="single" w:color="000000" w:sz="4" w:space="0"/>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color w:val="auto"/>
                <w:sz w:val="21"/>
                <w:szCs w:val="21"/>
                <w:highlight w:val="none"/>
                <w:u w:val="none"/>
              </w:rPr>
            </w:pPr>
            <w:r>
              <w:rPr>
                <w:rFonts w:hint="eastAsia" w:ascii="黑体" w:hAnsi="黑体" w:eastAsia="黑体" w:cs="黑体"/>
                <w:bCs/>
                <w:color w:val="auto"/>
                <w:sz w:val="21"/>
                <w:szCs w:val="21"/>
                <w:highlight w:val="none"/>
                <w:u w:val="none"/>
              </w:rPr>
              <w:t>地方一般公共预算收入增长(%)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772" w:hRule="atLeast"/>
          <w:jc w:val="center"/>
        </w:trPr>
        <w:tc>
          <w:tcPr>
            <w:tcW w:w="1948" w:type="dxa"/>
            <w:vMerge w:val="continue"/>
            <w:tcBorders>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rPr>
            </w:pPr>
          </w:p>
        </w:tc>
        <w:tc>
          <w:tcPr>
            <w:tcW w:w="1335" w:type="dxa"/>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rPr>
            </w:pPr>
          </w:p>
        </w:tc>
        <w:tc>
          <w:tcPr>
            <w:tcW w:w="1074" w:type="dxa"/>
            <w:tcBorders>
              <w:top w:val="single" w:color="auto"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21"/>
                <w:szCs w:val="21"/>
                <w:highlight w:val="none"/>
                <w:u w:val="none"/>
                <w:lang w:eastAsia="zh-CN"/>
              </w:rPr>
            </w:pPr>
            <w:r>
              <w:rPr>
                <w:rFonts w:hint="eastAsia" w:ascii="黑体" w:hAnsi="黑体" w:eastAsia="黑体" w:cs="黑体"/>
                <w:bCs/>
                <w:sz w:val="21"/>
                <w:szCs w:val="21"/>
                <w:highlight w:val="none"/>
                <w:u w:val="none"/>
                <w:lang w:eastAsia="zh-CN"/>
              </w:rPr>
              <w:t>比上年</w:t>
            </w: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增长</w:t>
            </w:r>
          </w:p>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rPr>
            </w:pPr>
            <w:r>
              <w:rPr>
                <w:rFonts w:hint="eastAsia" w:ascii="黑体" w:hAnsi="黑体" w:eastAsia="黑体" w:cs="黑体"/>
                <w:bCs/>
                <w:sz w:val="21"/>
                <w:szCs w:val="21"/>
                <w:highlight w:val="none"/>
                <w:u w:val="none"/>
              </w:rPr>
              <w:t>（%）</w:t>
            </w:r>
          </w:p>
        </w:tc>
        <w:tc>
          <w:tcPr>
            <w:tcW w:w="1060" w:type="dxa"/>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lang w:val="en-US" w:eastAsia="zh-CN"/>
              </w:rPr>
            </w:pPr>
          </w:p>
        </w:tc>
        <w:tc>
          <w:tcPr>
            <w:tcW w:w="1120" w:type="dxa"/>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rPr>
            </w:pPr>
          </w:p>
        </w:tc>
        <w:tc>
          <w:tcPr>
            <w:tcW w:w="1202" w:type="dxa"/>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rPr>
            </w:pPr>
          </w:p>
        </w:tc>
        <w:tc>
          <w:tcPr>
            <w:tcW w:w="1321" w:type="dxa"/>
            <w:vMerge w:val="continue"/>
            <w:tcBorders>
              <w:left w:val="single" w:color="000000" w:sz="4" w:space="0"/>
              <w:bottom w:val="single" w:color="000000" w:sz="4" w:space="0"/>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1948" w:type="dxa"/>
            <w:tcBorders>
              <w:top w:val="single" w:color="000000" w:sz="4" w:space="0"/>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珠三角核心区</w:t>
            </w:r>
          </w:p>
        </w:tc>
        <w:tc>
          <w:tcPr>
            <w:tcW w:w="1335" w:type="dxa"/>
            <w:tcBorders>
              <w:top w:val="single" w:color="000000" w:sz="4" w:space="0"/>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100585.25</w:t>
            </w:r>
          </w:p>
        </w:tc>
        <w:tc>
          <w:tcPr>
            <w:tcW w:w="1074" w:type="dxa"/>
            <w:tcBorders>
              <w:top w:val="single" w:color="000000" w:sz="4" w:space="0"/>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7.9</w:t>
            </w:r>
          </w:p>
        </w:tc>
        <w:tc>
          <w:tcPr>
            <w:tcW w:w="1060" w:type="dxa"/>
            <w:tcBorders>
              <w:top w:val="single" w:color="000000" w:sz="4" w:space="0"/>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8.6</w:t>
            </w:r>
          </w:p>
        </w:tc>
        <w:tc>
          <w:tcPr>
            <w:tcW w:w="1120" w:type="dxa"/>
            <w:tcBorders>
              <w:top w:val="single" w:color="000000" w:sz="4" w:space="0"/>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8.1</w:t>
            </w:r>
          </w:p>
        </w:tc>
        <w:tc>
          <w:tcPr>
            <w:tcW w:w="1202" w:type="dxa"/>
            <w:tcBorders>
              <w:top w:val="single" w:color="000000" w:sz="4" w:space="0"/>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10.3</w:t>
            </w:r>
          </w:p>
        </w:tc>
        <w:tc>
          <w:tcPr>
            <w:tcW w:w="1321" w:type="dxa"/>
            <w:tcBorders>
              <w:top w:val="single" w:color="000000" w:sz="4" w:space="0"/>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10.2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194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东</w:t>
            </w:r>
            <w:r>
              <w:rPr>
                <w:rFonts w:hint="eastAsia" w:ascii="宋体" w:hAnsi="宋体" w:eastAsia="宋体" w:cs="宋体"/>
                <w:bCs/>
                <w:sz w:val="21"/>
                <w:szCs w:val="21"/>
                <w:highlight w:val="none"/>
                <w:u w:val="none"/>
                <w:lang w:val="en-US" w:eastAsia="zh-CN"/>
              </w:rPr>
              <w:t xml:space="preserve">        </w:t>
            </w:r>
            <w:r>
              <w:rPr>
                <w:rFonts w:hint="eastAsia" w:ascii="宋体" w:hAnsi="宋体" w:eastAsia="宋体" w:cs="宋体"/>
                <w:bCs/>
                <w:sz w:val="21"/>
                <w:szCs w:val="21"/>
                <w:highlight w:val="none"/>
                <w:u w:val="none"/>
              </w:rPr>
              <w:t>翼</w:t>
            </w:r>
          </w:p>
        </w:tc>
        <w:tc>
          <w:tcPr>
            <w:tcW w:w="1335"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7728.20</w:t>
            </w:r>
          </w:p>
        </w:tc>
        <w:tc>
          <w:tcPr>
            <w:tcW w:w="107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7.7</w:t>
            </w:r>
          </w:p>
        </w:tc>
        <w:tc>
          <w:tcPr>
            <w:tcW w:w="1060"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8.1</w:t>
            </w:r>
          </w:p>
        </w:tc>
        <w:tc>
          <w:tcPr>
            <w:tcW w:w="1120"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-10.5</w:t>
            </w:r>
          </w:p>
        </w:tc>
        <w:tc>
          <w:tcPr>
            <w:tcW w:w="1202"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8.1</w:t>
            </w:r>
          </w:p>
        </w:tc>
        <w:tc>
          <w:tcPr>
            <w:tcW w:w="1321"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5.8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194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西</w:t>
            </w:r>
            <w:r>
              <w:rPr>
                <w:rFonts w:hint="eastAsia" w:ascii="宋体" w:hAnsi="宋体" w:eastAsia="宋体" w:cs="宋体"/>
                <w:bCs/>
                <w:sz w:val="21"/>
                <w:szCs w:val="21"/>
                <w:highlight w:val="none"/>
                <w:u w:val="none"/>
                <w:lang w:val="en-US" w:eastAsia="zh-CN"/>
              </w:rPr>
              <w:t xml:space="preserve">        </w:t>
            </w:r>
            <w:r>
              <w:rPr>
                <w:rFonts w:hint="eastAsia" w:ascii="宋体" w:hAnsi="宋体" w:eastAsia="宋体" w:cs="宋体"/>
                <w:bCs/>
                <w:sz w:val="21"/>
                <w:szCs w:val="21"/>
                <w:highlight w:val="none"/>
                <w:u w:val="none"/>
              </w:rPr>
              <w:t>翼</w:t>
            </w:r>
          </w:p>
        </w:tc>
        <w:tc>
          <w:tcPr>
            <w:tcW w:w="1335"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8773.89</w:t>
            </w:r>
          </w:p>
        </w:tc>
        <w:tc>
          <w:tcPr>
            <w:tcW w:w="107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8.1</w:t>
            </w:r>
          </w:p>
        </w:tc>
        <w:tc>
          <w:tcPr>
            <w:tcW w:w="1060"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13.0</w:t>
            </w:r>
          </w:p>
        </w:tc>
        <w:tc>
          <w:tcPr>
            <w:tcW w:w="1120"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16.7</w:t>
            </w:r>
          </w:p>
        </w:tc>
        <w:tc>
          <w:tcPr>
            <w:tcW w:w="1202"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9.2</w:t>
            </w:r>
          </w:p>
        </w:tc>
        <w:tc>
          <w:tcPr>
            <w:tcW w:w="1321"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11.7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1948" w:type="dxa"/>
            <w:tcBorders>
              <w:top w:val="nil"/>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北部生态发展区</w:t>
            </w:r>
          </w:p>
        </w:tc>
        <w:tc>
          <w:tcPr>
            <w:tcW w:w="1335" w:type="dxa"/>
            <w:tcBorders>
              <w:top w:val="nil"/>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7282.33</w:t>
            </w:r>
          </w:p>
        </w:tc>
        <w:tc>
          <w:tcPr>
            <w:tcW w:w="1074" w:type="dxa"/>
            <w:tcBorders>
              <w:top w:val="nil"/>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7.7</w:t>
            </w:r>
          </w:p>
        </w:tc>
        <w:tc>
          <w:tcPr>
            <w:tcW w:w="1060" w:type="dxa"/>
            <w:tcBorders>
              <w:top w:val="nil"/>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12.4</w:t>
            </w:r>
          </w:p>
        </w:tc>
        <w:tc>
          <w:tcPr>
            <w:tcW w:w="1120" w:type="dxa"/>
            <w:tcBorders>
              <w:top w:val="nil"/>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2.9</w:t>
            </w:r>
          </w:p>
        </w:tc>
        <w:tc>
          <w:tcPr>
            <w:tcW w:w="1202" w:type="dxa"/>
            <w:tcBorders>
              <w:top w:val="nil"/>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8.1</w:t>
            </w:r>
          </w:p>
        </w:tc>
        <w:tc>
          <w:tcPr>
            <w:tcW w:w="1321" w:type="dxa"/>
            <w:tcBorders>
              <w:top w:val="nil"/>
              <w:left w:val="single" w:color="000000" w:sz="4" w:space="0"/>
              <w:bottom w:val="single" w:color="000000" w:sz="4" w:space="0"/>
              <w:right w:val="nil"/>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8.3</w:t>
            </w:r>
          </w:p>
        </w:tc>
      </w:tr>
    </w:tbl>
    <w:p>
      <w:pPr>
        <w:keepNext w:val="0"/>
        <w:keepLines w:val="0"/>
        <w:pageBreakBefore w:val="0"/>
        <w:widowControl w:val="0"/>
        <w:kinsoku/>
        <w:wordWrap/>
        <w:overflowPunct/>
        <w:topLinePunct w:val="0"/>
        <w:autoSpaceDE/>
        <w:autoSpaceDN/>
        <w:bidi w:val="0"/>
        <w:adjustRightInd w:val="0"/>
        <w:snapToGrid/>
        <w:spacing w:line="240" w:lineRule="exact"/>
        <w:ind w:firstLine="646"/>
        <w:textAlignment w:val="auto"/>
        <w:rPr>
          <w:rFonts w:hint="eastAsia" w:ascii="仿宋_GB2312" w:hAnsi="仿宋_GB2312" w:eastAsia="仿宋_GB2312" w:cs="仿宋_GB2312"/>
          <w:bCs/>
          <w:sz w:val="32"/>
          <w:szCs w:val="32"/>
          <w:highlight w:val="none"/>
          <w:u w:val="none"/>
          <w:shd w:val="clear" w:color="auto" w:fill="FFFFFF"/>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both"/>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全省地方一般公共预算收入14103.43亿元，比上年增长9.1%；其中，税收收入10784.32亿元，增长9.1%。全年一般公共预算支出18222.73亿元，增长4.2%。其中，教育支出3798.44亿元，增长8.0%；卫生健康支出1839.33亿元，增长3.8%；社会保障和就业支出2141.50亿元，增长18.1%。民生类支出12805.53亿元，占一般公共预算支出比重70.3%。</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both"/>
        <w:textAlignment w:val="auto"/>
        <w:outlineLvl w:val="9"/>
        <w:rPr>
          <w:rFonts w:hint="eastAsia" w:ascii="仿宋_GB2312"/>
          <w:snapToGrid w:val="0"/>
          <w:color w:val="auto"/>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全年城镇新增就业140.33万人，就业困难人员实现就业11.51万人。年末城镇登记失业率2.45%，比上年回落0.08个百分点。</w:t>
      </w:r>
      <w:bookmarkStart w:id="0" w:name="调查失业率"/>
      <w:r>
        <w:rPr>
          <w:rFonts w:hint="eastAsia" w:ascii="仿宋_GB2312"/>
          <w:snapToGrid w:val="0"/>
          <w:kern w:val="0"/>
          <w:sz w:val="32"/>
          <w:szCs w:val="32"/>
          <w:highlight w:val="none"/>
          <w:u w:val="none"/>
          <w:lang w:val="en-US" w:eastAsia="zh-CN"/>
        </w:rPr>
        <w:t>全年城镇调查失业率平均值为4.9%</w:t>
      </w:r>
      <w:r>
        <w:rPr>
          <w:rFonts w:hint="eastAsia" w:ascii="仿宋_GB2312"/>
          <w:snapToGrid w:val="0"/>
          <w:color w:val="auto"/>
          <w:kern w:val="0"/>
          <w:sz w:val="32"/>
          <w:szCs w:val="32"/>
          <w:highlight w:val="none"/>
          <w:u w:val="none"/>
          <w:lang w:val="en-US" w:eastAsia="zh-CN"/>
        </w:rPr>
        <w:t>。</w:t>
      </w:r>
      <w:bookmarkEnd w:id="0"/>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both"/>
        <w:textAlignment w:val="auto"/>
        <w:outlineLvl w:val="9"/>
        <w:rPr>
          <w:rFonts w:hint="eastAsia" w:ascii="仿宋_GB2312"/>
          <w:snapToGrid w:val="0"/>
          <w:color w:val="auto"/>
          <w:kern w:val="0"/>
          <w:sz w:val="32"/>
          <w:szCs w:val="32"/>
          <w:highlight w:val="none"/>
          <w:u w:val="none"/>
          <w:lang w:val="en-US" w:eastAsia="zh-CN"/>
        </w:rPr>
      </w:pPr>
      <w:r>
        <w:rPr>
          <w:rFonts w:hint="eastAsia" w:ascii="仿宋_GB2312"/>
          <w:snapToGrid w:val="0"/>
          <w:color w:val="auto"/>
          <w:kern w:val="0"/>
          <w:sz w:val="32"/>
          <w:szCs w:val="32"/>
          <w:highlight w:val="none"/>
          <w:u w:val="none"/>
          <w:lang w:val="en-US" w:eastAsia="zh-CN"/>
        </w:rPr>
        <w:t>全年居民消费价格比上年上涨0.8%。分类别看，交通通信类上涨4.4%，教育文化娱乐类上涨1.8%，居住类上涨1.0%，生活用品及服务类上涨0.6%，衣着类上涨0.3%，医疗保健类上涨0.2%;食品烟酒类下降0.6%，其他用品及服务类下降1.5%。</w:t>
      </w:r>
    </w:p>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2"/>
        <w:rPr>
          <w:rFonts w:hint="eastAsia" w:ascii="黑体" w:hAnsi="黑体" w:eastAsia="黑体" w:cs="黑体"/>
          <w:b w:val="0"/>
          <w:bCs/>
          <w:highlight w:val="none"/>
          <w:u w:val="none"/>
          <w:lang w:val="en-US" w:eastAsia="zh-CN"/>
        </w:rPr>
      </w:pPr>
      <w:r>
        <w:rPr>
          <w:rFonts w:hint="eastAsia" w:ascii="黑体" w:hAnsi="黑体" w:eastAsia="黑体" w:cs="黑体"/>
          <w:b w:val="0"/>
          <w:bCs/>
          <w:snapToGrid w:val="0"/>
          <w:kern w:val="0"/>
          <w:sz w:val="32"/>
          <w:szCs w:val="32"/>
          <w:highlight w:val="none"/>
          <w:u w:val="none"/>
          <w:lang w:val="en-US" w:eastAsia="zh-CN"/>
        </w:rPr>
        <w:t>图3  2021年居民消费价格月度涨跌幅度</w:t>
      </w:r>
      <w:r>
        <w:rPr>
          <w:highlight w:val="none"/>
          <w:u w:val="none"/>
        </w:rPr>
        <w:drawing>
          <wp:inline distT="0" distB="0" distL="114300" distR="114300">
            <wp:extent cx="5608955" cy="3535680"/>
            <wp:effectExtent l="0" t="0" r="1079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608955" cy="35356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w:t>
      </w:r>
      <w:r>
        <w:rPr>
          <w:rFonts w:hint="eastAsia" w:ascii="黑体" w:hAnsi="黑体" w:eastAsia="黑体" w:cs="黑体"/>
          <w:bCs/>
          <w:snapToGrid w:val="0"/>
          <w:kern w:val="0"/>
          <w:sz w:val="32"/>
          <w:szCs w:val="32"/>
          <w:highlight w:val="none"/>
          <w:u w:val="none"/>
          <w:lang w:val="en-US" w:eastAsia="zh-CN"/>
        </w:rPr>
        <w:t>3</w:t>
      </w:r>
      <w:r>
        <w:rPr>
          <w:rFonts w:hint="eastAsia" w:ascii="黑体" w:hAnsi="黑体" w:eastAsia="黑体" w:cs="黑体"/>
          <w:bCs/>
          <w:snapToGrid w:val="0"/>
          <w:kern w:val="0"/>
          <w:sz w:val="32"/>
          <w:szCs w:val="32"/>
          <w:highlight w:val="none"/>
          <w:u w:val="none"/>
        </w:rPr>
        <w:t xml:space="preserve">  20</w:t>
      </w:r>
      <w:r>
        <w:rPr>
          <w:rFonts w:hint="eastAsia" w:ascii="黑体" w:hAnsi="黑体" w:eastAsia="黑体" w:cs="黑体"/>
          <w:bCs/>
          <w:snapToGrid w:val="0"/>
          <w:kern w:val="0"/>
          <w:sz w:val="32"/>
          <w:szCs w:val="32"/>
          <w:highlight w:val="none"/>
          <w:u w:val="none"/>
          <w:lang w:val="en-US" w:eastAsia="zh-CN"/>
        </w:rPr>
        <w:t>21</w:t>
      </w:r>
      <w:r>
        <w:rPr>
          <w:rFonts w:hint="eastAsia" w:ascii="黑体" w:hAnsi="黑体" w:eastAsia="黑体" w:cs="黑体"/>
          <w:bCs/>
          <w:snapToGrid w:val="0"/>
          <w:kern w:val="0"/>
          <w:sz w:val="32"/>
          <w:szCs w:val="32"/>
          <w:highlight w:val="none"/>
          <w:u w:val="none"/>
        </w:rPr>
        <w:t>年居民消费价格比上年涨跌幅度</w:t>
      </w:r>
    </w:p>
    <w:tbl>
      <w:tblPr>
        <w:tblStyle w:val="10"/>
        <w:tblW w:w="882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273"/>
        <w:gridCol w:w="2828"/>
        <w:gridCol w:w="271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7" w:hRule="atLeast"/>
          <w:jc w:val="center"/>
        </w:trPr>
        <w:tc>
          <w:tcPr>
            <w:tcW w:w="3273"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指标</w:t>
            </w:r>
          </w:p>
        </w:tc>
        <w:tc>
          <w:tcPr>
            <w:tcW w:w="28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价格指数(上年=100)</w:t>
            </w:r>
          </w:p>
        </w:tc>
        <w:tc>
          <w:tcPr>
            <w:tcW w:w="2719"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比上年涨跌幅度（%）</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jc w:val="center"/>
        </w:trPr>
        <w:tc>
          <w:tcPr>
            <w:tcW w:w="3273" w:type="dxa"/>
            <w:tcBorders>
              <w:top w:val="single" w:color="000000" w:sz="4" w:space="0"/>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居民消费价格</w:t>
            </w:r>
          </w:p>
        </w:tc>
        <w:tc>
          <w:tcPr>
            <w:tcW w:w="2828" w:type="dxa"/>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100.8</w:t>
            </w:r>
          </w:p>
        </w:tc>
        <w:tc>
          <w:tcPr>
            <w:tcW w:w="2719" w:type="dxa"/>
            <w:tcBorders>
              <w:top w:val="single" w:color="000000" w:sz="4" w:space="0"/>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食品烟酒</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99.4</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其中：粮食</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101.4 </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1.4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食用油</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109.0 </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9.0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鲜菜</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102.8 </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2.8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畜肉类</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81.5 </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-18.5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禽肉类</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98.3 </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-1.7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水产品</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105.4 </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5.4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900" w:firstLineChars="400"/>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蛋类</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107.3 </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7.3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衣着</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100.3</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居住</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101.0</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生活用品及服务</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100.6</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交通通信</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104.4</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教育文化娱乐</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101.8</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273"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医疗保健</w:t>
            </w:r>
          </w:p>
        </w:tc>
        <w:tc>
          <w:tcPr>
            <w:tcW w:w="282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100.2</w:t>
            </w:r>
          </w:p>
        </w:tc>
        <w:tc>
          <w:tcPr>
            <w:tcW w:w="2719"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jc w:val="center"/>
        </w:trPr>
        <w:tc>
          <w:tcPr>
            <w:tcW w:w="3273" w:type="dxa"/>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其他用品</w:t>
            </w:r>
            <w:r>
              <w:rPr>
                <w:rFonts w:hint="eastAsia" w:ascii="宋体" w:hAnsi="宋体" w:eastAsia="宋体" w:cs="宋体"/>
                <w:bCs/>
                <w:sz w:val="21"/>
                <w:szCs w:val="21"/>
                <w:highlight w:val="none"/>
                <w:u w:val="none"/>
                <w:lang w:eastAsia="zh-CN"/>
              </w:rPr>
              <w:t>及</w:t>
            </w:r>
            <w:r>
              <w:rPr>
                <w:rFonts w:hint="eastAsia" w:ascii="宋体" w:hAnsi="宋体" w:eastAsia="宋体" w:cs="宋体"/>
                <w:bCs/>
                <w:sz w:val="21"/>
                <w:szCs w:val="21"/>
                <w:highlight w:val="none"/>
                <w:u w:val="none"/>
              </w:rPr>
              <w:t>服务</w:t>
            </w:r>
          </w:p>
        </w:tc>
        <w:tc>
          <w:tcPr>
            <w:tcW w:w="2828" w:type="dxa"/>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98.5</w:t>
            </w:r>
          </w:p>
        </w:tc>
        <w:tc>
          <w:tcPr>
            <w:tcW w:w="2719" w:type="dxa"/>
            <w:tcBorders>
              <w:top w:val="nil"/>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-1.5</w:t>
            </w:r>
          </w:p>
        </w:tc>
      </w:tr>
    </w:tbl>
    <w:p>
      <w:pPr>
        <w:keepNext w:val="0"/>
        <w:keepLines w:val="0"/>
        <w:pageBreakBefore w:val="0"/>
        <w:widowControl w:val="0"/>
        <w:kinsoku/>
        <w:wordWrap/>
        <w:overflowPunct/>
        <w:topLinePunct w:val="0"/>
        <w:autoSpaceDE/>
        <w:autoSpaceDN/>
        <w:bidi w:val="0"/>
        <w:adjustRightInd w:val="0"/>
        <w:snapToGrid/>
        <w:spacing w:line="240" w:lineRule="exact"/>
        <w:ind w:firstLine="670" w:firstLineChars="200"/>
        <w:textAlignment w:val="auto"/>
        <w:rPr>
          <w:rFonts w:hint="eastAsia" w:ascii="仿宋_GB2312"/>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color w:val="auto"/>
          <w:kern w:val="0"/>
          <w:sz w:val="32"/>
          <w:szCs w:val="32"/>
          <w:highlight w:val="none"/>
          <w:u w:val="none"/>
        </w:rPr>
      </w:pPr>
      <w:bookmarkStart w:id="1" w:name="农业调查处1"/>
      <w:r>
        <w:rPr>
          <w:rFonts w:hint="eastAsia" w:ascii="仿宋_GB2312"/>
          <w:snapToGrid w:val="0"/>
          <w:color w:val="auto"/>
          <w:kern w:val="0"/>
          <w:sz w:val="32"/>
          <w:szCs w:val="32"/>
          <w:highlight w:val="none"/>
          <w:u w:val="none"/>
          <w:lang w:val="en-US" w:eastAsia="zh-CN"/>
        </w:rPr>
        <w:t>工业生产者出厂价格比上年上涨3.4%，其中高技术类与上年持平，能源类上涨9.3%；轻工业上涨1.7%，重工业上涨4.2%；生产资料上涨5.0%，生活资料上涨0.4%；初级产品上涨16.3%，中间产品上涨4.3%，最终产品上涨2.1%；采矿业上涨18.5%，制造业上涨3.5%，电力、热力、燃气及水生产和供应业上涨0.5%。工业生产者购进价格上涨8.0%，其中初级产品上涨14.7%，中间产品上涨7.3%。九大类原材料购进价格七升一平一降，其中燃料、动力类上涨18.4%，黑色金属材料类上涨19.5%，有色金属材料及电线类上涨26.4%，化工原料类上涨9.8%，木材及纸浆类上涨4.7</w:t>
      </w:r>
      <w:r>
        <w:rPr>
          <w:rFonts w:hint="eastAsia" w:ascii="仿宋_GB2312"/>
          <w:snapToGrid w:val="0"/>
          <w:color w:val="auto"/>
          <w:kern w:val="0"/>
          <w:sz w:val="32"/>
          <w:szCs w:val="32"/>
          <w:highlight w:val="none"/>
          <w:u w:val="none"/>
        </w:rPr>
        <w:t>%，建筑材料及非金属类上涨</w:t>
      </w:r>
      <w:r>
        <w:rPr>
          <w:rFonts w:hint="eastAsia" w:ascii="仿宋_GB2312"/>
          <w:snapToGrid w:val="0"/>
          <w:color w:val="auto"/>
          <w:kern w:val="0"/>
          <w:sz w:val="32"/>
          <w:szCs w:val="32"/>
          <w:highlight w:val="none"/>
          <w:u w:val="none"/>
          <w:lang w:val="en-US" w:eastAsia="zh-CN"/>
        </w:rPr>
        <w:t>2.1</w:t>
      </w:r>
      <w:r>
        <w:rPr>
          <w:rFonts w:hint="eastAsia" w:ascii="仿宋_GB2312"/>
          <w:snapToGrid w:val="0"/>
          <w:color w:val="auto"/>
          <w:kern w:val="0"/>
          <w:sz w:val="32"/>
          <w:szCs w:val="32"/>
          <w:highlight w:val="none"/>
          <w:u w:val="none"/>
        </w:rPr>
        <w:t>%，其它工业原材料及半成品类</w:t>
      </w:r>
      <w:r>
        <w:rPr>
          <w:rFonts w:hint="eastAsia" w:ascii="仿宋_GB2312"/>
          <w:snapToGrid w:val="0"/>
          <w:color w:val="auto"/>
          <w:kern w:val="0"/>
          <w:sz w:val="32"/>
          <w:szCs w:val="32"/>
          <w:highlight w:val="none"/>
          <w:u w:val="none"/>
          <w:lang w:val="en-US" w:eastAsia="zh-CN"/>
        </w:rPr>
        <w:t>上涨2.8</w:t>
      </w:r>
      <w:r>
        <w:rPr>
          <w:rFonts w:hint="eastAsia" w:ascii="仿宋_GB2312"/>
          <w:snapToGrid w:val="0"/>
          <w:color w:val="auto"/>
          <w:kern w:val="0"/>
          <w:sz w:val="32"/>
          <w:szCs w:val="32"/>
          <w:highlight w:val="none"/>
          <w:u w:val="none"/>
        </w:rPr>
        <w:t>%，农副产品类</w:t>
      </w:r>
      <w:r>
        <w:rPr>
          <w:rFonts w:hint="eastAsia" w:ascii="仿宋_GB2312"/>
          <w:snapToGrid w:val="0"/>
          <w:color w:val="auto"/>
          <w:kern w:val="0"/>
          <w:sz w:val="32"/>
          <w:szCs w:val="32"/>
          <w:highlight w:val="none"/>
          <w:u w:val="none"/>
          <w:lang w:eastAsia="zh-CN"/>
        </w:rPr>
        <w:t>下降</w:t>
      </w:r>
      <w:r>
        <w:rPr>
          <w:rFonts w:hint="eastAsia" w:ascii="仿宋_GB2312"/>
          <w:snapToGrid w:val="0"/>
          <w:color w:val="auto"/>
          <w:kern w:val="0"/>
          <w:sz w:val="32"/>
          <w:szCs w:val="32"/>
          <w:highlight w:val="none"/>
          <w:u w:val="none"/>
          <w:lang w:val="en-US" w:eastAsia="zh-CN"/>
        </w:rPr>
        <w:t>0.5</w:t>
      </w:r>
      <w:r>
        <w:rPr>
          <w:rFonts w:hint="eastAsia" w:ascii="仿宋_GB2312"/>
          <w:snapToGrid w:val="0"/>
          <w:color w:val="auto"/>
          <w:kern w:val="0"/>
          <w:sz w:val="32"/>
          <w:szCs w:val="32"/>
          <w:highlight w:val="none"/>
          <w:u w:val="none"/>
        </w:rPr>
        <w:t>%，纺织原料类</w:t>
      </w:r>
      <w:r>
        <w:rPr>
          <w:rFonts w:hint="eastAsia" w:ascii="仿宋_GB2312"/>
          <w:snapToGrid w:val="0"/>
          <w:color w:val="auto"/>
          <w:kern w:val="0"/>
          <w:sz w:val="32"/>
          <w:szCs w:val="32"/>
          <w:highlight w:val="none"/>
          <w:u w:val="none"/>
          <w:lang w:val="en-US" w:eastAsia="zh-CN"/>
        </w:rPr>
        <w:t>与上年持平</w:t>
      </w:r>
      <w:r>
        <w:rPr>
          <w:rFonts w:hint="eastAsia" w:ascii="仿宋_GB2312"/>
          <w:snapToGrid w:val="0"/>
          <w:color w:val="auto"/>
          <w:kern w:val="0"/>
          <w:sz w:val="32"/>
          <w:szCs w:val="32"/>
          <w:highlight w:val="none"/>
          <w:u w:val="none"/>
        </w:rPr>
        <w:t>。</w:t>
      </w:r>
      <w:bookmarkEnd w:id="1"/>
      <w:r>
        <w:rPr>
          <w:rFonts w:hint="eastAsia" w:ascii="仿宋_GB2312"/>
          <w:snapToGrid w:val="0"/>
          <w:color w:val="auto"/>
          <w:kern w:val="0"/>
          <w:sz w:val="32"/>
          <w:szCs w:val="32"/>
          <w:highlight w:val="none"/>
          <w:u w:val="none"/>
        </w:rPr>
        <w:t>农产品生产者价格</w:t>
      </w:r>
      <w:r>
        <w:rPr>
          <w:rFonts w:hint="eastAsia" w:ascii="仿宋_GB2312"/>
          <w:snapToGrid w:val="0"/>
          <w:color w:val="auto"/>
          <w:kern w:val="0"/>
          <w:sz w:val="32"/>
          <w:szCs w:val="32"/>
          <w:highlight w:val="none"/>
          <w:u w:val="none"/>
          <w:lang w:eastAsia="zh-CN"/>
        </w:rPr>
        <w:t>下降</w:t>
      </w:r>
      <w:r>
        <w:rPr>
          <w:rFonts w:hint="eastAsia" w:ascii="仿宋_GB2312"/>
          <w:snapToGrid w:val="0"/>
          <w:color w:val="auto"/>
          <w:kern w:val="0"/>
          <w:sz w:val="32"/>
          <w:szCs w:val="32"/>
          <w:highlight w:val="none"/>
          <w:u w:val="none"/>
          <w:lang w:val="en-US" w:eastAsia="zh-CN"/>
        </w:rPr>
        <w:t>1.2</w:t>
      </w:r>
      <w:r>
        <w:rPr>
          <w:rFonts w:hint="eastAsia" w:ascii="仿宋_GB2312"/>
          <w:snapToGrid w:val="0"/>
          <w:color w:val="auto"/>
          <w:kern w:val="0"/>
          <w:sz w:val="32"/>
          <w:szCs w:val="32"/>
          <w:highlight w:val="none"/>
          <w:u w:val="none"/>
        </w:rPr>
        <w:t>%</w:t>
      </w:r>
      <w:r>
        <w:rPr>
          <w:rFonts w:hint="eastAsia" w:ascii="仿宋_GB2312"/>
          <w:snapToGrid w:val="0"/>
          <w:color w:val="auto"/>
          <w:kern w:val="0"/>
          <w:sz w:val="32"/>
          <w:szCs w:val="32"/>
          <w:highlight w:val="none"/>
          <w:u w:val="none"/>
          <w:lang w:eastAsia="zh-CN"/>
        </w:rPr>
        <w:t>，</w:t>
      </w:r>
      <w:r>
        <w:rPr>
          <w:rFonts w:hint="eastAsia" w:ascii="仿宋_GB2312"/>
          <w:snapToGrid w:val="0"/>
          <w:color w:val="auto"/>
          <w:kern w:val="0"/>
          <w:sz w:val="32"/>
          <w:szCs w:val="32"/>
          <w:highlight w:val="none"/>
          <w:u w:val="none"/>
        </w:rPr>
        <w:t>其中农业产品上涨</w:t>
      </w:r>
      <w:r>
        <w:rPr>
          <w:rFonts w:hint="eastAsia" w:ascii="仿宋_GB2312"/>
          <w:snapToGrid w:val="0"/>
          <w:color w:val="auto"/>
          <w:kern w:val="0"/>
          <w:sz w:val="32"/>
          <w:szCs w:val="32"/>
          <w:highlight w:val="none"/>
          <w:u w:val="none"/>
          <w:lang w:val="en-US" w:eastAsia="zh-CN"/>
        </w:rPr>
        <w:t>0.8</w:t>
      </w:r>
      <w:r>
        <w:rPr>
          <w:rFonts w:hint="eastAsia" w:ascii="仿宋_GB2312"/>
          <w:snapToGrid w:val="0"/>
          <w:color w:val="auto"/>
          <w:kern w:val="0"/>
          <w:sz w:val="32"/>
          <w:szCs w:val="32"/>
          <w:highlight w:val="none"/>
          <w:u w:val="none"/>
        </w:rPr>
        <w:t>%</w:t>
      </w:r>
      <w:r>
        <w:rPr>
          <w:rFonts w:hint="eastAsia" w:ascii="仿宋_GB2312"/>
          <w:snapToGrid w:val="0"/>
          <w:color w:val="auto"/>
          <w:kern w:val="0"/>
          <w:sz w:val="32"/>
          <w:szCs w:val="32"/>
          <w:highlight w:val="none"/>
          <w:u w:val="none"/>
          <w:lang w:eastAsia="zh-CN"/>
        </w:rPr>
        <w:t>，</w:t>
      </w:r>
      <w:r>
        <w:rPr>
          <w:rFonts w:hint="eastAsia" w:ascii="仿宋_GB2312"/>
          <w:snapToGrid w:val="0"/>
          <w:color w:val="auto"/>
          <w:kern w:val="0"/>
          <w:sz w:val="32"/>
          <w:szCs w:val="32"/>
          <w:highlight w:val="none"/>
          <w:u w:val="none"/>
        </w:rPr>
        <w:t>林业产品上涨</w:t>
      </w:r>
      <w:r>
        <w:rPr>
          <w:rFonts w:hint="eastAsia" w:ascii="仿宋_GB2312"/>
          <w:snapToGrid w:val="0"/>
          <w:color w:val="auto"/>
          <w:kern w:val="0"/>
          <w:sz w:val="32"/>
          <w:szCs w:val="32"/>
          <w:highlight w:val="none"/>
          <w:u w:val="none"/>
          <w:lang w:val="en-US" w:eastAsia="zh-CN"/>
        </w:rPr>
        <w:t>9.3</w:t>
      </w:r>
      <w:r>
        <w:rPr>
          <w:rFonts w:hint="eastAsia" w:ascii="仿宋_GB2312"/>
          <w:snapToGrid w:val="0"/>
          <w:color w:val="auto"/>
          <w:kern w:val="0"/>
          <w:sz w:val="32"/>
          <w:szCs w:val="32"/>
          <w:highlight w:val="none"/>
          <w:u w:val="none"/>
        </w:rPr>
        <w:t>%</w:t>
      </w:r>
      <w:r>
        <w:rPr>
          <w:rFonts w:hint="eastAsia" w:ascii="仿宋_GB2312"/>
          <w:snapToGrid w:val="0"/>
          <w:color w:val="auto"/>
          <w:kern w:val="0"/>
          <w:sz w:val="32"/>
          <w:szCs w:val="32"/>
          <w:highlight w:val="none"/>
          <w:u w:val="none"/>
          <w:lang w:eastAsia="zh-CN"/>
        </w:rPr>
        <w:t>，</w:t>
      </w:r>
      <w:r>
        <w:rPr>
          <w:rFonts w:hint="eastAsia" w:ascii="仿宋_GB2312"/>
          <w:snapToGrid w:val="0"/>
          <w:color w:val="auto"/>
          <w:kern w:val="0"/>
          <w:sz w:val="32"/>
          <w:szCs w:val="32"/>
          <w:highlight w:val="none"/>
          <w:u w:val="none"/>
        </w:rPr>
        <w:t>牧业产品</w:t>
      </w:r>
      <w:r>
        <w:rPr>
          <w:rFonts w:hint="eastAsia" w:ascii="仿宋_GB2312"/>
          <w:snapToGrid w:val="0"/>
          <w:color w:val="auto"/>
          <w:kern w:val="0"/>
          <w:sz w:val="32"/>
          <w:szCs w:val="32"/>
          <w:highlight w:val="none"/>
          <w:u w:val="none"/>
          <w:lang w:eastAsia="zh-CN"/>
        </w:rPr>
        <w:t>下降</w:t>
      </w:r>
      <w:r>
        <w:rPr>
          <w:rFonts w:hint="eastAsia" w:ascii="仿宋_GB2312"/>
          <w:snapToGrid w:val="0"/>
          <w:color w:val="auto"/>
          <w:kern w:val="0"/>
          <w:sz w:val="32"/>
          <w:szCs w:val="32"/>
          <w:highlight w:val="none"/>
          <w:u w:val="none"/>
          <w:lang w:val="en-US" w:eastAsia="zh-CN"/>
        </w:rPr>
        <w:t>11.8</w:t>
      </w:r>
      <w:r>
        <w:rPr>
          <w:rFonts w:hint="eastAsia" w:ascii="仿宋_GB2312"/>
          <w:snapToGrid w:val="0"/>
          <w:color w:val="auto"/>
          <w:kern w:val="0"/>
          <w:sz w:val="32"/>
          <w:szCs w:val="32"/>
          <w:highlight w:val="none"/>
          <w:u w:val="none"/>
        </w:rPr>
        <w:t>%</w:t>
      </w:r>
      <w:r>
        <w:rPr>
          <w:rFonts w:hint="eastAsia" w:ascii="仿宋_GB2312"/>
          <w:snapToGrid w:val="0"/>
          <w:color w:val="auto"/>
          <w:kern w:val="0"/>
          <w:sz w:val="32"/>
          <w:szCs w:val="32"/>
          <w:highlight w:val="none"/>
          <w:u w:val="none"/>
          <w:lang w:eastAsia="zh-CN"/>
        </w:rPr>
        <w:t>，</w:t>
      </w:r>
      <w:r>
        <w:rPr>
          <w:rFonts w:hint="eastAsia" w:ascii="仿宋_GB2312"/>
          <w:snapToGrid w:val="0"/>
          <w:color w:val="auto"/>
          <w:kern w:val="0"/>
          <w:sz w:val="32"/>
          <w:szCs w:val="32"/>
          <w:highlight w:val="none"/>
          <w:u w:val="none"/>
        </w:rPr>
        <w:t>渔业产品上涨</w:t>
      </w:r>
      <w:r>
        <w:rPr>
          <w:rFonts w:hint="eastAsia" w:ascii="仿宋_GB2312"/>
          <w:snapToGrid w:val="0"/>
          <w:color w:val="auto"/>
          <w:kern w:val="0"/>
          <w:sz w:val="32"/>
          <w:szCs w:val="32"/>
          <w:highlight w:val="none"/>
          <w:u w:val="none"/>
          <w:lang w:val="en-US" w:eastAsia="zh-CN"/>
        </w:rPr>
        <w:t>5.0</w:t>
      </w:r>
      <w:r>
        <w:rPr>
          <w:rFonts w:hint="eastAsia" w:ascii="仿宋_GB2312"/>
          <w:snapToGrid w:val="0"/>
          <w:color w:val="auto"/>
          <w:kern w:val="0"/>
          <w:sz w:val="32"/>
          <w:szCs w:val="32"/>
          <w:highlight w:val="none"/>
          <w:u w:val="none"/>
        </w:rPr>
        <w:t>%。</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kern w:val="0"/>
          <w:sz w:val="32"/>
          <w:szCs w:val="32"/>
          <w:highlight w:val="none"/>
          <w:u w:val="none"/>
        </w:rPr>
      </w:pPr>
      <w:r>
        <w:rPr>
          <w:rFonts w:hint="eastAsia" w:ascii="黑体" w:hAnsi="黑体" w:eastAsia="黑体" w:cs="黑体"/>
          <w:snapToGrid w:val="0"/>
          <w:kern w:val="0"/>
          <w:sz w:val="32"/>
          <w:szCs w:val="32"/>
          <w:highlight w:val="none"/>
          <w:u w:val="none"/>
        </w:rPr>
        <w:t>二、农业</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全年粮食作物播种面积3319.55万亩，比上年增长0.4%；糖蔗种植面积192.58万亩，下降6.1%；油料种植面积536.26万亩，增长0.6%；蔬菜种植面积2088.37万亩，增长2.1%；中草药种植面积88.78万亩，增长11.5%。</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全年粮食产量1279.87万吨，比上年增长1.0%；糖蔗产量1118.08万吨，下降4.9%；油料产量117.32万吨，增长3.3%；蔬菜产量3855.73万吨，增长4.0%；水果产量1826.73万吨，增长4.0%；茶叶产量13.95万吨，增长8.8%。</w:t>
      </w:r>
    </w:p>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2"/>
        <w:rPr>
          <w:rFonts w:hint="eastAsia" w:ascii="黑体" w:hAnsi="黑体" w:eastAsia="黑体" w:cs="黑体"/>
          <w:b w:val="0"/>
          <w:bCs/>
          <w:highlight w:val="none"/>
          <w:u w:val="none"/>
          <w:lang w:val="en-US" w:eastAsia="zh-CN"/>
        </w:rPr>
      </w:pPr>
      <w:r>
        <w:rPr>
          <w:rFonts w:hint="eastAsia" w:ascii="黑体" w:hAnsi="黑体" w:eastAsia="黑体" w:cs="黑体"/>
          <w:b w:val="0"/>
          <w:bCs/>
          <w:snapToGrid w:val="0"/>
          <w:kern w:val="0"/>
          <w:sz w:val="32"/>
          <w:szCs w:val="32"/>
          <w:highlight w:val="none"/>
          <w:u w:val="none"/>
          <w:lang w:val="en-US" w:eastAsia="zh-CN"/>
        </w:rPr>
        <w:t>图4  2016-2021年粮食产量及增长速度</w:t>
      </w:r>
      <w:r>
        <w:rPr>
          <w:highlight w:val="none"/>
          <w:u w:val="none"/>
        </w:rPr>
        <w:drawing>
          <wp:inline distT="0" distB="0" distL="114300" distR="114300">
            <wp:extent cx="5610225" cy="3604895"/>
            <wp:effectExtent l="0" t="0" r="952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610225" cy="36048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exact"/>
        <w:textAlignment w:val="auto"/>
        <w:rPr>
          <w:rFonts w:hint="eastAsia" w:ascii="仿宋_GB2312" w:hAnsi="仿宋_GB2312" w:eastAsia="仿宋_GB2312" w:cs="仿宋_GB2312"/>
          <w:bCs/>
          <w:snapToGrid w:val="0"/>
          <w:kern w:val="0"/>
          <w:sz w:val="32"/>
          <w:szCs w:val="32"/>
          <w:highlight w:val="none"/>
          <w:u w:val="none"/>
        </w:rPr>
      </w:pPr>
    </w:p>
    <w:p>
      <w:pPr>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全年猪牛羊禽肉产量451.75万吨，比上年增长14.7%。其中，猪肉产量263.23万吨，增长36.8%；禽肉产量182.19万吨，下降6.7%。年末生猪存栏2075.48万头，增长17.4%；生猪出栏3336.63万头，增长31.5%。</w:t>
      </w:r>
    </w:p>
    <w:p>
      <w:pPr>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全年水产品产量921.67万吨，比上年增长5.2%。其中，海水产品469.96万吨，增长4.3%；淡水产品451.71万吨，增长6.2%。</w:t>
      </w:r>
    </w:p>
    <w:p>
      <w:pPr>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年末农业机械总动力2527.53万千瓦，比上年增长1.3%。</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黑体" w:hAnsi="黑体" w:eastAsia="黑体" w:cs="黑体"/>
          <w:snapToGrid w:val="0"/>
          <w:kern w:val="0"/>
          <w:sz w:val="32"/>
          <w:szCs w:val="32"/>
          <w:highlight w:val="none"/>
          <w:u w:val="none"/>
        </w:rPr>
      </w:pPr>
      <w:r>
        <w:rPr>
          <w:rFonts w:hint="eastAsia" w:ascii="黑体" w:hAnsi="黑体" w:eastAsia="黑体" w:cs="黑体"/>
          <w:snapToGrid w:val="0"/>
          <w:kern w:val="0"/>
          <w:sz w:val="32"/>
          <w:szCs w:val="32"/>
          <w:highlight w:val="none"/>
          <w:u w:val="none"/>
        </w:rPr>
        <w:t>三、工业</w:t>
      </w:r>
      <w:r>
        <w:rPr>
          <w:rFonts w:hint="eastAsia" w:ascii="黑体" w:hAnsi="黑体" w:eastAsia="黑体" w:cs="黑体"/>
          <w:snapToGrid w:val="0"/>
          <w:kern w:val="0"/>
          <w:sz w:val="32"/>
          <w:szCs w:val="32"/>
          <w:highlight w:val="none"/>
          <w:u w:val="none"/>
          <w:lang w:val="en-US" w:eastAsia="zh-CN"/>
        </w:rPr>
        <w:t>和</w:t>
      </w:r>
      <w:r>
        <w:rPr>
          <w:rFonts w:hint="eastAsia" w:ascii="黑体" w:hAnsi="黑体" w:eastAsia="黑体" w:cs="黑体"/>
          <w:snapToGrid w:val="0"/>
          <w:kern w:val="0"/>
          <w:sz w:val="32"/>
          <w:szCs w:val="32"/>
          <w:highlight w:val="none"/>
          <w:u w:val="none"/>
        </w:rPr>
        <w:t>建筑业</w:t>
      </w:r>
    </w:p>
    <w:p>
      <w:pPr>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全部工业增加值比上年增长9.3%。规模以上工业增加值增长9.0%，其中，国有控股企业增长13.0%，外商及港澳台投资企业增长9.2%，股份制企业增长9.1%，集体企业增长4.8%。分轻重工业看，轻工业增长9.5%，重工业增长8.8%。分企业规模看，大型企业增长4.9%，中型企业增长13.2%，小微型企业增长12.3%。</w:t>
      </w:r>
    </w:p>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2"/>
        <w:rPr>
          <w:rFonts w:hint="eastAsia" w:ascii="黑体" w:hAnsi="黑体" w:eastAsia="黑体" w:cs="黑体"/>
          <w:b w:val="0"/>
          <w:bCs/>
          <w:snapToGrid w:val="0"/>
          <w:kern w:val="0"/>
          <w:sz w:val="32"/>
          <w:szCs w:val="32"/>
          <w:highlight w:val="none"/>
          <w:u w:val="none"/>
          <w:lang w:val="en-US" w:eastAsia="zh-CN"/>
        </w:rPr>
      </w:pPr>
      <w:r>
        <w:rPr>
          <w:rFonts w:hint="eastAsia" w:ascii="黑体" w:hAnsi="黑体" w:eastAsia="黑体" w:cs="黑体"/>
          <w:b w:val="0"/>
          <w:bCs/>
          <w:snapToGrid w:val="0"/>
          <w:kern w:val="0"/>
          <w:sz w:val="32"/>
          <w:szCs w:val="32"/>
          <w:highlight w:val="none"/>
          <w:u w:val="none"/>
          <w:lang w:val="en-US" w:eastAsia="zh-CN"/>
        </w:rPr>
        <w:t>图5  2016-2021年规模以上工业增加值增长速度</w:t>
      </w:r>
      <w:r>
        <w:rPr>
          <w:highlight w:val="none"/>
          <w:u w:val="none"/>
        </w:rPr>
        <w:drawing>
          <wp:inline distT="0" distB="0" distL="114300" distR="114300">
            <wp:extent cx="5614670" cy="3691890"/>
            <wp:effectExtent l="0" t="0" r="508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614670" cy="36918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both"/>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高技术制造业增加值比上年增长6.9%，占规模以上工业增加值比重29.9%。其中，医药制造业增长18.7%，电子及通信设备制造业增长4.7%，计算机及办公设备制造业增长23.5%，航空、航天器及设备制造业增长12.6%，医疗仪器设备及仪器仪表制造业增长10.1%。</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both"/>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先进制造业增加值比上年增长6.5%，占规模以上工业增加值比重54.2%。其中，高端电子信息制造业增长1.3%，生物医药及高性能医疗器械业增长15.3%，先进装备制造业增长11.1%，先进轻纺制造业增长7.8%，新材料制造业增长8.5%，石油化工业增长8.0%。</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both"/>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装备制造业增加值比上年增长7.4%，占规模以上工业增加值比重44.6%。其中，电气机械和器材制造业增长16.0%，计算机、通信和其他电子设备制造业增长5.0%，汽车制造业增长9.4%。</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both"/>
        <w:textAlignment w:val="auto"/>
        <w:outlineLvl w:val="9"/>
        <w:rPr>
          <w:rFonts w:hint="eastAsia" w:ascii="仿宋_GB2312"/>
          <w:snapToGrid w:val="0"/>
          <w:spacing w:val="-6"/>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优</w:t>
      </w:r>
      <w:r>
        <w:rPr>
          <w:rFonts w:hint="eastAsia" w:ascii="仿宋_GB2312"/>
          <w:snapToGrid w:val="0"/>
          <w:spacing w:val="-6"/>
          <w:kern w:val="0"/>
          <w:sz w:val="32"/>
          <w:szCs w:val="32"/>
          <w:highlight w:val="none"/>
          <w:u w:val="none"/>
          <w:lang w:val="en-US" w:eastAsia="zh-CN"/>
        </w:rPr>
        <w:t>势传统产业增加值比上年增长8.0%，其中，家用电力器具制造业增长7.5%，建筑材料增长9.9%，金属制品业增长12.1%，食品饮料业增长8.5%，家具制造业增长13.1%，纺织服装业增长1.3%。</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both"/>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六大高耗能行业增加值比上年增长10.4%，其中，非金属矿物制品业增长7.4%，电力、热力生产和供应业增长16.5%，黑色金属冶炼及压延加工业增长11.4%，化学原料和化学制品制造业增长7.8%，有色金属冶炼及压延加工业增长5.8%，石油、煤炭及其他燃料加工业增长7.4%。</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1005" w:firstLineChars="300"/>
        <w:jc w:val="both"/>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1005" w:firstLineChars="300"/>
        <w:jc w:val="both"/>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1005" w:firstLineChars="300"/>
        <w:jc w:val="both"/>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1005" w:firstLineChars="300"/>
        <w:jc w:val="both"/>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1005" w:firstLineChars="300"/>
        <w:jc w:val="both"/>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1005" w:firstLineChars="300"/>
        <w:jc w:val="both"/>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w:t>
      </w:r>
      <w:r>
        <w:rPr>
          <w:rFonts w:hint="eastAsia" w:ascii="黑体" w:hAnsi="黑体" w:eastAsia="黑体" w:cs="黑体"/>
          <w:bCs/>
          <w:snapToGrid w:val="0"/>
          <w:kern w:val="0"/>
          <w:sz w:val="32"/>
          <w:szCs w:val="32"/>
          <w:highlight w:val="none"/>
          <w:u w:val="none"/>
          <w:lang w:val="en-US" w:eastAsia="zh-CN"/>
        </w:rPr>
        <w:t>4</w:t>
      </w:r>
      <w:r>
        <w:rPr>
          <w:rFonts w:hint="eastAsia" w:ascii="黑体" w:hAnsi="黑体" w:eastAsia="黑体" w:cs="黑体"/>
          <w:bCs/>
          <w:snapToGrid w:val="0"/>
          <w:kern w:val="0"/>
          <w:sz w:val="32"/>
          <w:szCs w:val="32"/>
          <w:highlight w:val="none"/>
          <w:u w:val="none"/>
        </w:rPr>
        <w:t xml:space="preserve">  20</w:t>
      </w:r>
      <w:r>
        <w:rPr>
          <w:rFonts w:hint="eastAsia" w:ascii="黑体" w:hAnsi="黑体" w:eastAsia="黑体" w:cs="黑体"/>
          <w:bCs/>
          <w:snapToGrid w:val="0"/>
          <w:kern w:val="0"/>
          <w:sz w:val="32"/>
          <w:szCs w:val="32"/>
          <w:highlight w:val="none"/>
          <w:u w:val="none"/>
          <w:lang w:val="en-US" w:eastAsia="zh-CN"/>
        </w:rPr>
        <w:t>21</w:t>
      </w:r>
      <w:r>
        <w:rPr>
          <w:rFonts w:hint="eastAsia" w:ascii="黑体" w:hAnsi="黑体" w:eastAsia="黑体" w:cs="黑体"/>
          <w:bCs/>
          <w:snapToGrid w:val="0"/>
          <w:kern w:val="0"/>
          <w:sz w:val="32"/>
          <w:szCs w:val="32"/>
          <w:highlight w:val="none"/>
          <w:u w:val="none"/>
        </w:rPr>
        <w:t>年主要工业产品产量</w:t>
      </w:r>
      <w:r>
        <w:rPr>
          <w:rFonts w:hint="eastAsia" w:ascii="黑体" w:hAnsi="黑体" w:eastAsia="黑体" w:cs="黑体"/>
          <w:bCs/>
          <w:snapToGrid w:val="0"/>
          <w:color w:val="auto"/>
          <w:kern w:val="0"/>
          <w:sz w:val="32"/>
          <w:szCs w:val="32"/>
          <w:highlight w:val="none"/>
          <w:u w:val="none"/>
        </w:rPr>
        <w:t>及增</w:t>
      </w:r>
      <w:r>
        <w:rPr>
          <w:rFonts w:hint="eastAsia" w:ascii="黑体" w:hAnsi="黑体" w:eastAsia="黑体" w:cs="黑体"/>
          <w:bCs/>
          <w:snapToGrid w:val="0"/>
          <w:kern w:val="0"/>
          <w:sz w:val="32"/>
          <w:szCs w:val="32"/>
          <w:highlight w:val="none"/>
          <w:u w:val="none"/>
        </w:rPr>
        <w:t>长速度</w:t>
      </w:r>
    </w:p>
    <w:tbl>
      <w:tblPr>
        <w:tblStyle w:val="10"/>
        <w:tblW w:w="887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785"/>
        <w:gridCol w:w="1399"/>
        <w:gridCol w:w="1296"/>
        <w:gridCol w:w="239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3785"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产品名称</w:t>
            </w:r>
          </w:p>
        </w:tc>
        <w:tc>
          <w:tcPr>
            <w:tcW w:w="1399"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计量单位</w:t>
            </w:r>
          </w:p>
        </w:tc>
        <w:tc>
          <w:tcPr>
            <w:tcW w:w="1296"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产量</w:t>
            </w:r>
          </w:p>
        </w:tc>
        <w:tc>
          <w:tcPr>
            <w:tcW w:w="2390"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比上年增长（%）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发电量</w:t>
            </w:r>
          </w:p>
        </w:tc>
        <w:tc>
          <w:tcPr>
            <w:tcW w:w="1399" w:type="dxa"/>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亿千瓦小时</w:t>
            </w:r>
          </w:p>
        </w:tc>
        <w:tc>
          <w:tcPr>
            <w:tcW w:w="1296" w:type="dxa"/>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6115.23</w:t>
            </w:r>
          </w:p>
        </w:tc>
        <w:tc>
          <w:tcPr>
            <w:tcW w:w="2390" w:type="dxa"/>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21.2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布</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亿米</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25.75</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30.7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化学纤维</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84.71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卷烟</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lang w:eastAsia="zh-CN"/>
              </w:rPr>
            </w:pPr>
            <w:r>
              <w:rPr>
                <w:rFonts w:hint="eastAsia" w:ascii="宋体" w:hAnsi="宋体" w:eastAsia="宋体" w:cs="宋体"/>
                <w:bCs/>
                <w:sz w:val="21"/>
                <w:szCs w:val="21"/>
                <w:highlight w:val="none"/>
                <w:u w:val="none"/>
                <w:lang w:eastAsia="zh-CN"/>
              </w:rPr>
              <w:t>亿支</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1291.50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人造板</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万立方米</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1037.25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彩色电视机</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万台</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9810.91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-11.9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其中：液晶电视机</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万台</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9655.35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-11.8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其中：智能电视</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万台</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7418.27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家用电冰箱</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万台</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2091.56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房间</w:t>
            </w:r>
            <w:r>
              <w:rPr>
                <w:rFonts w:hint="eastAsia" w:ascii="宋体" w:hAnsi="宋体" w:eastAsia="宋体" w:cs="宋体"/>
                <w:bCs/>
                <w:sz w:val="21"/>
                <w:szCs w:val="21"/>
                <w:highlight w:val="none"/>
                <w:u w:val="none"/>
                <w:lang w:eastAsia="zh-CN"/>
              </w:rPr>
              <w:t>空气调节</w:t>
            </w:r>
            <w:r>
              <w:rPr>
                <w:rFonts w:hint="eastAsia" w:ascii="宋体" w:hAnsi="宋体" w:eastAsia="宋体" w:cs="宋体"/>
                <w:bCs/>
                <w:sz w:val="21"/>
                <w:szCs w:val="21"/>
                <w:highlight w:val="none"/>
                <w:u w:val="none"/>
              </w:rPr>
              <w:t>器</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万台</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6736.25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程控交换机</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万线</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591.11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移动通信手持机（手机）</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万台</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66965.36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微型计算机设备</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万台</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5935.41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20.9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集成电路</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亿块</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539.39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30.3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发光二极管（LED管）</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亿只</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6310.00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25.9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天然原油</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1744.68</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8.2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原油加工量</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6740.95</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8.5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硫酸（折100%）</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251.57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烧碱（折100%）</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34.56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乙烯</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417.75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14.2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化肥（折纯）</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6.44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-38.6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钢材</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5111.18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十种有色金属</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49.99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225" w:firstLineChars="100"/>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其中：精炼铜（电解铜）</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16.20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18.6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水泥</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17005.20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汽车</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万辆</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338.46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8.0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225" w:firstLineChars="100"/>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其中：基本型乘用车（轿车）</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万辆</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183.34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6.2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900" w:firstLineChars="400"/>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shd w:val="clear" w:color="auto" w:fill="FFFFFF"/>
              </w:rPr>
              <w:t>运动型多用途乘用</w:t>
            </w:r>
            <w:r>
              <w:rPr>
                <w:rFonts w:hint="eastAsia" w:ascii="宋体" w:hAnsi="宋体" w:eastAsia="宋体" w:cs="宋体"/>
                <w:bCs/>
                <w:sz w:val="21"/>
                <w:szCs w:val="21"/>
                <w:highlight w:val="none"/>
                <w:u w:val="none"/>
                <w:shd w:val="clear" w:color="auto" w:fill="FFFFFF"/>
                <w:lang w:eastAsia="zh-CN"/>
              </w:rPr>
              <w:t>车</w:t>
            </w:r>
            <w:r>
              <w:rPr>
                <w:rFonts w:hint="eastAsia" w:ascii="宋体" w:hAnsi="宋体" w:eastAsia="宋体" w:cs="宋体"/>
                <w:bCs/>
                <w:sz w:val="21"/>
                <w:szCs w:val="21"/>
                <w:highlight w:val="none"/>
                <w:u w:val="none"/>
                <w:shd w:val="clear" w:color="auto" w:fill="FFFFFF"/>
              </w:rPr>
              <w:t>（SUV）</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万辆</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118.90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225" w:firstLineChars="100"/>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其中：新能源汽车</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万辆</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53.54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155.6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民用钢质船舶</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万载重吨</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71.73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-20.8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民用无人机</w:t>
            </w:r>
          </w:p>
        </w:tc>
        <w:tc>
          <w:tcPr>
            <w:tcW w:w="1399"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万架</w:t>
            </w:r>
          </w:p>
        </w:tc>
        <w:tc>
          <w:tcPr>
            <w:tcW w:w="1296"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346.23 </w:t>
            </w:r>
          </w:p>
        </w:tc>
        <w:tc>
          <w:tcPr>
            <w:tcW w:w="2390"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-18.6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3" w:hRule="atLeast"/>
          <w:jc w:val="center"/>
        </w:trPr>
        <w:tc>
          <w:tcPr>
            <w:tcW w:w="3785" w:type="dxa"/>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shd w:val="clear" w:color="auto" w:fill="FFFFFF"/>
              </w:rPr>
            </w:pPr>
            <w:r>
              <w:rPr>
                <w:rFonts w:hint="eastAsia" w:ascii="宋体" w:hAnsi="宋体" w:eastAsia="宋体" w:cs="宋体"/>
                <w:bCs/>
                <w:sz w:val="21"/>
                <w:szCs w:val="21"/>
                <w:highlight w:val="none"/>
                <w:u w:val="none"/>
              </w:rPr>
              <w:t>工业机器人</w:t>
            </w:r>
          </w:p>
        </w:tc>
        <w:tc>
          <w:tcPr>
            <w:tcW w:w="1399" w:type="dxa"/>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shd w:val="clear" w:color="auto" w:fill="FFFFFF"/>
              </w:rPr>
            </w:pPr>
            <w:r>
              <w:rPr>
                <w:rFonts w:hint="eastAsia" w:ascii="宋体" w:hAnsi="宋体" w:eastAsia="宋体" w:cs="宋体"/>
                <w:bCs/>
                <w:sz w:val="21"/>
                <w:szCs w:val="21"/>
                <w:highlight w:val="none"/>
                <w:u w:val="none"/>
                <w:shd w:val="clear" w:color="auto" w:fill="FFFFFF"/>
              </w:rPr>
              <w:t>万套</w:t>
            </w:r>
          </w:p>
        </w:tc>
        <w:tc>
          <w:tcPr>
            <w:tcW w:w="1296" w:type="dxa"/>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12.44 </w:t>
            </w:r>
          </w:p>
        </w:tc>
        <w:tc>
          <w:tcPr>
            <w:tcW w:w="2390" w:type="dxa"/>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56.5</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Autospacing="0" w:afterAutospacing="0" w:line="240" w:lineRule="auto"/>
        <w:ind w:left="0" w:leftChars="0" w:right="0" w:rightChars="0" w:firstLine="670" w:firstLineChars="200"/>
        <w:jc w:val="left"/>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全年规模以上工业实现利润总额10927.55亿元，比上年增长16.1%。亏损企业亏损总额1171.62亿元，增长18.0%。亏损企业亏损面17.9%。分经济类型看，国有控股企业利润1541.83亿元，增长21.3</w:t>
      </w:r>
      <w:r>
        <w:rPr>
          <w:rFonts w:hint="default" w:ascii="仿宋_GB2312"/>
          <w:snapToGrid w:val="0"/>
          <w:kern w:val="0"/>
          <w:sz w:val="32"/>
          <w:szCs w:val="32"/>
          <w:highlight w:val="none"/>
          <w:u w:val="none"/>
          <w:lang w:val="en-US" w:eastAsia="zh-CN"/>
        </w:rPr>
        <w:t>%</w:t>
      </w:r>
      <w:r>
        <w:rPr>
          <w:rFonts w:hint="eastAsia" w:ascii="仿宋_GB2312"/>
          <w:snapToGrid w:val="0"/>
          <w:kern w:val="0"/>
          <w:sz w:val="32"/>
          <w:szCs w:val="32"/>
          <w:highlight w:val="none"/>
          <w:u w:val="none"/>
          <w:lang w:val="en-US" w:eastAsia="zh-CN"/>
        </w:rPr>
        <w:t>；股份制企业6845.21亿元，增长19.3</w:t>
      </w:r>
      <w:r>
        <w:rPr>
          <w:rFonts w:hint="default" w:ascii="仿宋_GB2312"/>
          <w:snapToGrid w:val="0"/>
          <w:kern w:val="0"/>
          <w:sz w:val="32"/>
          <w:szCs w:val="32"/>
          <w:highlight w:val="none"/>
          <w:u w:val="none"/>
          <w:lang w:val="en-US" w:eastAsia="zh-CN"/>
        </w:rPr>
        <w:t>%</w:t>
      </w:r>
      <w:r>
        <w:rPr>
          <w:rFonts w:hint="eastAsia" w:ascii="仿宋_GB2312"/>
          <w:snapToGrid w:val="0"/>
          <w:kern w:val="0"/>
          <w:sz w:val="32"/>
          <w:szCs w:val="32"/>
          <w:highlight w:val="none"/>
          <w:u w:val="none"/>
          <w:lang w:val="en-US" w:eastAsia="zh-CN"/>
        </w:rPr>
        <w:t>，外商及港澳台商投资企业3974.07亿元，增长10.9</w:t>
      </w:r>
      <w:r>
        <w:rPr>
          <w:rFonts w:hint="default" w:ascii="仿宋_GB2312"/>
          <w:snapToGrid w:val="0"/>
          <w:kern w:val="0"/>
          <w:sz w:val="32"/>
          <w:szCs w:val="32"/>
          <w:highlight w:val="none"/>
          <w:u w:val="none"/>
          <w:lang w:val="en-US" w:eastAsia="zh-CN"/>
        </w:rPr>
        <w:t>%</w:t>
      </w:r>
      <w:r>
        <w:rPr>
          <w:rFonts w:hint="eastAsia" w:ascii="仿宋_GB2312"/>
          <w:snapToGrid w:val="0"/>
          <w:kern w:val="0"/>
          <w:sz w:val="32"/>
          <w:szCs w:val="32"/>
          <w:highlight w:val="none"/>
          <w:u w:val="none"/>
          <w:lang w:val="en-US" w:eastAsia="zh-CN"/>
        </w:rPr>
        <w:t>。分行业看，采矿业利润419.90亿元，增长65.2</w:t>
      </w:r>
      <w:r>
        <w:rPr>
          <w:rFonts w:hint="default" w:ascii="仿宋_GB2312"/>
          <w:snapToGrid w:val="0"/>
          <w:kern w:val="0"/>
          <w:sz w:val="32"/>
          <w:szCs w:val="32"/>
          <w:highlight w:val="none"/>
          <w:u w:val="none"/>
          <w:lang w:val="en-US" w:eastAsia="zh-CN"/>
        </w:rPr>
        <w:t>%</w:t>
      </w:r>
      <w:r>
        <w:rPr>
          <w:rFonts w:hint="eastAsia" w:ascii="仿宋_GB2312"/>
          <w:snapToGrid w:val="0"/>
          <w:kern w:val="0"/>
          <w:sz w:val="32"/>
          <w:szCs w:val="32"/>
          <w:highlight w:val="none"/>
          <w:u w:val="none"/>
          <w:lang w:val="en-US" w:eastAsia="zh-CN"/>
        </w:rPr>
        <w:t>；制造业10036.11亿元，增长18.9</w:t>
      </w:r>
      <w:r>
        <w:rPr>
          <w:rFonts w:hint="default" w:ascii="仿宋_GB2312"/>
          <w:snapToGrid w:val="0"/>
          <w:kern w:val="0"/>
          <w:sz w:val="32"/>
          <w:szCs w:val="32"/>
          <w:highlight w:val="none"/>
          <w:u w:val="none"/>
          <w:lang w:val="en-US" w:eastAsia="zh-CN"/>
        </w:rPr>
        <w:t>%</w:t>
      </w:r>
      <w:r>
        <w:rPr>
          <w:rFonts w:hint="eastAsia" w:ascii="仿宋_GB2312"/>
          <w:snapToGrid w:val="0"/>
          <w:kern w:val="0"/>
          <w:sz w:val="32"/>
          <w:szCs w:val="32"/>
          <w:highlight w:val="none"/>
          <w:u w:val="none"/>
          <w:lang w:val="en-US" w:eastAsia="zh-CN"/>
        </w:rPr>
        <w:t>；电力、热力、燃气及水生产和供应业471.54亿元，下降34.0</w:t>
      </w:r>
      <w:r>
        <w:rPr>
          <w:rFonts w:hint="default" w:ascii="仿宋_GB2312"/>
          <w:snapToGrid w:val="0"/>
          <w:kern w:val="0"/>
          <w:sz w:val="32"/>
          <w:szCs w:val="32"/>
          <w:highlight w:val="none"/>
          <w:u w:val="none"/>
          <w:lang w:val="en-US" w:eastAsia="zh-CN"/>
        </w:rPr>
        <w:t>%</w:t>
      </w:r>
      <w:r>
        <w:rPr>
          <w:rFonts w:hint="eastAsia" w:ascii="仿宋_GB2312"/>
          <w:snapToGrid w:val="0"/>
          <w:kern w:val="0"/>
          <w:sz w:val="32"/>
          <w:szCs w:val="32"/>
          <w:highlight w:val="none"/>
          <w:u w:val="none"/>
          <w:lang w:val="en-US" w:eastAsia="zh-CN"/>
        </w:rPr>
        <w:t>。全年规模以上工业企业每百元营业收入中的成本为83.10元，增加0.28元；营业收入利润率为6.44</w:t>
      </w:r>
      <w:r>
        <w:rPr>
          <w:rFonts w:hint="default" w:ascii="仿宋_GB2312"/>
          <w:snapToGrid w:val="0"/>
          <w:kern w:val="0"/>
          <w:sz w:val="32"/>
          <w:szCs w:val="32"/>
          <w:highlight w:val="none"/>
          <w:u w:val="none"/>
          <w:lang w:val="en-US" w:eastAsia="zh-CN"/>
        </w:rPr>
        <w:t>%</w:t>
      </w:r>
      <w:r>
        <w:rPr>
          <w:rFonts w:hint="eastAsia" w:ascii="仿宋_GB2312"/>
          <w:snapToGrid w:val="0"/>
          <w:kern w:val="0"/>
          <w:sz w:val="32"/>
          <w:szCs w:val="32"/>
          <w:highlight w:val="none"/>
          <w:u w:val="none"/>
          <w:lang w:val="en-US" w:eastAsia="zh-CN"/>
        </w:rPr>
        <w:t>，提高0.15个百分点。</w:t>
      </w:r>
    </w:p>
    <w:p>
      <w:pPr>
        <w:keepNext w:val="0"/>
        <w:keepLines w:val="0"/>
        <w:pageBreakBefore w:val="0"/>
        <w:kinsoku/>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w:t>
      </w:r>
      <w:r>
        <w:rPr>
          <w:rFonts w:hint="eastAsia" w:ascii="黑体" w:hAnsi="黑体" w:eastAsia="黑体" w:cs="黑体"/>
          <w:bCs/>
          <w:snapToGrid w:val="0"/>
          <w:kern w:val="0"/>
          <w:sz w:val="32"/>
          <w:szCs w:val="32"/>
          <w:highlight w:val="none"/>
          <w:u w:val="none"/>
          <w:lang w:val="en-US" w:eastAsia="zh-CN"/>
        </w:rPr>
        <w:t>5</w:t>
      </w:r>
      <w:r>
        <w:rPr>
          <w:rFonts w:hint="eastAsia" w:ascii="黑体" w:hAnsi="黑体" w:eastAsia="黑体" w:cs="黑体"/>
          <w:bCs/>
          <w:snapToGrid w:val="0"/>
          <w:kern w:val="0"/>
          <w:sz w:val="32"/>
          <w:szCs w:val="32"/>
          <w:highlight w:val="none"/>
          <w:u w:val="none"/>
        </w:rPr>
        <w:t xml:space="preserve">  20</w:t>
      </w:r>
      <w:r>
        <w:rPr>
          <w:rFonts w:hint="eastAsia" w:ascii="黑体" w:hAnsi="黑体" w:eastAsia="黑体" w:cs="黑体"/>
          <w:bCs/>
          <w:snapToGrid w:val="0"/>
          <w:kern w:val="0"/>
          <w:sz w:val="32"/>
          <w:szCs w:val="32"/>
          <w:highlight w:val="none"/>
          <w:u w:val="none"/>
          <w:lang w:val="en-US" w:eastAsia="zh-CN"/>
        </w:rPr>
        <w:t>21</w:t>
      </w:r>
      <w:r>
        <w:rPr>
          <w:rFonts w:hint="eastAsia" w:ascii="黑体" w:hAnsi="黑体" w:eastAsia="黑体" w:cs="黑体"/>
          <w:bCs/>
          <w:snapToGrid w:val="0"/>
          <w:kern w:val="0"/>
          <w:sz w:val="32"/>
          <w:szCs w:val="32"/>
          <w:highlight w:val="none"/>
          <w:u w:val="none"/>
        </w:rPr>
        <w:t>年规模以上工业企业利润</w:t>
      </w:r>
      <w:r>
        <w:rPr>
          <w:rFonts w:hint="eastAsia" w:ascii="黑体" w:hAnsi="黑体" w:eastAsia="黑体" w:cs="黑体"/>
          <w:bCs/>
          <w:snapToGrid w:val="0"/>
          <w:kern w:val="0"/>
          <w:sz w:val="32"/>
          <w:szCs w:val="32"/>
          <w:highlight w:val="none"/>
          <w:u w:val="none"/>
          <w:lang w:eastAsia="zh-CN"/>
        </w:rPr>
        <w:t>总额</w:t>
      </w:r>
      <w:r>
        <w:rPr>
          <w:rFonts w:hint="eastAsia" w:ascii="黑体" w:hAnsi="黑体" w:eastAsia="黑体" w:cs="黑体"/>
          <w:bCs/>
          <w:snapToGrid w:val="0"/>
          <w:kern w:val="0"/>
          <w:sz w:val="32"/>
          <w:szCs w:val="32"/>
          <w:highlight w:val="none"/>
          <w:u w:val="none"/>
        </w:rPr>
        <w:t>及增长速度</w:t>
      </w:r>
    </w:p>
    <w:tbl>
      <w:tblPr>
        <w:tblStyle w:val="10"/>
        <w:tblW w:w="868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01"/>
        <w:gridCol w:w="2057"/>
        <w:gridCol w:w="212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jc w:val="center"/>
        </w:trPr>
        <w:tc>
          <w:tcPr>
            <w:tcW w:w="4501" w:type="dxa"/>
            <w:tcBorders>
              <w:top w:val="single" w:color="000000" w:sz="4" w:space="0"/>
              <w:left w:val="nil"/>
              <w:bottom w:val="single" w:color="000000" w:sz="4" w:space="0"/>
              <w:right w:val="single" w:color="000000" w:sz="4" w:space="0"/>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outlineLvl w:val="9"/>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指标</w:t>
            </w:r>
          </w:p>
        </w:tc>
        <w:tc>
          <w:tcPr>
            <w:tcW w:w="2057" w:type="dxa"/>
            <w:tcBorders>
              <w:top w:val="single" w:color="000000" w:sz="4" w:space="0"/>
              <w:left w:val="single" w:color="000000" w:sz="4" w:space="0"/>
              <w:bottom w:val="single" w:color="000000" w:sz="4" w:space="0"/>
              <w:right w:val="single" w:color="000000" w:sz="4" w:space="0"/>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outlineLvl w:val="9"/>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利润总额（亿元）</w:t>
            </w:r>
          </w:p>
        </w:tc>
        <w:tc>
          <w:tcPr>
            <w:tcW w:w="2122" w:type="dxa"/>
            <w:tcBorders>
              <w:top w:val="single" w:color="000000" w:sz="4" w:space="0"/>
              <w:left w:val="single" w:color="000000" w:sz="4" w:space="0"/>
              <w:bottom w:val="single" w:color="000000" w:sz="4" w:space="0"/>
              <w:right w:val="nil"/>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outlineLvl w:val="9"/>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比上年增长（%）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jc w:val="center"/>
        </w:trPr>
        <w:tc>
          <w:tcPr>
            <w:tcW w:w="4501" w:type="dxa"/>
            <w:tcBorders>
              <w:top w:val="single" w:color="000000" w:sz="4" w:space="0"/>
              <w:left w:val="nil"/>
              <w:bottom w:val="nil"/>
              <w:right w:val="single" w:color="000000" w:sz="4" w:space="0"/>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left"/>
              <w:textAlignment w:val="auto"/>
              <w:outlineLvl w:val="9"/>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规模以上工业</w:t>
            </w:r>
          </w:p>
        </w:tc>
        <w:tc>
          <w:tcPr>
            <w:tcW w:w="2057" w:type="dxa"/>
            <w:tcBorders>
              <w:top w:val="single" w:color="000000" w:sz="4" w:space="0"/>
              <w:left w:val="single" w:color="000000" w:sz="4" w:space="0"/>
              <w:bottom w:val="nil"/>
              <w:right w:val="single" w:color="000000" w:sz="4" w:space="0"/>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10927.55 </w:t>
            </w:r>
          </w:p>
        </w:tc>
        <w:tc>
          <w:tcPr>
            <w:tcW w:w="2122" w:type="dxa"/>
            <w:tcBorders>
              <w:top w:val="single" w:color="000000" w:sz="4" w:space="0"/>
              <w:left w:val="single" w:color="000000" w:sz="4" w:space="0"/>
              <w:bottom w:val="nil"/>
              <w:right w:val="nil"/>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16.1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4501" w:type="dxa"/>
            <w:tcBorders>
              <w:top w:val="nil"/>
              <w:left w:val="nil"/>
              <w:bottom w:val="nil"/>
              <w:right w:val="single" w:color="000000" w:sz="4" w:space="0"/>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left"/>
              <w:textAlignment w:val="auto"/>
              <w:outlineLvl w:val="9"/>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其中：国有控股企业</w:t>
            </w:r>
          </w:p>
        </w:tc>
        <w:tc>
          <w:tcPr>
            <w:tcW w:w="2057" w:type="dxa"/>
            <w:tcBorders>
              <w:top w:val="nil"/>
              <w:left w:val="single" w:color="000000" w:sz="4" w:space="0"/>
              <w:bottom w:val="nil"/>
              <w:right w:val="single" w:color="000000" w:sz="4" w:space="0"/>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1541.83 </w:t>
            </w:r>
          </w:p>
        </w:tc>
        <w:tc>
          <w:tcPr>
            <w:tcW w:w="2122" w:type="dxa"/>
            <w:tcBorders>
              <w:top w:val="nil"/>
              <w:left w:val="single" w:color="000000" w:sz="4" w:space="0"/>
              <w:bottom w:val="nil"/>
              <w:right w:val="nil"/>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21.3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4501" w:type="dxa"/>
            <w:tcBorders>
              <w:top w:val="nil"/>
              <w:left w:val="nil"/>
              <w:bottom w:val="nil"/>
              <w:right w:val="single" w:color="000000" w:sz="4" w:space="0"/>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left"/>
              <w:textAlignment w:val="auto"/>
              <w:outlineLvl w:val="9"/>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集体企业</w:t>
            </w:r>
          </w:p>
        </w:tc>
        <w:tc>
          <w:tcPr>
            <w:tcW w:w="2057" w:type="dxa"/>
            <w:tcBorders>
              <w:top w:val="nil"/>
              <w:left w:val="single" w:color="000000" w:sz="4" w:space="0"/>
              <w:bottom w:val="nil"/>
              <w:right w:val="single" w:color="000000" w:sz="4" w:space="0"/>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2.73 </w:t>
            </w:r>
          </w:p>
        </w:tc>
        <w:tc>
          <w:tcPr>
            <w:tcW w:w="2122" w:type="dxa"/>
            <w:tcBorders>
              <w:top w:val="nil"/>
              <w:left w:val="single" w:color="000000" w:sz="4" w:space="0"/>
              <w:bottom w:val="nil"/>
              <w:right w:val="nil"/>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-9.6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4501" w:type="dxa"/>
            <w:tcBorders>
              <w:top w:val="nil"/>
              <w:left w:val="nil"/>
              <w:bottom w:val="nil"/>
              <w:right w:val="single" w:color="000000" w:sz="4" w:space="0"/>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left"/>
              <w:textAlignment w:val="auto"/>
              <w:outlineLvl w:val="9"/>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股份制企业</w:t>
            </w:r>
          </w:p>
        </w:tc>
        <w:tc>
          <w:tcPr>
            <w:tcW w:w="2057" w:type="dxa"/>
            <w:tcBorders>
              <w:top w:val="nil"/>
              <w:left w:val="single" w:color="000000" w:sz="4" w:space="0"/>
              <w:bottom w:val="nil"/>
              <w:right w:val="single" w:color="000000" w:sz="4" w:space="0"/>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6845.21 </w:t>
            </w:r>
          </w:p>
        </w:tc>
        <w:tc>
          <w:tcPr>
            <w:tcW w:w="2122" w:type="dxa"/>
            <w:tcBorders>
              <w:top w:val="nil"/>
              <w:left w:val="single" w:color="000000" w:sz="4" w:space="0"/>
              <w:bottom w:val="nil"/>
              <w:right w:val="nil"/>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19.3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4501" w:type="dxa"/>
            <w:tcBorders>
              <w:top w:val="nil"/>
              <w:left w:val="nil"/>
              <w:bottom w:val="nil"/>
              <w:right w:val="single" w:color="000000" w:sz="4" w:space="0"/>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left"/>
              <w:textAlignment w:val="auto"/>
              <w:outlineLvl w:val="9"/>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外商及港澳台投资企业</w:t>
            </w:r>
          </w:p>
        </w:tc>
        <w:tc>
          <w:tcPr>
            <w:tcW w:w="2057" w:type="dxa"/>
            <w:tcBorders>
              <w:top w:val="nil"/>
              <w:left w:val="single" w:color="000000" w:sz="4" w:space="0"/>
              <w:bottom w:val="nil"/>
              <w:right w:val="single" w:color="000000" w:sz="4" w:space="0"/>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3974.07 </w:t>
            </w:r>
          </w:p>
        </w:tc>
        <w:tc>
          <w:tcPr>
            <w:tcW w:w="2122" w:type="dxa"/>
            <w:tcBorders>
              <w:top w:val="nil"/>
              <w:left w:val="single" w:color="000000" w:sz="4" w:space="0"/>
              <w:bottom w:val="nil"/>
              <w:right w:val="nil"/>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10.9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4501" w:type="dxa"/>
            <w:tcBorders>
              <w:top w:val="nil"/>
              <w:left w:val="nil"/>
              <w:bottom w:val="nil"/>
              <w:right w:val="single" w:color="000000" w:sz="4" w:space="0"/>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225" w:firstLineChars="100"/>
              <w:jc w:val="left"/>
              <w:textAlignment w:val="auto"/>
              <w:outlineLvl w:val="9"/>
              <w:rPr>
                <w:rFonts w:hint="eastAsia" w:ascii="宋体" w:hAnsi="宋体" w:eastAsia="宋体" w:cs="宋体"/>
                <w:bCs/>
                <w:sz w:val="21"/>
                <w:szCs w:val="21"/>
                <w:highlight w:val="none"/>
                <w:u w:val="none"/>
                <w:lang w:eastAsia="zh-CN"/>
              </w:rPr>
            </w:pPr>
            <w:r>
              <w:rPr>
                <w:rFonts w:hint="eastAsia" w:ascii="宋体" w:hAnsi="宋体" w:eastAsia="宋体" w:cs="宋体"/>
                <w:bCs/>
                <w:sz w:val="21"/>
                <w:szCs w:val="21"/>
                <w:highlight w:val="none"/>
                <w:u w:val="none"/>
                <w:lang w:eastAsia="zh-CN"/>
              </w:rPr>
              <w:t>其中：计算机、通信和其他电子设备制造业</w:t>
            </w:r>
          </w:p>
        </w:tc>
        <w:tc>
          <w:tcPr>
            <w:tcW w:w="2057" w:type="dxa"/>
            <w:tcBorders>
              <w:top w:val="nil"/>
              <w:left w:val="single" w:color="000000" w:sz="4" w:space="0"/>
              <w:bottom w:val="nil"/>
              <w:right w:val="single" w:color="000000" w:sz="4" w:space="0"/>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3119.52 </w:t>
            </w:r>
          </w:p>
        </w:tc>
        <w:tc>
          <w:tcPr>
            <w:tcW w:w="2122" w:type="dxa"/>
            <w:tcBorders>
              <w:top w:val="nil"/>
              <w:left w:val="single" w:color="000000" w:sz="4" w:space="0"/>
              <w:bottom w:val="nil"/>
              <w:right w:val="nil"/>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35.2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4501" w:type="dxa"/>
            <w:tcBorders>
              <w:top w:val="nil"/>
              <w:left w:val="nil"/>
              <w:bottom w:val="nil"/>
              <w:right w:val="single" w:color="000000" w:sz="4" w:space="0"/>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900" w:firstLineChars="400"/>
              <w:jc w:val="left"/>
              <w:textAlignment w:val="auto"/>
              <w:outlineLvl w:val="9"/>
              <w:rPr>
                <w:rFonts w:hint="eastAsia" w:ascii="宋体" w:hAnsi="宋体" w:eastAsia="宋体" w:cs="宋体"/>
                <w:bCs/>
                <w:sz w:val="21"/>
                <w:szCs w:val="21"/>
                <w:highlight w:val="none"/>
                <w:u w:val="none"/>
                <w:lang w:eastAsia="zh-CN"/>
              </w:rPr>
            </w:pPr>
            <w:r>
              <w:rPr>
                <w:rFonts w:hint="eastAsia" w:ascii="宋体" w:hAnsi="宋体" w:eastAsia="宋体" w:cs="宋体"/>
                <w:bCs/>
                <w:sz w:val="21"/>
                <w:szCs w:val="21"/>
                <w:highlight w:val="none"/>
                <w:u w:val="none"/>
                <w:lang w:eastAsia="zh-CN"/>
              </w:rPr>
              <w:t>电气机械和器材制造业</w:t>
            </w:r>
          </w:p>
        </w:tc>
        <w:tc>
          <w:tcPr>
            <w:tcW w:w="2057" w:type="dxa"/>
            <w:tcBorders>
              <w:top w:val="nil"/>
              <w:left w:val="single" w:color="000000" w:sz="4" w:space="0"/>
              <w:bottom w:val="nil"/>
              <w:right w:val="single" w:color="000000" w:sz="4" w:space="0"/>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1326.37 </w:t>
            </w:r>
          </w:p>
        </w:tc>
        <w:tc>
          <w:tcPr>
            <w:tcW w:w="2122" w:type="dxa"/>
            <w:tcBorders>
              <w:top w:val="nil"/>
              <w:left w:val="single" w:color="000000" w:sz="4" w:space="0"/>
              <w:bottom w:val="nil"/>
              <w:right w:val="nil"/>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9.8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jc w:val="center"/>
        </w:trPr>
        <w:tc>
          <w:tcPr>
            <w:tcW w:w="4501" w:type="dxa"/>
            <w:tcBorders>
              <w:top w:val="nil"/>
              <w:left w:val="nil"/>
              <w:bottom w:val="nil"/>
              <w:right w:val="single" w:color="000000" w:sz="4" w:space="0"/>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900" w:firstLineChars="400"/>
              <w:jc w:val="left"/>
              <w:textAlignment w:val="auto"/>
              <w:outlineLvl w:val="9"/>
              <w:rPr>
                <w:rFonts w:hint="eastAsia" w:ascii="宋体" w:hAnsi="宋体" w:eastAsia="宋体" w:cs="宋体"/>
                <w:bCs/>
                <w:sz w:val="21"/>
                <w:szCs w:val="21"/>
                <w:highlight w:val="none"/>
                <w:u w:val="none"/>
                <w:lang w:eastAsia="zh-CN"/>
              </w:rPr>
            </w:pPr>
            <w:r>
              <w:rPr>
                <w:rFonts w:hint="eastAsia" w:ascii="宋体" w:hAnsi="宋体" w:eastAsia="宋体" w:cs="宋体"/>
                <w:bCs/>
                <w:sz w:val="21"/>
                <w:szCs w:val="21"/>
                <w:highlight w:val="none"/>
                <w:u w:val="none"/>
                <w:lang w:eastAsia="zh-CN"/>
              </w:rPr>
              <w:t>汽车制造业</w:t>
            </w:r>
          </w:p>
        </w:tc>
        <w:tc>
          <w:tcPr>
            <w:tcW w:w="2057" w:type="dxa"/>
            <w:tcBorders>
              <w:top w:val="nil"/>
              <w:left w:val="single" w:color="000000" w:sz="4" w:space="0"/>
              <w:bottom w:val="nil"/>
              <w:right w:val="single" w:color="000000" w:sz="4" w:space="0"/>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582.27 </w:t>
            </w:r>
          </w:p>
        </w:tc>
        <w:tc>
          <w:tcPr>
            <w:tcW w:w="2122" w:type="dxa"/>
            <w:tcBorders>
              <w:top w:val="nil"/>
              <w:left w:val="single" w:color="000000" w:sz="4" w:space="0"/>
              <w:bottom w:val="nil"/>
              <w:right w:val="nil"/>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-4.3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jc w:val="center"/>
        </w:trPr>
        <w:tc>
          <w:tcPr>
            <w:tcW w:w="4501" w:type="dxa"/>
            <w:tcBorders>
              <w:top w:val="nil"/>
              <w:left w:val="nil"/>
              <w:bottom w:val="single" w:color="auto" w:sz="4" w:space="0"/>
              <w:right w:val="single" w:color="000000" w:sz="4" w:space="0"/>
            </w:tcBorders>
            <w:tcMar>
              <w:top w:w="20" w:type="dxa"/>
              <w:left w:w="20" w:type="dxa"/>
              <w:bottom w:w="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900" w:firstLineChars="400"/>
              <w:jc w:val="left"/>
              <w:textAlignment w:val="auto"/>
              <w:outlineLvl w:val="9"/>
              <w:rPr>
                <w:rFonts w:hint="eastAsia" w:ascii="宋体" w:hAnsi="宋体" w:eastAsia="宋体" w:cs="宋体"/>
                <w:bCs/>
                <w:sz w:val="21"/>
                <w:szCs w:val="21"/>
                <w:highlight w:val="none"/>
                <w:u w:val="none"/>
                <w:lang w:eastAsia="zh-CN"/>
              </w:rPr>
            </w:pPr>
            <w:r>
              <w:rPr>
                <w:rFonts w:hint="eastAsia" w:ascii="宋体" w:hAnsi="宋体" w:eastAsia="宋体" w:cs="宋体"/>
                <w:bCs/>
                <w:sz w:val="21"/>
                <w:szCs w:val="21"/>
                <w:highlight w:val="none"/>
                <w:u w:val="none"/>
                <w:lang w:eastAsia="zh-CN"/>
              </w:rPr>
              <w:t>电力、热力生产和供应业</w:t>
            </w:r>
          </w:p>
        </w:tc>
        <w:tc>
          <w:tcPr>
            <w:tcW w:w="2057" w:type="dxa"/>
            <w:tcBorders>
              <w:top w:val="nil"/>
              <w:left w:val="single" w:color="000000" w:sz="4" w:space="0"/>
              <w:bottom w:val="single" w:color="auto" w:sz="4" w:space="0"/>
              <w:right w:val="single" w:color="000000" w:sz="4" w:space="0"/>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253.36 </w:t>
            </w:r>
          </w:p>
        </w:tc>
        <w:tc>
          <w:tcPr>
            <w:tcW w:w="2122" w:type="dxa"/>
            <w:tcBorders>
              <w:top w:val="nil"/>
              <w:left w:val="single" w:color="000000" w:sz="4" w:space="0"/>
              <w:bottom w:val="single" w:color="auto" w:sz="4" w:space="0"/>
              <w:right w:val="nil"/>
            </w:tcBorders>
            <w:tcMar>
              <w:top w:w="20" w:type="dxa"/>
              <w:left w:w="20" w:type="dxa"/>
              <w:bottom w:w="0" w:type="dxa"/>
              <w:right w:w="2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-51.4 </w:t>
            </w:r>
          </w:p>
        </w:tc>
      </w:tr>
    </w:tbl>
    <w:p>
      <w:pPr>
        <w:keepNext w:val="0"/>
        <w:keepLines w:val="0"/>
        <w:pageBreakBefore w:val="0"/>
        <w:kinsoku/>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全社会建筑业增加值5170.10亿元，比上年增长3.2%。全年具有资质等级的总承包和专业承包建筑企业9671个，增长16.0%；总承包和专业承包完成建筑业总产值21345.58亿元，增长15.8%；实现利润总额525.00亿元，下降3.1%；利税总额1020.65亿元，下降0.1%。</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kern w:val="0"/>
          <w:sz w:val="32"/>
          <w:szCs w:val="32"/>
          <w:highlight w:val="none"/>
          <w:u w:val="none"/>
        </w:rPr>
      </w:pPr>
      <w:r>
        <w:rPr>
          <w:rFonts w:hint="eastAsia" w:ascii="黑体" w:hAnsi="黑体" w:eastAsia="黑体" w:cs="黑体"/>
          <w:snapToGrid w:val="0"/>
          <w:kern w:val="0"/>
          <w:sz w:val="32"/>
          <w:szCs w:val="32"/>
          <w:highlight w:val="none"/>
          <w:u w:val="none"/>
        </w:rPr>
        <w:t>四、</w:t>
      </w:r>
      <w:r>
        <w:rPr>
          <w:rFonts w:hint="eastAsia" w:ascii="黑体" w:hAnsi="黑体" w:eastAsia="黑体" w:cs="黑体"/>
          <w:snapToGrid w:val="0"/>
          <w:kern w:val="0"/>
          <w:sz w:val="32"/>
          <w:szCs w:val="32"/>
          <w:highlight w:val="none"/>
          <w:u w:val="none"/>
          <w:lang w:val="en-US" w:eastAsia="zh-CN"/>
        </w:rPr>
        <w:t>服务业</w:t>
      </w:r>
    </w:p>
    <w:p>
      <w:pPr>
        <w:keepNext w:val="0"/>
        <w:keepLines w:val="0"/>
        <w:pageBreakBefore w:val="0"/>
        <w:kinsoku/>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全年批发和零售业增加值12105.50亿元，比上年增长10.6</w:t>
      </w:r>
      <w:r>
        <w:rPr>
          <w:rFonts w:hint="default" w:ascii="仿宋_GB2312"/>
          <w:snapToGrid w:val="0"/>
          <w:kern w:val="0"/>
          <w:sz w:val="32"/>
          <w:szCs w:val="32"/>
          <w:highlight w:val="none"/>
          <w:u w:val="none"/>
          <w:lang w:val="en-US" w:eastAsia="zh-CN"/>
        </w:rPr>
        <w:t>%</w:t>
      </w:r>
      <w:r>
        <w:rPr>
          <w:rFonts w:hint="eastAsia" w:ascii="仿宋_GB2312"/>
          <w:snapToGrid w:val="0"/>
          <w:kern w:val="0"/>
          <w:sz w:val="32"/>
          <w:szCs w:val="32"/>
          <w:highlight w:val="none"/>
          <w:u w:val="none"/>
          <w:lang w:val="en-US" w:eastAsia="zh-CN"/>
        </w:rPr>
        <w:t>；交通运输、仓储和邮政业增加值3957.31亿元，增长11.8</w:t>
      </w:r>
      <w:r>
        <w:rPr>
          <w:rFonts w:hint="default" w:ascii="仿宋_GB2312"/>
          <w:snapToGrid w:val="0"/>
          <w:kern w:val="0"/>
          <w:sz w:val="32"/>
          <w:szCs w:val="32"/>
          <w:highlight w:val="none"/>
          <w:u w:val="none"/>
          <w:lang w:val="en-US" w:eastAsia="zh-CN"/>
        </w:rPr>
        <w:t>%</w:t>
      </w:r>
      <w:r>
        <w:rPr>
          <w:rFonts w:hint="eastAsia" w:ascii="仿宋_GB2312"/>
          <w:snapToGrid w:val="0"/>
          <w:kern w:val="0"/>
          <w:sz w:val="32"/>
          <w:szCs w:val="32"/>
          <w:highlight w:val="none"/>
          <w:u w:val="none"/>
          <w:lang w:val="en-US" w:eastAsia="zh-CN"/>
        </w:rPr>
        <w:t>；住宿和餐饮业增加值1742.70亿元，增长10.9</w:t>
      </w:r>
      <w:r>
        <w:rPr>
          <w:rFonts w:hint="default" w:ascii="仿宋_GB2312"/>
          <w:snapToGrid w:val="0"/>
          <w:kern w:val="0"/>
          <w:sz w:val="32"/>
          <w:szCs w:val="32"/>
          <w:highlight w:val="none"/>
          <w:u w:val="none"/>
          <w:lang w:val="en-US" w:eastAsia="zh-CN"/>
        </w:rPr>
        <w:t>%</w:t>
      </w:r>
      <w:r>
        <w:rPr>
          <w:rFonts w:hint="eastAsia" w:ascii="仿宋_GB2312"/>
          <w:snapToGrid w:val="0"/>
          <w:kern w:val="0"/>
          <w:sz w:val="32"/>
          <w:szCs w:val="32"/>
          <w:highlight w:val="none"/>
          <w:u w:val="none"/>
          <w:lang w:val="en-US" w:eastAsia="zh-CN"/>
        </w:rPr>
        <w:t>；金融业增加值11058.06亿元，增长5.9</w:t>
      </w:r>
      <w:r>
        <w:rPr>
          <w:rFonts w:hint="default" w:ascii="仿宋_GB2312"/>
          <w:snapToGrid w:val="0"/>
          <w:kern w:val="0"/>
          <w:sz w:val="32"/>
          <w:szCs w:val="32"/>
          <w:highlight w:val="none"/>
          <w:u w:val="none"/>
          <w:lang w:val="en-US" w:eastAsia="zh-CN"/>
        </w:rPr>
        <w:t>%</w:t>
      </w:r>
      <w:r>
        <w:rPr>
          <w:rFonts w:hint="eastAsia" w:ascii="仿宋_GB2312"/>
          <w:snapToGrid w:val="0"/>
          <w:kern w:val="0"/>
          <w:sz w:val="32"/>
          <w:szCs w:val="32"/>
          <w:highlight w:val="none"/>
          <w:u w:val="none"/>
          <w:lang w:val="en-US" w:eastAsia="zh-CN"/>
        </w:rPr>
        <w:t>；房地产业增加值10804.67亿元，增长3.2</w:t>
      </w:r>
      <w:r>
        <w:rPr>
          <w:rFonts w:hint="default" w:ascii="仿宋_GB2312"/>
          <w:snapToGrid w:val="0"/>
          <w:kern w:val="0"/>
          <w:sz w:val="32"/>
          <w:szCs w:val="32"/>
          <w:highlight w:val="none"/>
          <w:u w:val="none"/>
          <w:lang w:val="en-US" w:eastAsia="zh-CN"/>
        </w:rPr>
        <w:t>%</w:t>
      </w:r>
      <w:r>
        <w:rPr>
          <w:rFonts w:hint="eastAsia"/>
          <w:highlight w:val="none"/>
          <w:lang w:eastAsia="zh-CN"/>
        </w:rPr>
        <w:t>。</w:t>
      </w:r>
      <w:r>
        <w:rPr>
          <w:rFonts w:hint="eastAsia" w:ascii="仿宋_GB2312"/>
          <w:snapToGrid w:val="0"/>
          <w:kern w:val="0"/>
          <w:sz w:val="32"/>
          <w:szCs w:val="32"/>
          <w:highlight w:val="none"/>
          <w:u w:val="none"/>
          <w:lang w:val="en-US" w:eastAsia="zh-CN"/>
        </w:rPr>
        <w:t>现代服务业增加值45443.90亿元，增长6.8%。</w:t>
      </w:r>
    </w:p>
    <w:p>
      <w:pPr>
        <w:keepNext w:val="0"/>
        <w:keepLines w:val="0"/>
        <w:pageBreakBefore w:val="0"/>
        <w:kinsoku/>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color w:val="auto"/>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全年规模以上服务业企业实现营业收入42014.60亿元，比上年增长18.2%；利润总额5220.45亿元，增长3.1%。其中，战略性新兴服务业营业收入增长9.6%，高技术服务业营业收入增长14.9%。分行业看</w:t>
      </w:r>
      <w:r>
        <w:rPr>
          <w:rFonts w:hint="eastAsia" w:ascii="仿宋_GB2312"/>
          <w:snapToGrid w:val="0"/>
          <w:color w:val="auto"/>
          <w:kern w:val="0"/>
          <w:sz w:val="32"/>
          <w:szCs w:val="32"/>
          <w:highlight w:val="none"/>
          <w:u w:val="none"/>
          <w:lang w:val="en-US" w:eastAsia="zh-CN"/>
        </w:rPr>
        <w:t>，信息传输、软件和信息技术服务业营业收入增长15.5%，水利、环境和公共设施管理业增长1.4%，科学研究和技术服务业增长13.3%，卫生和社会工作增长22.2%，租赁和商务服务业增长20.2%，居民服务、修理和其他服务业增长12.0%，交通运输、仓储和邮政业增长25.5%。</w:t>
      </w:r>
    </w:p>
    <w:p>
      <w:pPr>
        <w:keepNext w:val="0"/>
        <w:keepLines w:val="0"/>
        <w:pageBreakBefore w:val="0"/>
        <w:kinsoku/>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货物运输总量398514万吨，比上年增长11.9%。货物运输周转量28388.03亿吨公里，增长2.9%。港口货物吞吐量完成209600万吨，增长3.6%。其中，外贸货物吞吐量69170万吨，增长10.5%；内贸货物吞吐量140430万吨，增长0.6%。港口集装箱吞吐量7078.20万标准箱，增长5.2%。</w:t>
      </w:r>
    </w:p>
    <w:p>
      <w:pPr>
        <w:keepNext w:val="0"/>
        <w:keepLines w:val="0"/>
        <w:pageBreakBefore w:val="0"/>
        <w:kinsoku/>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w:t>
      </w:r>
      <w:r>
        <w:rPr>
          <w:rFonts w:hint="eastAsia" w:ascii="黑体" w:hAnsi="黑体" w:eastAsia="黑体" w:cs="黑体"/>
          <w:bCs/>
          <w:snapToGrid w:val="0"/>
          <w:kern w:val="0"/>
          <w:sz w:val="32"/>
          <w:szCs w:val="32"/>
          <w:highlight w:val="none"/>
          <w:u w:val="none"/>
          <w:lang w:val="en-US" w:eastAsia="zh-CN"/>
        </w:rPr>
        <w:t>6</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val="en-US" w:eastAsia="zh-CN"/>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年各种运输方式完成货物运输量</w:t>
      </w:r>
      <w:r>
        <w:rPr>
          <w:rFonts w:hint="eastAsia" w:ascii="黑体" w:hAnsi="黑体" w:eastAsia="黑体" w:cs="黑体"/>
          <w:bCs/>
          <w:snapToGrid w:val="0"/>
          <w:color w:val="000000"/>
          <w:kern w:val="0"/>
          <w:sz w:val="32"/>
          <w:szCs w:val="32"/>
          <w:highlight w:val="none"/>
          <w:u w:val="none"/>
        </w:rPr>
        <w:t>及增</w:t>
      </w:r>
      <w:r>
        <w:rPr>
          <w:rFonts w:hint="eastAsia" w:ascii="黑体" w:hAnsi="黑体" w:eastAsia="黑体" w:cs="黑体"/>
          <w:bCs/>
          <w:snapToGrid w:val="0"/>
          <w:kern w:val="0"/>
          <w:sz w:val="32"/>
          <w:szCs w:val="32"/>
          <w:highlight w:val="none"/>
          <w:u w:val="none"/>
        </w:rPr>
        <w:t>长速度</w:t>
      </w:r>
    </w:p>
    <w:tbl>
      <w:tblPr>
        <w:tblStyle w:val="10"/>
        <w:tblW w:w="8693"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517"/>
        <w:gridCol w:w="1777"/>
        <w:gridCol w:w="1980"/>
        <w:gridCol w:w="241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30" w:hRule="exact"/>
          <w:jc w:val="center"/>
        </w:trPr>
        <w:tc>
          <w:tcPr>
            <w:tcW w:w="2517"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指标</w:t>
            </w:r>
          </w:p>
        </w:tc>
        <w:tc>
          <w:tcPr>
            <w:tcW w:w="177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单位</w:t>
            </w:r>
          </w:p>
        </w:tc>
        <w:tc>
          <w:tcPr>
            <w:tcW w:w="19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绝对数</w:t>
            </w:r>
          </w:p>
        </w:tc>
        <w:tc>
          <w:tcPr>
            <w:tcW w:w="2419" w:type="dxa"/>
            <w:tcBorders>
              <w:top w:val="single" w:color="000000" w:sz="4" w:space="0"/>
              <w:left w:val="single" w:color="000000" w:sz="4" w:space="0"/>
              <w:bottom w:val="single" w:color="000000" w:sz="4" w:space="0"/>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比上年增长（%）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single" w:color="000000" w:sz="4" w:space="0"/>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货物运输总量</w:t>
            </w:r>
          </w:p>
        </w:tc>
        <w:tc>
          <w:tcPr>
            <w:tcW w:w="1777" w:type="dxa"/>
            <w:tcBorders>
              <w:top w:val="single" w:color="000000" w:sz="4" w:space="0"/>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980" w:type="dxa"/>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398514</w:t>
            </w:r>
          </w:p>
        </w:tc>
        <w:tc>
          <w:tcPr>
            <w:tcW w:w="2419" w:type="dxa"/>
            <w:tcBorders>
              <w:top w:val="single" w:color="000000" w:sz="4" w:space="0"/>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11.9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铁路</w:t>
            </w:r>
          </w:p>
        </w:tc>
        <w:tc>
          <w:tcPr>
            <w:tcW w:w="1777"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980"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9919</w:t>
            </w:r>
          </w:p>
        </w:tc>
        <w:tc>
          <w:tcPr>
            <w:tcW w:w="2419"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26.4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公路</w:t>
            </w:r>
          </w:p>
        </w:tc>
        <w:tc>
          <w:tcPr>
            <w:tcW w:w="1777"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980"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267489</w:t>
            </w:r>
          </w:p>
        </w:tc>
        <w:tc>
          <w:tcPr>
            <w:tcW w:w="2419"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15.7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水路</w:t>
            </w:r>
          </w:p>
        </w:tc>
        <w:tc>
          <w:tcPr>
            <w:tcW w:w="1777"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980"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107206</w:t>
            </w:r>
          </w:p>
        </w:tc>
        <w:tc>
          <w:tcPr>
            <w:tcW w:w="2419"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民航</w:t>
            </w:r>
          </w:p>
        </w:tc>
        <w:tc>
          <w:tcPr>
            <w:tcW w:w="1777"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980"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241</w:t>
            </w:r>
          </w:p>
        </w:tc>
        <w:tc>
          <w:tcPr>
            <w:tcW w:w="2419"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管道</w:t>
            </w:r>
          </w:p>
        </w:tc>
        <w:tc>
          <w:tcPr>
            <w:tcW w:w="1777"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1980"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13658</w:t>
            </w:r>
          </w:p>
        </w:tc>
        <w:tc>
          <w:tcPr>
            <w:tcW w:w="2419"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货物运输周转量</w:t>
            </w:r>
          </w:p>
        </w:tc>
        <w:tc>
          <w:tcPr>
            <w:tcW w:w="1777"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亿吨公里</w:t>
            </w:r>
          </w:p>
        </w:tc>
        <w:tc>
          <w:tcPr>
            <w:tcW w:w="1980"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28388.03</w:t>
            </w:r>
          </w:p>
        </w:tc>
        <w:tc>
          <w:tcPr>
            <w:tcW w:w="2419"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铁路</w:t>
            </w:r>
          </w:p>
        </w:tc>
        <w:tc>
          <w:tcPr>
            <w:tcW w:w="1777"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亿吨公里</w:t>
            </w:r>
          </w:p>
        </w:tc>
        <w:tc>
          <w:tcPr>
            <w:tcW w:w="1980"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356.53</w:t>
            </w:r>
          </w:p>
        </w:tc>
        <w:tc>
          <w:tcPr>
            <w:tcW w:w="2419"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28.0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公路</w:t>
            </w:r>
          </w:p>
        </w:tc>
        <w:tc>
          <w:tcPr>
            <w:tcW w:w="1777"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亿吨公里</w:t>
            </w:r>
          </w:p>
        </w:tc>
        <w:tc>
          <w:tcPr>
            <w:tcW w:w="1980"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2980.46</w:t>
            </w:r>
          </w:p>
        </w:tc>
        <w:tc>
          <w:tcPr>
            <w:tcW w:w="2419"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18.1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水路</w:t>
            </w:r>
          </w:p>
        </w:tc>
        <w:tc>
          <w:tcPr>
            <w:tcW w:w="1777"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亿吨公里</w:t>
            </w:r>
          </w:p>
        </w:tc>
        <w:tc>
          <w:tcPr>
            <w:tcW w:w="1980"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24688.52</w:t>
            </w:r>
          </w:p>
        </w:tc>
        <w:tc>
          <w:tcPr>
            <w:tcW w:w="2419"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民航</w:t>
            </w:r>
          </w:p>
        </w:tc>
        <w:tc>
          <w:tcPr>
            <w:tcW w:w="1777"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亿吨公里</w:t>
            </w:r>
          </w:p>
        </w:tc>
        <w:tc>
          <w:tcPr>
            <w:tcW w:w="1980"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92.29</w:t>
            </w:r>
          </w:p>
        </w:tc>
        <w:tc>
          <w:tcPr>
            <w:tcW w:w="2419"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7.4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2517" w:type="dxa"/>
            <w:tcBorders>
              <w:top w:val="nil"/>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管道</w:t>
            </w:r>
          </w:p>
        </w:tc>
        <w:tc>
          <w:tcPr>
            <w:tcW w:w="1777" w:type="dxa"/>
            <w:tcBorders>
              <w:top w:val="nil"/>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亿吨公里</w:t>
            </w:r>
          </w:p>
        </w:tc>
        <w:tc>
          <w:tcPr>
            <w:tcW w:w="1980" w:type="dxa"/>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270.22</w:t>
            </w:r>
          </w:p>
        </w:tc>
        <w:tc>
          <w:tcPr>
            <w:tcW w:w="2419" w:type="dxa"/>
            <w:tcBorders>
              <w:top w:val="nil"/>
              <w:left w:val="single" w:color="000000" w:sz="4" w:space="0"/>
              <w:bottom w:val="single" w:color="000000" w:sz="4" w:space="0"/>
              <w:right w:val="nil"/>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-4.1</w:t>
            </w:r>
          </w:p>
        </w:tc>
      </w:tr>
    </w:tbl>
    <w:p>
      <w:pPr>
        <w:keepNext w:val="0"/>
        <w:keepLines w:val="0"/>
        <w:pageBreakBefore w:val="0"/>
        <w:widowControl w:val="0"/>
        <w:kinsoku/>
        <w:wordWrap/>
        <w:overflowPunct/>
        <w:topLinePunct w:val="0"/>
        <w:autoSpaceDE/>
        <w:autoSpaceDN/>
        <w:bidi w:val="0"/>
        <w:adjustRightInd w:val="0"/>
        <w:snapToGrid/>
        <w:spacing w:line="240" w:lineRule="exact"/>
        <w:ind w:firstLine="646"/>
        <w:jc w:val="center"/>
        <w:textAlignment w:val="auto"/>
        <w:rPr>
          <w:rFonts w:hint="eastAsia" w:ascii="仿宋_GB2312" w:hAnsi="仿宋_GB2312" w:eastAsia="仿宋_GB2312" w:cs="仿宋_GB2312"/>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全年旅客运输总量62126万人，比上年下降29.2%。旅客运输周转量2352.19亿人公里，下降10.1%。</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w:t>
      </w:r>
      <w:r>
        <w:rPr>
          <w:rFonts w:hint="eastAsia" w:ascii="黑体" w:hAnsi="黑体" w:eastAsia="黑体" w:cs="黑体"/>
          <w:bCs/>
          <w:snapToGrid w:val="0"/>
          <w:kern w:val="0"/>
          <w:sz w:val="32"/>
          <w:szCs w:val="32"/>
          <w:highlight w:val="none"/>
          <w:u w:val="none"/>
          <w:lang w:val="en-US" w:eastAsia="zh-CN"/>
        </w:rPr>
        <w:t xml:space="preserve">7 </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年各种运输方式完成旅客运输量及增长速度</w:t>
      </w:r>
    </w:p>
    <w:tbl>
      <w:tblPr>
        <w:tblStyle w:val="10"/>
        <w:tblW w:w="8607"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531"/>
        <w:gridCol w:w="1784"/>
        <w:gridCol w:w="2020"/>
        <w:gridCol w:w="227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56" w:hRule="exact"/>
          <w:jc w:val="center"/>
        </w:trPr>
        <w:tc>
          <w:tcPr>
            <w:tcW w:w="253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指标</w:t>
            </w:r>
          </w:p>
        </w:tc>
        <w:tc>
          <w:tcPr>
            <w:tcW w:w="178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单位</w:t>
            </w:r>
          </w:p>
        </w:tc>
        <w:tc>
          <w:tcPr>
            <w:tcW w:w="20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绝对数</w:t>
            </w:r>
          </w:p>
        </w:tc>
        <w:tc>
          <w:tcPr>
            <w:tcW w:w="2272"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比上年增长（%）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2531" w:type="dxa"/>
            <w:tcBorders>
              <w:top w:val="single" w:color="000000" w:sz="4" w:space="0"/>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旅客运输总量</w:t>
            </w:r>
          </w:p>
        </w:tc>
        <w:tc>
          <w:tcPr>
            <w:tcW w:w="1784" w:type="dxa"/>
            <w:tcBorders>
              <w:top w:val="single" w:color="000000" w:sz="4" w:space="0"/>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万人</w:t>
            </w:r>
          </w:p>
        </w:tc>
        <w:tc>
          <w:tcPr>
            <w:tcW w:w="2020" w:type="dxa"/>
            <w:tcBorders>
              <w:top w:val="single" w:color="000000" w:sz="4" w:space="0"/>
              <w:left w:val="single" w:color="000000" w:sz="4" w:space="0"/>
              <w:bottom w:val="nil"/>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62126</w:t>
            </w:r>
          </w:p>
        </w:tc>
        <w:tc>
          <w:tcPr>
            <w:tcW w:w="2272" w:type="dxa"/>
            <w:tcBorders>
              <w:top w:val="single" w:color="000000" w:sz="4" w:space="0"/>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-29.2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21" w:hRule="atLeast"/>
          <w:jc w:val="center"/>
        </w:trPr>
        <w:tc>
          <w:tcPr>
            <w:tcW w:w="2531"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铁路</w:t>
            </w:r>
          </w:p>
        </w:tc>
        <w:tc>
          <w:tcPr>
            <w:tcW w:w="178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万人</w:t>
            </w:r>
          </w:p>
        </w:tc>
        <w:tc>
          <w:tcPr>
            <w:tcW w:w="2020" w:type="dxa"/>
            <w:tcBorders>
              <w:top w:val="nil"/>
              <w:left w:val="single" w:color="000000" w:sz="4" w:space="0"/>
              <w:bottom w:val="nil"/>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23977</w:t>
            </w:r>
          </w:p>
        </w:tc>
        <w:tc>
          <w:tcPr>
            <w:tcW w:w="2272"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6.1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21" w:hRule="atLeast"/>
          <w:jc w:val="center"/>
        </w:trPr>
        <w:tc>
          <w:tcPr>
            <w:tcW w:w="2531"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lang w:eastAsia="zh-CN"/>
              </w:rPr>
            </w:pPr>
            <w:r>
              <w:rPr>
                <w:rFonts w:hint="eastAsia" w:ascii="宋体" w:hAnsi="宋体" w:eastAsia="宋体" w:cs="宋体"/>
                <w:bCs/>
                <w:sz w:val="21"/>
                <w:szCs w:val="21"/>
                <w:highlight w:val="none"/>
                <w:u w:val="none"/>
                <w:lang w:val="en-US" w:eastAsia="zh-CN"/>
              </w:rPr>
              <w:t xml:space="preserve">            </w:t>
            </w:r>
            <w:r>
              <w:rPr>
                <w:rFonts w:hint="eastAsia" w:ascii="宋体" w:hAnsi="宋体" w:eastAsia="宋体" w:cs="宋体"/>
                <w:bCs/>
                <w:sz w:val="21"/>
                <w:szCs w:val="21"/>
                <w:highlight w:val="none"/>
                <w:u w:val="none"/>
                <w:lang w:eastAsia="zh-CN"/>
              </w:rPr>
              <w:t>其中：高铁</w:t>
            </w:r>
          </w:p>
        </w:tc>
        <w:tc>
          <w:tcPr>
            <w:tcW w:w="178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lang w:eastAsia="zh-CN"/>
              </w:rPr>
            </w:pPr>
            <w:r>
              <w:rPr>
                <w:rFonts w:hint="eastAsia" w:ascii="宋体" w:hAnsi="宋体" w:eastAsia="宋体" w:cs="宋体"/>
                <w:bCs/>
                <w:sz w:val="21"/>
                <w:szCs w:val="21"/>
                <w:highlight w:val="none"/>
                <w:u w:val="none"/>
                <w:lang w:eastAsia="zh-CN"/>
              </w:rPr>
              <w:t>万人</w:t>
            </w:r>
          </w:p>
        </w:tc>
        <w:tc>
          <w:tcPr>
            <w:tcW w:w="2020" w:type="dxa"/>
            <w:tcBorders>
              <w:top w:val="nil"/>
              <w:left w:val="single" w:color="000000" w:sz="4" w:space="0"/>
              <w:bottom w:val="nil"/>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20313</w:t>
            </w:r>
          </w:p>
        </w:tc>
        <w:tc>
          <w:tcPr>
            <w:tcW w:w="2272"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7.3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21" w:hRule="atLeast"/>
          <w:jc w:val="center"/>
        </w:trPr>
        <w:tc>
          <w:tcPr>
            <w:tcW w:w="2531"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公路</w:t>
            </w:r>
          </w:p>
        </w:tc>
        <w:tc>
          <w:tcPr>
            <w:tcW w:w="178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万人</w:t>
            </w:r>
          </w:p>
        </w:tc>
        <w:tc>
          <w:tcPr>
            <w:tcW w:w="2020" w:type="dxa"/>
            <w:tcBorders>
              <w:top w:val="nil"/>
              <w:left w:val="single" w:color="000000" w:sz="4" w:space="0"/>
              <w:bottom w:val="nil"/>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27567</w:t>
            </w:r>
          </w:p>
        </w:tc>
        <w:tc>
          <w:tcPr>
            <w:tcW w:w="2272"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-49.8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21" w:hRule="atLeast"/>
          <w:jc w:val="center"/>
        </w:trPr>
        <w:tc>
          <w:tcPr>
            <w:tcW w:w="2531"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水路</w:t>
            </w:r>
          </w:p>
        </w:tc>
        <w:tc>
          <w:tcPr>
            <w:tcW w:w="178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万人</w:t>
            </w:r>
          </w:p>
        </w:tc>
        <w:tc>
          <w:tcPr>
            <w:tcW w:w="2020" w:type="dxa"/>
            <w:tcBorders>
              <w:top w:val="nil"/>
              <w:left w:val="single" w:color="000000" w:sz="4" w:space="0"/>
              <w:bottom w:val="nil"/>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1580</w:t>
            </w:r>
          </w:p>
        </w:tc>
        <w:tc>
          <w:tcPr>
            <w:tcW w:w="2272"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17.5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21" w:hRule="atLeast"/>
          <w:jc w:val="center"/>
        </w:trPr>
        <w:tc>
          <w:tcPr>
            <w:tcW w:w="2531"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民航</w:t>
            </w:r>
          </w:p>
        </w:tc>
        <w:tc>
          <w:tcPr>
            <w:tcW w:w="178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万人</w:t>
            </w:r>
          </w:p>
        </w:tc>
        <w:tc>
          <w:tcPr>
            <w:tcW w:w="2020" w:type="dxa"/>
            <w:tcBorders>
              <w:top w:val="nil"/>
              <w:left w:val="single" w:color="000000" w:sz="4" w:space="0"/>
              <w:bottom w:val="nil"/>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9002</w:t>
            </w:r>
          </w:p>
        </w:tc>
        <w:tc>
          <w:tcPr>
            <w:tcW w:w="2272"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2531"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旅客运输周转量</w:t>
            </w:r>
          </w:p>
        </w:tc>
        <w:tc>
          <w:tcPr>
            <w:tcW w:w="178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亿人公里</w:t>
            </w:r>
          </w:p>
        </w:tc>
        <w:tc>
          <w:tcPr>
            <w:tcW w:w="2020" w:type="dxa"/>
            <w:tcBorders>
              <w:top w:val="nil"/>
              <w:left w:val="single" w:color="000000" w:sz="4" w:space="0"/>
              <w:bottom w:val="nil"/>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2352.19</w:t>
            </w:r>
          </w:p>
        </w:tc>
        <w:tc>
          <w:tcPr>
            <w:tcW w:w="2272"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2531"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铁路</w:t>
            </w:r>
          </w:p>
        </w:tc>
        <w:tc>
          <w:tcPr>
            <w:tcW w:w="178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亿人公里</w:t>
            </w:r>
          </w:p>
        </w:tc>
        <w:tc>
          <w:tcPr>
            <w:tcW w:w="2020" w:type="dxa"/>
            <w:tcBorders>
              <w:top w:val="nil"/>
              <w:left w:val="single" w:color="000000" w:sz="4" w:space="0"/>
              <w:bottom w:val="nil"/>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670.39</w:t>
            </w:r>
          </w:p>
        </w:tc>
        <w:tc>
          <w:tcPr>
            <w:tcW w:w="2272"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6.4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2531"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 xml:space="preserve">            </w:t>
            </w:r>
            <w:r>
              <w:rPr>
                <w:rFonts w:hint="eastAsia" w:ascii="宋体" w:hAnsi="宋体" w:eastAsia="宋体" w:cs="宋体"/>
                <w:bCs/>
                <w:sz w:val="21"/>
                <w:szCs w:val="21"/>
                <w:highlight w:val="none"/>
                <w:u w:val="none"/>
                <w:lang w:eastAsia="zh-CN"/>
              </w:rPr>
              <w:t>其中：高铁</w:t>
            </w:r>
          </w:p>
        </w:tc>
        <w:tc>
          <w:tcPr>
            <w:tcW w:w="178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亿人公里</w:t>
            </w:r>
          </w:p>
        </w:tc>
        <w:tc>
          <w:tcPr>
            <w:tcW w:w="2020" w:type="dxa"/>
            <w:tcBorders>
              <w:top w:val="nil"/>
              <w:left w:val="single" w:color="000000" w:sz="4" w:space="0"/>
              <w:bottom w:val="nil"/>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497.75</w:t>
            </w:r>
          </w:p>
        </w:tc>
        <w:tc>
          <w:tcPr>
            <w:tcW w:w="2272"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2531"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公路</w:t>
            </w:r>
          </w:p>
        </w:tc>
        <w:tc>
          <w:tcPr>
            <w:tcW w:w="178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亿人公里</w:t>
            </w:r>
          </w:p>
        </w:tc>
        <w:tc>
          <w:tcPr>
            <w:tcW w:w="2020" w:type="dxa"/>
            <w:tcBorders>
              <w:top w:val="nil"/>
              <w:left w:val="single" w:color="000000" w:sz="4" w:space="0"/>
              <w:bottom w:val="nil"/>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265.96</w:t>
            </w:r>
          </w:p>
        </w:tc>
        <w:tc>
          <w:tcPr>
            <w:tcW w:w="2272"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-52.2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2531"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水路</w:t>
            </w:r>
          </w:p>
        </w:tc>
        <w:tc>
          <w:tcPr>
            <w:tcW w:w="1784" w:type="dxa"/>
            <w:tcBorders>
              <w:top w:val="nil"/>
              <w:left w:val="single" w:color="000000" w:sz="4" w:space="0"/>
              <w:bottom w:val="nil"/>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亿人公里</w:t>
            </w:r>
          </w:p>
        </w:tc>
        <w:tc>
          <w:tcPr>
            <w:tcW w:w="2020" w:type="dxa"/>
            <w:tcBorders>
              <w:top w:val="nil"/>
              <w:left w:val="single" w:color="000000" w:sz="4" w:space="0"/>
              <w:bottom w:val="nil"/>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4.51</w:t>
            </w:r>
          </w:p>
        </w:tc>
        <w:tc>
          <w:tcPr>
            <w:tcW w:w="2272"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2531" w:type="dxa"/>
            <w:tcBorders>
              <w:top w:val="nil"/>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民航</w:t>
            </w:r>
          </w:p>
        </w:tc>
        <w:tc>
          <w:tcPr>
            <w:tcW w:w="1784" w:type="dxa"/>
            <w:tcBorders>
              <w:top w:val="nil"/>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亿人公里</w:t>
            </w:r>
          </w:p>
        </w:tc>
        <w:tc>
          <w:tcPr>
            <w:tcW w:w="2020" w:type="dxa"/>
            <w:tcBorders>
              <w:top w:val="nil"/>
              <w:left w:val="single" w:color="000000" w:sz="4" w:space="0"/>
              <w:bottom w:val="single" w:color="000000" w:sz="4" w:space="0"/>
              <w:right w:val="single" w:color="000000" w:sz="4" w:space="0"/>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1411.33</w:t>
            </w:r>
          </w:p>
        </w:tc>
        <w:tc>
          <w:tcPr>
            <w:tcW w:w="2272" w:type="dxa"/>
            <w:tcBorders>
              <w:top w:val="nil"/>
              <w:left w:val="single" w:color="000000" w:sz="4" w:space="0"/>
              <w:bottom w:val="single" w:color="000000" w:sz="4" w:space="0"/>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-1.1</w:t>
            </w:r>
          </w:p>
        </w:tc>
      </w:tr>
    </w:tbl>
    <w:p>
      <w:pPr>
        <w:keepNext w:val="0"/>
        <w:keepLines w:val="0"/>
        <w:pageBreakBefore w:val="0"/>
        <w:widowControl w:val="0"/>
        <w:kinsoku/>
        <w:wordWrap/>
        <w:overflowPunct/>
        <w:topLinePunct w:val="0"/>
        <w:autoSpaceDE/>
        <w:autoSpaceDN/>
        <w:bidi w:val="0"/>
        <w:adjustRightInd w:val="0"/>
        <w:snapToGrid/>
        <w:spacing w:line="240" w:lineRule="exact"/>
        <w:ind w:firstLine="646"/>
        <w:jc w:val="center"/>
        <w:textAlignment w:val="auto"/>
        <w:rPr>
          <w:rFonts w:hint="eastAsia" w:ascii="仿宋_GB2312"/>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年末公路通车里程22.3万公里，其中高速公路里程11042公里，比上年末增长5.3%。年末铁路运营里程5278公里，其中200km/h以上标准高快速铁路运营里程2367公里。高铁客运量占全部铁路客运量比重84.7%。年末民用汽车保有量2702.55万辆，增长8.1%，其中私人汽车2366.49万辆，增长8.0%。民用轿车保有量1569.44万辆，增长7.5%，其中私人轿车1464.24万辆，增长7.7%。</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hAnsi="仿宋_GB2312" w:eastAsia="仿宋_GB2312" w:cs="仿宋_GB2312"/>
          <w:bCs/>
          <w:snapToGrid w:val="0"/>
          <w:kern w:val="0"/>
          <w:sz w:val="32"/>
          <w:szCs w:val="32"/>
          <w:highlight w:val="none"/>
          <w:u w:val="none"/>
        </w:rPr>
      </w:pPr>
      <w:r>
        <w:rPr>
          <w:rFonts w:hint="eastAsia" w:ascii="仿宋_GB2312"/>
          <w:snapToGrid w:val="0"/>
          <w:kern w:val="0"/>
          <w:sz w:val="32"/>
          <w:szCs w:val="32"/>
          <w:highlight w:val="none"/>
          <w:u w:val="none"/>
          <w:lang w:val="en-US" w:eastAsia="zh-CN"/>
        </w:rPr>
        <w:t>全年完成邮电业务总量4928.66亿元，比上年增长26.1%。其中，邮政业务总量（按2020年不变价计算）3021.10亿元，增长25.9%；快递业务量294.57亿件，增长33.4%；快递业务收入2454.34亿元，增长12.5%；电信业务总量（按2020年不变价计算）1907.55亿元，增长26.3%。年末电话总用户18340万户，增长3.8%；其中，固定电话用户2072万户，下降2.8%；移动电话用户16268万户，增长4.7%。年末（固定）互联网宽带用户4278万户，增长10.0%。年末移动互联网用户15070万户，增长5.7%。</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 xml:space="preserve">图6 </w:t>
      </w:r>
      <w:r>
        <w:rPr>
          <w:rFonts w:hint="eastAsia" w:ascii="黑体" w:hAnsi="黑体" w:eastAsia="黑体" w:cs="黑体"/>
          <w:bCs/>
          <w:snapToGrid w:val="0"/>
          <w:kern w:val="0"/>
          <w:sz w:val="32"/>
          <w:szCs w:val="32"/>
          <w:highlight w:val="none"/>
          <w:u w:val="none"/>
          <w:lang w:val="en-US" w:eastAsia="zh-CN"/>
        </w:rPr>
        <w:t xml:space="preserve"> </w:t>
      </w:r>
      <w:r>
        <w:rPr>
          <w:rFonts w:hint="eastAsia" w:ascii="黑体" w:hAnsi="黑体" w:eastAsia="黑体" w:cs="黑体"/>
          <w:bCs/>
          <w:snapToGrid w:val="0"/>
          <w:spacing w:val="-17"/>
          <w:kern w:val="0"/>
          <w:sz w:val="32"/>
          <w:szCs w:val="32"/>
          <w:highlight w:val="none"/>
          <w:u w:val="none"/>
        </w:rPr>
        <w:t>2016-2021年年末（固定）互联网宽带用户和移动互联网用户</w:t>
      </w:r>
      <w:r>
        <w:rPr>
          <w:highlight w:val="none"/>
        </w:rPr>
        <w:drawing>
          <wp:inline distT="0" distB="0" distL="114300" distR="114300">
            <wp:extent cx="5431155" cy="3851910"/>
            <wp:effectExtent l="0" t="0" r="1714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431155" cy="38519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黑体" w:hAnsi="黑体" w:eastAsia="黑体" w:cs="黑体"/>
          <w:snapToGrid w:val="0"/>
          <w:kern w:val="0"/>
          <w:sz w:val="32"/>
          <w:szCs w:val="32"/>
          <w:highlight w:val="none"/>
          <w:u w:val="none"/>
        </w:rPr>
      </w:pPr>
      <w:r>
        <w:rPr>
          <w:rFonts w:hint="eastAsia" w:ascii="黑体" w:hAnsi="黑体" w:eastAsia="黑体" w:cs="黑体"/>
          <w:snapToGrid w:val="0"/>
          <w:kern w:val="0"/>
          <w:sz w:val="32"/>
          <w:szCs w:val="32"/>
          <w:highlight w:val="none"/>
          <w:u w:val="none"/>
          <w:lang w:val="en-US" w:eastAsia="zh-CN"/>
        </w:rPr>
        <w:t>五、</w:t>
      </w:r>
      <w:r>
        <w:rPr>
          <w:rFonts w:hint="eastAsia" w:ascii="黑体" w:hAnsi="黑体" w:eastAsia="黑体" w:cs="黑体"/>
          <w:snapToGrid w:val="0"/>
          <w:kern w:val="0"/>
          <w:sz w:val="32"/>
          <w:szCs w:val="32"/>
          <w:highlight w:val="none"/>
          <w:u w:val="none"/>
        </w:rPr>
        <w:t>固定资产投资</w:t>
      </w:r>
    </w:p>
    <w:p>
      <w:pPr>
        <w:adjustRightInd w:val="0"/>
        <w:ind w:firstLine="670" w:firstLineChars="200"/>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固定资产投资比上年增长6.3%。分投资主体看，国有经济投资增长6.1%，民间投资增长7.8%，港澳台及外商投资增长15.2%。分地区看，珠三角核心区增长8.1%，东翼下降10.5%，西翼增长16.7%，北部生态发展区增长2.9%。</w:t>
      </w:r>
    </w:p>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2"/>
        <w:rPr>
          <w:rFonts w:hint="eastAsia" w:ascii="黑体" w:hAnsi="黑体" w:eastAsia="黑体" w:cs="黑体"/>
          <w:b w:val="0"/>
          <w:bCs/>
          <w:highlight w:val="none"/>
          <w:u w:val="none"/>
          <w:lang w:val="en-US" w:eastAsia="zh-CN"/>
        </w:rPr>
      </w:pPr>
      <w:r>
        <w:rPr>
          <w:rFonts w:hint="eastAsia" w:ascii="黑体" w:hAnsi="黑体" w:eastAsia="黑体" w:cs="黑体"/>
          <w:b w:val="0"/>
          <w:bCs/>
          <w:highlight w:val="none"/>
          <w:u w:val="none"/>
          <w:lang w:val="en-US" w:eastAsia="zh-CN"/>
        </w:rPr>
        <w:t>图7  2016-2021年固定资产投资增长速度</w:t>
      </w:r>
      <w:r>
        <w:rPr>
          <w:highlight w:val="none"/>
          <w:u w:val="none"/>
        </w:rPr>
        <w:drawing>
          <wp:inline distT="0" distB="0" distL="114300" distR="114300">
            <wp:extent cx="5612130" cy="3654425"/>
            <wp:effectExtent l="0" t="0" r="762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612130" cy="36544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在固定资产投资中，第一产业投资比上年增长31.8%，第二产业投资增长19.4%，第三产业投资增长2.2%。民间投资占固定资产投资比重52.9%。工业投资增长19.5%，占固定资产投资比重24.6%。基础设施投资下降2.4%，占固定资产投资比重26.3%，其中，电力、热力生产和供应业投资增长35.1%，铁路运输业投资增长15.2%，航空运输业投资增长46.6%，互联网和相关服务投资增长104.0%。高技术制造业投资增长24.8%，占固定资产投资比重6.0%。其中，电子及通信设备制造业投资增长34.4%，医疗设备及仪器仪表制造业投资增长12.8%。</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w:t>
      </w:r>
      <w:r>
        <w:rPr>
          <w:rFonts w:hint="eastAsia" w:ascii="黑体" w:hAnsi="黑体" w:eastAsia="黑体" w:cs="黑体"/>
          <w:bCs/>
          <w:snapToGrid w:val="0"/>
          <w:kern w:val="0"/>
          <w:sz w:val="32"/>
          <w:szCs w:val="32"/>
          <w:highlight w:val="none"/>
          <w:u w:val="none"/>
          <w:lang w:val="en-US" w:eastAsia="zh-CN"/>
        </w:rPr>
        <w:t>8</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年分行业固定资产投资增长速度</w:t>
      </w:r>
    </w:p>
    <w:tbl>
      <w:tblPr>
        <w:tblStyle w:val="10"/>
        <w:tblW w:w="8722"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98"/>
        <w:gridCol w:w="302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行业</w:t>
            </w:r>
          </w:p>
        </w:tc>
        <w:tc>
          <w:tcPr>
            <w:tcW w:w="3024" w:type="dxa"/>
            <w:tcBorders>
              <w:top w:val="single" w:color="000000" w:sz="4" w:space="0"/>
              <w:left w:val="single" w:color="000000" w:sz="4" w:space="0"/>
              <w:bottom w:val="single" w:color="000000" w:sz="4" w:space="0"/>
              <w:right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比上年增长（%）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single" w:color="000000" w:sz="4" w:space="0"/>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固定资产投资</w:t>
            </w:r>
          </w:p>
        </w:tc>
        <w:tc>
          <w:tcPr>
            <w:tcW w:w="3024" w:type="dxa"/>
            <w:tcBorders>
              <w:top w:val="single" w:color="000000" w:sz="4" w:space="0"/>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6.3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农、林、牧、渔业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25.6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采矿业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74.9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其中：石油和天然气开采业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14.4</w:t>
            </w:r>
            <w:r>
              <w:rPr>
                <w:rFonts w:hint="eastAsia" w:ascii="宋体" w:hAnsi="宋体" w:eastAsia="宋体" w:cs="宋体"/>
                <w:bCs/>
                <w:sz w:val="21"/>
                <w:szCs w:val="21"/>
                <w:highlight w:val="none"/>
                <w:u w:val="none"/>
              </w:rPr>
              <w:t xml:space="preserve">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制造业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18.7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其中：农副食品加工业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21.4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食品制造业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-4.6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石油、煤炭及其他燃料加工业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61.1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化学原料和化学制品制造业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58.3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非金属矿物制品业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0.8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黑色金属冶炼和压延加工业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-22.3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有色金属冶炼和压延加工业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9.7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金属制品业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17.1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通用设备制造业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7.9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专用设备制造业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34.5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bottom"/>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汽车制造业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bottom"/>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铁路、船舶、航空航天和其他运输设备制造业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30.5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电气机械和器材制造业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28.7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计算机、通信和其他电子设备制造业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28.3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电力、热力、燃气及水生产和供应业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18.1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其中：电力、热力生产和供应业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lang w:val="en-US" w:eastAsia="zh-CN"/>
              </w:rPr>
              <w:t>35.1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建筑业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-4.2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批发和零售业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-4.1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交通运输、仓储和邮政业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4.5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住宿和餐饮业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33.0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信息传输、软件和信息技术服务业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5.0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金融业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-5.1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房地产业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3.9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租赁和商务服务业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16.0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科学研究</w:t>
            </w:r>
            <w:r>
              <w:rPr>
                <w:rFonts w:hint="eastAsia" w:ascii="宋体" w:hAnsi="宋体" w:eastAsia="宋体" w:cs="宋体"/>
                <w:bCs/>
                <w:color w:val="auto"/>
                <w:sz w:val="21"/>
                <w:szCs w:val="21"/>
                <w:highlight w:val="none"/>
                <w:u w:val="none"/>
                <w:lang w:val="en-US" w:eastAsia="zh-CN"/>
              </w:rPr>
              <w:t>和</w:t>
            </w:r>
            <w:r>
              <w:rPr>
                <w:rFonts w:hint="eastAsia" w:ascii="宋体" w:hAnsi="宋体" w:eastAsia="宋体" w:cs="宋体"/>
                <w:bCs/>
                <w:color w:val="auto"/>
                <w:sz w:val="21"/>
                <w:szCs w:val="21"/>
                <w:highlight w:val="none"/>
                <w:u w:val="none"/>
              </w:rPr>
              <w:t>技术服务业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41.4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水利、环境和公共设施管理业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-17.5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居民服务、修理和其他服务业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-10.5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教育</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38.3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卫生和社会工作</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5.0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698"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文化、体育和娱乐业</w:t>
            </w:r>
          </w:p>
        </w:tc>
        <w:tc>
          <w:tcPr>
            <w:tcW w:w="3024" w:type="dxa"/>
            <w:tcBorders>
              <w:top w:val="nil"/>
              <w:left w:val="single" w:color="000000" w:sz="4" w:space="0"/>
              <w:bottom w:val="nil"/>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-3.6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9" w:hRule="atLeast"/>
          <w:jc w:val="center"/>
        </w:trPr>
        <w:tc>
          <w:tcPr>
            <w:tcW w:w="5698" w:type="dxa"/>
            <w:tcBorders>
              <w:top w:val="nil"/>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公共管理、社会保障和社会组织</w:t>
            </w:r>
          </w:p>
        </w:tc>
        <w:tc>
          <w:tcPr>
            <w:tcW w:w="3024" w:type="dxa"/>
            <w:tcBorders>
              <w:top w:val="nil"/>
              <w:left w:val="single" w:color="000000" w:sz="4" w:space="0"/>
              <w:bottom w:val="single" w:color="000000" w:sz="4" w:space="0"/>
              <w:right w:val="nil"/>
            </w:tcBorders>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rPr>
            </w:pPr>
            <w:r>
              <w:rPr>
                <w:rFonts w:hint="default" w:ascii="宋体" w:hAnsi="宋体" w:eastAsia="宋体" w:cs="宋体"/>
                <w:bCs/>
                <w:sz w:val="21"/>
                <w:szCs w:val="21"/>
                <w:highlight w:val="none"/>
                <w:u w:val="none"/>
                <w:lang w:val="en-US" w:eastAsia="zh-CN"/>
              </w:rPr>
              <w:t xml:space="preserve">-19.6 </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w:t>
      </w:r>
      <w:r>
        <w:rPr>
          <w:rFonts w:hint="eastAsia" w:ascii="黑体" w:hAnsi="黑体" w:eastAsia="黑体" w:cs="黑体"/>
          <w:bCs/>
          <w:snapToGrid w:val="0"/>
          <w:kern w:val="0"/>
          <w:sz w:val="32"/>
          <w:szCs w:val="32"/>
          <w:highlight w:val="none"/>
          <w:u w:val="none"/>
          <w:lang w:val="en-US" w:eastAsia="zh-CN"/>
        </w:rPr>
        <w:t>9</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年固定资产投资新增主要生产能力</w:t>
      </w:r>
    </w:p>
    <w:tbl>
      <w:tblPr>
        <w:tblStyle w:val="10"/>
        <w:tblW w:w="878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877"/>
        <w:gridCol w:w="1938"/>
        <w:gridCol w:w="296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4" w:hRule="atLeast"/>
          <w:jc w:val="center"/>
        </w:trPr>
        <w:tc>
          <w:tcPr>
            <w:tcW w:w="387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指标</w:t>
            </w:r>
          </w:p>
        </w:tc>
        <w:tc>
          <w:tcPr>
            <w:tcW w:w="19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单位</w:t>
            </w:r>
          </w:p>
        </w:tc>
        <w:tc>
          <w:tcPr>
            <w:tcW w:w="2965"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新增生产能力</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jc w:val="center"/>
        </w:trPr>
        <w:tc>
          <w:tcPr>
            <w:tcW w:w="3877" w:type="dxa"/>
            <w:tcBorders>
              <w:top w:val="single" w:color="000000" w:sz="4" w:space="0"/>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新增投产骨干电源装机</w:t>
            </w:r>
          </w:p>
        </w:tc>
        <w:tc>
          <w:tcPr>
            <w:tcW w:w="1938" w:type="dxa"/>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万千瓦</w:t>
            </w:r>
          </w:p>
        </w:tc>
        <w:tc>
          <w:tcPr>
            <w:tcW w:w="2965" w:type="dxa"/>
            <w:tcBorders>
              <w:top w:val="single" w:color="000000" w:sz="4" w:space="0"/>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 xml:space="preserve"> 614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jc w:val="center"/>
        </w:trPr>
        <w:tc>
          <w:tcPr>
            <w:tcW w:w="3877"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新建公路</w:t>
            </w:r>
          </w:p>
        </w:tc>
        <w:tc>
          <w:tcPr>
            <w:tcW w:w="193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公里</w:t>
            </w:r>
          </w:p>
        </w:tc>
        <w:tc>
          <w:tcPr>
            <w:tcW w:w="2965"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default"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1739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jc w:val="center"/>
        </w:trPr>
        <w:tc>
          <w:tcPr>
            <w:tcW w:w="3877"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其中：高速公路</w:t>
            </w:r>
          </w:p>
        </w:tc>
        <w:tc>
          <w:tcPr>
            <w:tcW w:w="193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公里</w:t>
            </w:r>
          </w:p>
        </w:tc>
        <w:tc>
          <w:tcPr>
            <w:tcW w:w="2965"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554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jc w:val="center"/>
        </w:trPr>
        <w:tc>
          <w:tcPr>
            <w:tcW w:w="3877"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港口万吨级码头泊位新增吞吐能力</w:t>
            </w:r>
          </w:p>
        </w:tc>
        <w:tc>
          <w:tcPr>
            <w:tcW w:w="1938"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万吨</w:t>
            </w:r>
          </w:p>
        </w:tc>
        <w:tc>
          <w:tcPr>
            <w:tcW w:w="2965" w:type="dxa"/>
            <w:tcBorders>
              <w:top w:val="nil"/>
              <w:left w:val="single" w:color="000000" w:sz="4" w:space="0"/>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4443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jc w:val="center"/>
        </w:trPr>
        <w:tc>
          <w:tcPr>
            <w:tcW w:w="3877" w:type="dxa"/>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新建</w:t>
            </w:r>
            <w:r>
              <w:rPr>
                <w:rFonts w:hint="eastAsia" w:ascii="宋体" w:hAnsi="宋体" w:eastAsia="宋体" w:cs="宋体"/>
                <w:bCs/>
                <w:sz w:val="21"/>
                <w:szCs w:val="21"/>
                <w:highlight w:val="none"/>
                <w:u w:val="none"/>
                <w:lang w:val="en-US" w:eastAsia="zh-CN"/>
              </w:rPr>
              <w:t>5</w:t>
            </w:r>
            <w:r>
              <w:rPr>
                <w:rFonts w:hint="eastAsia" w:ascii="宋体" w:hAnsi="宋体" w:eastAsia="宋体" w:cs="宋体"/>
                <w:bCs/>
                <w:sz w:val="21"/>
                <w:szCs w:val="21"/>
                <w:highlight w:val="none"/>
                <w:u w:val="none"/>
              </w:rPr>
              <w:t>G移动通信基站</w:t>
            </w:r>
          </w:p>
        </w:tc>
        <w:tc>
          <w:tcPr>
            <w:tcW w:w="1938" w:type="dxa"/>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万个</w:t>
            </w:r>
          </w:p>
        </w:tc>
        <w:tc>
          <w:tcPr>
            <w:tcW w:w="2965" w:type="dxa"/>
            <w:tcBorders>
              <w:top w:val="nil"/>
              <w:left w:val="single" w:color="000000" w:sz="4" w:space="0"/>
              <w:bottom w:val="single" w:color="000000" w:sz="4" w:space="0"/>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default" w:ascii="宋体" w:hAnsi="宋体" w:eastAsia="宋体" w:cs="宋体"/>
                <w:bCs/>
                <w:sz w:val="21"/>
                <w:szCs w:val="21"/>
                <w:highlight w:val="none"/>
                <w:u w:val="none"/>
                <w:lang w:val="en-US" w:eastAsia="zh-CN"/>
              </w:rPr>
            </w:pPr>
            <w:r>
              <w:rPr>
                <w:rFonts w:hint="eastAsia" w:ascii="宋体" w:hAnsi="宋体" w:eastAsia="宋体" w:cs="宋体"/>
                <w:sz w:val="21"/>
                <w:szCs w:val="21"/>
                <w:highlight w:val="none"/>
                <w:u w:val="none"/>
                <w:lang w:val="en-US" w:eastAsia="zh-CN"/>
              </w:rPr>
              <w:t>4.69</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房地产开发投资17465.85亿元，比上年增长0.9%。分地区看，珠三角核心区14202.86亿元，增长0.7%；东翼1117.62亿元，增长1.3%；西翼929.34亿元，增长8.8%；北部生态发展区1216.04亿元，下降2.6%。分用途看，商品住宅开发投资12438.31亿元，增长4.4%；办公楼投资1268.27亿元，下降16.7%；商业营业用房投资1354.95亿元，下降7.7%。</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全年商品房销售面积</w:t>
      </w:r>
      <w:r>
        <w:rPr>
          <w:rFonts w:hint="eastAsia" w:ascii="仿宋_GB2312"/>
          <w:i w:val="0"/>
          <w:iCs w:val="0"/>
          <w:snapToGrid w:val="0"/>
          <w:kern w:val="0"/>
          <w:sz w:val="32"/>
          <w:szCs w:val="32"/>
          <w:highlight w:val="none"/>
          <w:u w:val="none"/>
          <w:lang w:val="en-US" w:eastAsia="zh-CN"/>
        </w:rPr>
        <w:t>14011.26</w:t>
      </w:r>
      <w:r>
        <w:rPr>
          <w:rFonts w:hint="eastAsia" w:ascii="仿宋_GB2312"/>
          <w:snapToGrid w:val="0"/>
          <w:kern w:val="0"/>
          <w:sz w:val="32"/>
          <w:szCs w:val="32"/>
          <w:highlight w:val="none"/>
          <w:u w:val="none"/>
          <w:lang w:val="en-US" w:eastAsia="zh-CN"/>
        </w:rPr>
        <w:t>万平方米，比上年下降6.0%；其中，商品住宅销售面积11826.26万平方米，下降8.5%。</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w:t>
      </w:r>
      <w:r>
        <w:rPr>
          <w:rFonts w:hint="eastAsia" w:ascii="黑体" w:hAnsi="黑体" w:eastAsia="黑体" w:cs="黑体"/>
          <w:bCs/>
          <w:snapToGrid w:val="0"/>
          <w:kern w:val="0"/>
          <w:sz w:val="32"/>
          <w:szCs w:val="32"/>
          <w:highlight w:val="none"/>
          <w:u w:val="none"/>
          <w:lang w:val="en-US" w:eastAsia="zh-CN"/>
        </w:rPr>
        <w:t>10</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年房地产开发和销售主要指标完成情况</w:t>
      </w:r>
    </w:p>
    <w:tbl>
      <w:tblPr>
        <w:tblStyle w:val="10"/>
        <w:tblW w:w="8790" w:type="dxa"/>
        <w:jc w:val="center"/>
        <w:tblInd w:w="0" w:type="dxa"/>
        <w:tblLayout w:type="fixed"/>
        <w:tblCellMar>
          <w:top w:w="0" w:type="dxa"/>
          <w:left w:w="108" w:type="dxa"/>
          <w:bottom w:w="0" w:type="dxa"/>
          <w:right w:w="108" w:type="dxa"/>
        </w:tblCellMar>
      </w:tblPr>
      <w:tblGrid>
        <w:gridCol w:w="3961"/>
        <w:gridCol w:w="1330"/>
        <w:gridCol w:w="1739"/>
        <w:gridCol w:w="1760"/>
      </w:tblGrid>
      <w:tr>
        <w:tblPrEx>
          <w:tblLayout w:type="fixed"/>
          <w:tblCellMar>
            <w:top w:w="0" w:type="dxa"/>
            <w:left w:w="108" w:type="dxa"/>
            <w:bottom w:w="0" w:type="dxa"/>
            <w:right w:w="108" w:type="dxa"/>
          </w:tblCellMar>
        </w:tblPrEx>
        <w:trPr>
          <w:trHeight w:val="331" w:hRule="atLeast"/>
          <w:jc w:val="center"/>
        </w:trPr>
        <w:tc>
          <w:tcPr>
            <w:tcW w:w="3961" w:type="dxa"/>
            <w:tcBorders>
              <w:top w:val="single" w:color="000000" w:sz="4" w:space="0"/>
              <w:left w:val="nil"/>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指标</w:t>
            </w:r>
          </w:p>
        </w:tc>
        <w:tc>
          <w:tcPr>
            <w:tcW w:w="13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单位</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绝对数</w:t>
            </w:r>
          </w:p>
        </w:tc>
        <w:tc>
          <w:tcPr>
            <w:tcW w:w="1760" w:type="dxa"/>
            <w:tcBorders>
              <w:top w:val="single" w:color="000000" w:sz="4" w:space="0"/>
              <w:left w:val="single" w:color="000000" w:sz="4" w:space="0"/>
              <w:bottom w:val="single" w:color="000000" w:sz="4" w:space="0"/>
              <w:right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比上年增长（%）</w:t>
            </w:r>
          </w:p>
        </w:tc>
      </w:tr>
      <w:tr>
        <w:tblPrEx>
          <w:tblLayout w:type="fixed"/>
          <w:tblCellMar>
            <w:top w:w="0" w:type="dxa"/>
            <w:left w:w="108" w:type="dxa"/>
            <w:bottom w:w="0" w:type="dxa"/>
            <w:right w:w="108" w:type="dxa"/>
          </w:tblCellMar>
        </w:tblPrEx>
        <w:trPr>
          <w:trHeight w:val="336" w:hRule="atLeast"/>
          <w:jc w:val="center"/>
        </w:trPr>
        <w:tc>
          <w:tcPr>
            <w:tcW w:w="3961" w:type="dxa"/>
            <w:tcBorders>
              <w:top w:val="single" w:color="000000" w:sz="4" w:space="0"/>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房地产开发投资</w:t>
            </w:r>
          </w:p>
        </w:tc>
        <w:tc>
          <w:tcPr>
            <w:tcW w:w="1330"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亿元</w:t>
            </w:r>
          </w:p>
        </w:tc>
        <w:tc>
          <w:tcPr>
            <w:tcW w:w="1739" w:type="dxa"/>
            <w:tcBorders>
              <w:top w:val="single" w:color="000000" w:sz="4" w:space="0"/>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17465.85 </w:t>
            </w:r>
          </w:p>
        </w:tc>
        <w:tc>
          <w:tcPr>
            <w:tcW w:w="1760" w:type="dxa"/>
            <w:tcBorders>
              <w:top w:val="single" w:color="000000" w:sz="4" w:space="0"/>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0.9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其中：住宅</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亿元</w:t>
            </w:r>
          </w:p>
        </w:tc>
        <w:tc>
          <w:tcPr>
            <w:tcW w:w="1739" w:type="dxa"/>
            <w:tcBorders>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12438.31 </w:t>
            </w:r>
          </w:p>
        </w:tc>
        <w:tc>
          <w:tcPr>
            <w:tcW w:w="1760" w:type="dxa"/>
            <w:tcBorders>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4.4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房屋施工面积</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万平方米</w:t>
            </w:r>
          </w:p>
        </w:tc>
        <w:tc>
          <w:tcPr>
            <w:tcW w:w="1739" w:type="dxa"/>
            <w:tcBorders>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94247.53 </w:t>
            </w:r>
          </w:p>
        </w:tc>
        <w:tc>
          <w:tcPr>
            <w:tcW w:w="1760" w:type="dxa"/>
            <w:tcBorders>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2.8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其中：住宅</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万平方米</w:t>
            </w:r>
          </w:p>
        </w:tc>
        <w:tc>
          <w:tcPr>
            <w:tcW w:w="1739" w:type="dxa"/>
            <w:tcBorders>
              <w:left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default" w:ascii="宋体" w:hAnsi="宋体" w:eastAsia="宋体" w:cs="宋体"/>
                <w:bCs/>
                <w:i w:val="0"/>
                <w:color w:val="000000"/>
                <w:kern w:val="2"/>
                <w:sz w:val="21"/>
                <w:szCs w:val="21"/>
                <w:highlight w:val="none"/>
                <w:u w:val="none"/>
                <w:lang w:val="en-US" w:eastAsia="zh-CN" w:bidi="ar"/>
              </w:rPr>
              <w:t xml:space="preserve">63828.96 </w:t>
            </w:r>
          </w:p>
        </w:tc>
        <w:tc>
          <w:tcPr>
            <w:tcW w:w="1760" w:type="dxa"/>
            <w:tcBorders>
              <w:left w:val="single" w:color="000000" w:sz="4"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default" w:ascii="宋体" w:hAnsi="宋体" w:eastAsia="宋体" w:cs="宋体"/>
                <w:bCs/>
                <w:i w:val="0"/>
                <w:color w:val="000000"/>
                <w:kern w:val="2"/>
                <w:sz w:val="21"/>
                <w:szCs w:val="21"/>
                <w:highlight w:val="none"/>
                <w:u w:val="none"/>
                <w:lang w:val="en-US" w:eastAsia="zh-CN" w:bidi="ar"/>
              </w:rPr>
              <w:t xml:space="preserve">1.8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房屋新开工面积</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万平方米</w:t>
            </w:r>
          </w:p>
        </w:tc>
        <w:tc>
          <w:tcPr>
            <w:tcW w:w="1739" w:type="dxa"/>
            <w:tcBorders>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16097.26 </w:t>
            </w:r>
          </w:p>
        </w:tc>
        <w:tc>
          <w:tcPr>
            <w:tcW w:w="1760" w:type="dxa"/>
            <w:tcBorders>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-12.6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其中：住宅</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万平方米</w:t>
            </w:r>
          </w:p>
        </w:tc>
        <w:tc>
          <w:tcPr>
            <w:tcW w:w="1739" w:type="dxa"/>
            <w:tcBorders>
              <w:left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default" w:ascii="宋体" w:hAnsi="宋体" w:eastAsia="宋体" w:cs="宋体"/>
                <w:bCs/>
                <w:i w:val="0"/>
                <w:color w:val="000000"/>
                <w:kern w:val="2"/>
                <w:sz w:val="21"/>
                <w:szCs w:val="21"/>
                <w:highlight w:val="none"/>
                <w:u w:val="none"/>
                <w:lang w:val="en-US" w:eastAsia="zh-CN" w:bidi="ar"/>
              </w:rPr>
              <w:t xml:space="preserve">11392.51 </w:t>
            </w:r>
          </w:p>
        </w:tc>
        <w:tc>
          <w:tcPr>
            <w:tcW w:w="1760" w:type="dxa"/>
            <w:tcBorders>
              <w:left w:val="single" w:color="000000" w:sz="4"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default" w:ascii="宋体" w:hAnsi="宋体" w:eastAsia="宋体" w:cs="宋体"/>
                <w:bCs/>
                <w:i w:val="0"/>
                <w:color w:val="000000"/>
                <w:kern w:val="2"/>
                <w:sz w:val="21"/>
                <w:szCs w:val="21"/>
                <w:highlight w:val="none"/>
                <w:u w:val="none"/>
                <w:lang w:val="en-US" w:eastAsia="zh-CN" w:bidi="ar"/>
              </w:rPr>
              <w:t xml:space="preserve">-9.4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房屋竣工面积</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万平方米</w:t>
            </w:r>
          </w:p>
        </w:tc>
        <w:tc>
          <w:tcPr>
            <w:tcW w:w="1739" w:type="dxa"/>
            <w:tcBorders>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8043.47 </w:t>
            </w:r>
          </w:p>
        </w:tc>
        <w:tc>
          <w:tcPr>
            <w:tcW w:w="1760" w:type="dxa"/>
            <w:tcBorders>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3.6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其中：住宅</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万平方米</w:t>
            </w:r>
          </w:p>
        </w:tc>
        <w:tc>
          <w:tcPr>
            <w:tcW w:w="1739" w:type="dxa"/>
            <w:tcBorders>
              <w:left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default" w:ascii="宋体" w:hAnsi="宋体" w:eastAsia="宋体" w:cs="宋体"/>
                <w:bCs/>
                <w:i w:val="0"/>
                <w:color w:val="000000"/>
                <w:kern w:val="2"/>
                <w:sz w:val="21"/>
                <w:szCs w:val="21"/>
                <w:highlight w:val="none"/>
                <w:u w:val="none"/>
                <w:lang w:val="en-US" w:eastAsia="zh-CN" w:bidi="ar"/>
              </w:rPr>
              <w:t xml:space="preserve">5587.55 </w:t>
            </w:r>
          </w:p>
        </w:tc>
        <w:tc>
          <w:tcPr>
            <w:tcW w:w="1760" w:type="dxa"/>
            <w:tcBorders>
              <w:left w:val="single" w:color="000000" w:sz="4"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default" w:ascii="宋体" w:hAnsi="宋体" w:eastAsia="宋体" w:cs="宋体"/>
                <w:bCs/>
                <w:i w:val="0"/>
                <w:color w:val="000000"/>
                <w:kern w:val="2"/>
                <w:sz w:val="21"/>
                <w:szCs w:val="21"/>
                <w:highlight w:val="none"/>
                <w:u w:val="none"/>
                <w:lang w:val="en-US" w:eastAsia="zh-CN" w:bidi="ar"/>
              </w:rPr>
              <w:t xml:space="preserve">0.3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商品房销售面积</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万平方米</w:t>
            </w:r>
          </w:p>
        </w:tc>
        <w:tc>
          <w:tcPr>
            <w:tcW w:w="1739" w:type="dxa"/>
            <w:tcBorders>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14011.26 </w:t>
            </w:r>
          </w:p>
        </w:tc>
        <w:tc>
          <w:tcPr>
            <w:tcW w:w="1760" w:type="dxa"/>
            <w:tcBorders>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-6.0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其中：住宅</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万平方米</w:t>
            </w:r>
          </w:p>
        </w:tc>
        <w:tc>
          <w:tcPr>
            <w:tcW w:w="1739" w:type="dxa"/>
            <w:tcBorders>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11826.26 </w:t>
            </w:r>
          </w:p>
        </w:tc>
        <w:tc>
          <w:tcPr>
            <w:tcW w:w="1760" w:type="dxa"/>
            <w:tcBorders>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-8.5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商品房销售额</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亿元</w:t>
            </w:r>
          </w:p>
        </w:tc>
        <w:tc>
          <w:tcPr>
            <w:tcW w:w="1739" w:type="dxa"/>
            <w:tcBorders>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22320.27 </w:t>
            </w:r>
          </w:p>
        </w:tc>
        <w:tc>
          <w:tcPr>
            <w:tcW w:w="1760" w:type="dxa"/>
            <w:tcBorders>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-1.1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其中：住宅</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亿元</w:t>
            </w:r>
          </w:p>
        </w:tc>
        <w:tc>
          <w:tcPr>
            <w:tcW w:w="1739" w:type="dxa"/>
            <w:tcBorders>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19457.63 </w:t>
            </w:r>
          </w:p>
        </w:tc>
        <w:tc>
          <w:tcPr>
            <w:tcW w:w="1760" w:type="dxa"/>
            <w:tcBorders>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-1.9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商品房待售面积</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万平方米</w:t>
            </w:r>
          </w:p>
        </w:tc>
        <w:tc>
          <w:tcPr>
            <w:tcW w:w="1739" w:type="dxa"/>
            <w:tcBorders>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6696.98 </w:t>
            </w:r>
          </w:p>
        </w:tc>
        <w:tc>
          <w:tcPr>
            <w:tcW w:w="1760" w:type="dxa"/>
            <w:tcBorders>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12.0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其中：住宅</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万平方米</w:t>
            </w:r>
          </w:p>
        </w:tc>
        <w:tc>
          <w:tcPr>
            <w:tcW w:w="1739" w:type="dxa"/>
            <w:tcBorders>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2894.08</w:t>
            </w:r>
          </w:p>
        </w:tc>
        <w:tc>
          <w:tcPr>
            <w:tcW w:w="1760" w:type="dxa"/>
            <w:tcBorders>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10.2</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default"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rPr>
              <w:t>本年</w:t>
            </w:r>
            <w:r>
              <w:rPr>
                <w:rFonts w:hint="eastAsia" w:ascii="宋体" w:hAnsi="宋体" w:eastAsia="宋体" w:cs="宋体"/>
                <w:bCs/>
                <w:color w:val="auto"/>
                <w:sz w:val="21"/>
                <w:szCs w:val="21"/>
                <w:highlight w:val="none"/>
                <w:u w:val="none"/>
                <w:lang w:val="en-US" w:eastAsia="zh-CN"/>
              </w:rPr>
              <w:t>实际到位资金</w:t>
            </w:r>
          </w:p>
        </w:tc>
        <w:tc>
          <w:tcPr>
            <w:tcW w:w="1330" w:type="dxa"/>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亿元</w:t>
            </w:r>
          </w:p>
        </w:tc>
        <w:tc>
          <w:tcPr>
            <w:tcW w:w="1739" w:type="dxa"/>
            <w:tcBorders>
              <w:left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28156.22 </w:t>
            </w:r>
          </w:p>
        </w:tc>
        <w:tc>
          <w:tcPr>
            <w:tcW w:w="1760" w:type="dxa"/>
            <w:tcBorders>
              <w:left w:val="single" w:color="000000"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6.9 </w:t>
            </w:r>
          </w:p>
        </w:tc>
      </w:tr>
      <w:tr>
        <w:tblPrEx>
          <w:tblLayout w:type="fixed"/>
          <w:tblCellMar>
            <w:top w:w="0" w:type="dxa"/>
            <w:left w:w="108" w:type="dxa"/>
            <w:bottom w:w="0" w:type="dxa"/>
            <w:right w:w="108" w:type="dxa"/>
          </w:tblCellMar>
        </w:tblPrEx>
        <w:trPr>
          <w:trHeight w:val="336" w:hRule="atLeast"/>
          <w:jc w:val="center"/>
        </w:trPr>
        <w:tc>
          <w:tcPr>
            <w:tcW w:w="3961" w:type="dxa"/>
            <w:tcBorders>
              <w:left w:val="nil"/>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其中：国内贷款</w:t>
            </w:r>
          </w:p>
        </w:tc>
        <w:tc>
          <w:tcPr>
            <w:tcW w:w="1330" w:type="dxa"/>
            <w:tcBorders>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亿元</w:t>
            </w:r>
          </w:p>
        </w:tc>
        <w:tc>
          <w:tcPr>
            <w:tcW w:w="1739" w:type="dxa"/>
            <w:tcBorders>
              <w:left w:val="single" w:color="000000" w:sz="4" w:space="0"/>
              <w:bottom w:val="nil"/>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4377.99 </w:t>
            </w:r>
          </w:p>
        </w:tc>
        <w:tc>
          <w:tcPr>
            <w:tcW w:w="1760" w:type="dxa"/>
            <w:tcBorders>
              <w:left w:val="single" w:color="000000" w:sz="4" w:space="0"/>
              <w:bottom w:val="nil"/>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-8.8 </w:t>
            </w:r>
          </w:p>
        </w:tc>
      </w:tr>
      <w:tr>
        <w:tblPrEx>
          <w:tblLayout w:type="fixed"/>
          <w:tblCellMar>
            <w:top w:w="0" w:type="dxa"/>
            <w:left w:w="108" w:type="dxa"/>
            <w:bottom w:w="0" w:type="dxa"/>
            <w:right w:w="108" w:type="dxa"/>
          </w:tblCellMar>
        </w:tblPrEx>
        <w:trPr>
          <w:trHeight w:val="336" w:hRule="atLeast"/>
          <w:jc w:val="center"/>
        </w:trPr>
        <w:tc>
          <w:tcPr>
            <w:tcW w:w="3961" w:type="dxa"/>
            <w:tcBorders>
              <w:top w:val="nil"/>
              <w:left w:val="nil"/>
              <w:bottom w:val="single" w:color="auto"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个人按揭贷款</w:t>
            </w:r>
          </w:p>
        </w:tc>
        <w:tc>
          <w:tcPr>
            <w:tcW w:w="1330" w:type="dxa"/>
            <w:tcBorders>
              <w:top w:val="nil"/>
              <w:left w:val="single" w:color="000000" w:sz="4" w:space="0"/>
              <w:bottom w:val="single" w:color="auto"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亿元</w:t>
            </w:r>
          </w:p>
        </w:tc>
        <w:tc>
          <w:tcPr>
            <w:tcW w:w="1739" w:type="dxa"/>
            <w:tcBorders>
              <w:top w:val="nil"/>
              <w:left w:val="single" w:color="000000" w:sz="4" w:space="0"/>
              <w:bottom w:val="single" w:color="auto"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4231.62 </w:t>
            </w:r>
          </w:p>
        </w:tc>
        <w:tc>
          <w:tcPr>
            <w:tcW w:w="1760" w:type="dxa"/>
            <w:tcBorders>
              <w:top w:val="nil"/>
              <w:left w:val="single" w:color="000000" w:sz="4" w:space="0"/>
              <w:bottom w:val="single" w:color="auto" w:sz="4"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i w:val="0"/>
                <w:color w:val="000000"/>
                <w:kern w:val="2"/>
                <w:sz w:val="21"/>
                <w:szCs w:val="21"/>
                <w:highlight w:val="none"/>
                <w:u w:val="none"/>
                <w:lang w:val="en-US" w:eastAsia="zh-CN" w:bidi="ar"/>
              </w:rPr>
            </w:pPr>
            <w:r>
              <w:rPr>
                <w:rFonts w:hint="eastAsia" w:ascii="宋体" w:hAnsi="宋体" w:eastAsia="宋体" w:cs="宋体"/>
                <w:bCs/>
                <w:i w:val="0"/>
                <w:color w:val="000000"/>
                <w:kern w:val="2"/>
                <w:sz w:val="21"/>
                <w:szCs w:val="21"/>
                <w:highlight w:val="none"/>
                <w:u w:val="none"/>
                <w:lang w:val="en-US" w:eastAsia="zh-CN" w:bidi="ar"/>
              </w:rPr>
              <w:t xml:space="preserve">7.4 </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kern w:val="0"/>
          <w:sz w:val="32"/>
          <w:szCs w:val="32"/>
          <w:highlight w:val="none"/>
          <w:u w:val="none"/>
          <w:lang w:val="en-US" w:eastAsia="zh-CN"/>
        </w:rPr>
      </w:pPr>
      <w:r>
        <w:rPr>
          <w:rFonts w:hint="eastAsia" w:ascii="黑体" w:hAnsi="黑体" w:eastAsia="黑体" w:cs="黑体"/>
          <w:snapToGrid w:val="0"/>
          <w:kern w:val="0"/>
          <w:sz w:val="32"/>
          <w:szCs w:val="32"/>
          <w:highlight w:val="none"/>
          <w:u w:val="none"/>
          <w:lang w:val="en-US" w:eastAsia="zh-CN"/>
        </w:rPr>
        <w:t>六、国内贸易</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left"/>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color w:val="auto"/>
          <w:kern w:val="0"/>
          <w:sz w:val="32"/>
          <w:szCs w:val="32"/>
          <w:highlight w:val="none"/>
          <w:u w:val="none"/>
          <w:lang w:val="en-US" w:eastAsia="zh-CN"/>
        </w:rPr>
        <w:t>全年社会消费品零售总额44187.71亿元，比上年</w:t>
      </w:r>
      <w:r>
        <w:rPr>
          <w:rFonts w:hint="eastAsia" w:ascii="仿宋_GB2312"/>
          <w:snapToGrid w:val="0"/>
          <w:kern w:val="0"/>
          <w:sz w:val="32"/>
          <w:szCs w:val="32"/>
          <w:highlight w:val="none"/>
          <w:u w:val="none"/>
          <w:lang w:val="en-US" w:eastAsia="zh-CN"/>
        </w:rPr>
        <w:t>增长</w:t>
      </w:r>
      <w:r>
        <w:rPr>
          <w:rFonts w:hint="eastAsia" w:ascii="仿宋_GB2312"/>
          <w:snapToGrid w:val="0"/>
          <w:color w:val="auto"/>
          <w:kern w:val="0"/>
          <w:sz w:val="32"/>
          <w:szCs w:val="32"/>
          <w:highlight w:val="none"/>
          <w:u w:val="none"/>
          <w:lang w:val="en-US" w:eastAsia="zh-CN"/>
        </w:rPr>
        <w:t>9.9%。分经营地看，城镇消费品零售额38923.93亿元，</w:t>
      </w:r>
      <w:r>
        <w:rPr>
          <w:rFonts w:hint="eastAsia" w:ascii="仿宋_GB2312"/>
          <w:snapToGrid w:val="0"/>
          <w:kern w:val="0"/>
          <w:sz w:val="32"/>
          <w:szCs w:val="32"/>
          <w:highlight w:val="none"/>
          <w:u w:val="none"/>
          <w:lang w:val="en-US" w:eastAsia="zh-CN"/>
        </w:rPr>
        <w:t>增长</w:t>
      </w:r>
      <w:r>
        <w:rPr>
          <w:rFonts w:hint="eastAsia" w:ascii="仿宋_GB2312"/>
          <w:snapToGrid w:val="0"/>
          <w:color w:val="auto"/>
          <w:kern w:val="0"/>
          <w:sz w:val="32"/>
          <w:szCs w:val="32"/>
          <w:highlight w:val="none"/>
          <w:u w:val="none"/>
          <w:lang w:val="en-US" w:eastAsia="zh-CN"/>
        </w:rPr>
        <w:t>8.4%；乡村消费品零售额5263.78亿元，</w:t>
      </w:r>
      <w:r>
        <w:rPr>
          <w:rFonts w:hint="eastAsia" w:ascii="仿宋_GB2312"/>
          <w:snapToGrid w:val="0"/>
          <w:kern w:val="0"/>
          <w:sz w:val="32"/>
          <w:szCs w:val="32"/>
          <w:highlight w:val="none"/>
          <w:u w:val="none"/>
          <w:lang w:val="en-US" w:eastAsia="zh-CN"/>
        </w:rPr>
        <w:t>增长</w:t>
      </w:r>
      <w:r>
        <w:rPr>
          <w:rFonts w:hint="eastAsia" w:ascii="仿宋_GB2312"/>
          <w:snapToGrid w:val="0"/>
          <w:color w:val="auto"/>
          <w:kern w:val="0"/>
          <w:sz w:val="32"/>
          <w:szCs w:val="32"/>
          <w:highlight w:val="none"/>
          <w:u w:val="none"/>
          <w:lang w:val="en-US" w:eastAsia="zh-CN"/>
        </w:rPr>
        <w:t>22.3%。分消费形态看，商品零售39427.05亿元，</w:t>
      </w:r>
      <w:r>
        <w:rPr>
          <w:rFonts w:hint="eastAsia" w:ascii="仿宋_GB2312"/>
          <w:snapToGrid w:val="0"/>
          <w:kern w:val="0"/>
          <w:sz w:val="32"/>
          <w:szCs w:val="32"/>
          <w:highlight w:val="none"/>
          <w:u w:val="none"/>
          <w:lang w:val="en-US" w:eastAsia="zh-CN"/>
        </w:rPr>
        <w:t>增长</w:t>
      </w:r>
      <w:r>
        <w:rPr>
          <w:rFonts w:hint="eastAsia" w:ascii="仿宋_GB2312"/>
          <w:snapToGrid w:val="0"/>
          <w:color w:val="auto"/>
          <w:kern w:val="0"/>
          <w:sz w:val="32"/>
          <w:szCs w:val="32"/>
          <w:highlight w:val="none"/>
          <w:u w:val="none"/>
          <w:lang w:val="en-US" w:eastAsia="zh-CN"/>
        </w:rPr>
        <w:t>9.3%；餐饮收入4760.66亿元，</w:t>
      </w:r>
      <w:r>
        <w:rPr>
          <w:rFonts w:hint="eastAsia" w:ascii="仿宋_GB2312"/>
          <w:snapToGrid w:val="0"/>
          <w:kern w:val="0"/>
          <w:sz w:val="32"/>
          <w:szCs w:val="32"/>
          <w:highlight w:val="none"/>
          <w:u w:val="none"/>
          <w:lang w:val="en-US" w:eastAsia="zh-CN"/>
        </w:rPr>
        <w:t>增长15.4%。</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snapToGrid w:val="0"/>
          <w:kern w:val="0"/>
          <w:sz w:val="32"/>
          <w:szCs w:val="32"/>
          <w:highlight w:val="none"/>
          <w:u w:val="none"/>
          <w:lang w:val="en-US" w:eastAsia="zh-CN"/>
        </w:rPr>
      </w:pPr>
      <w:r>
        <w:rPr>
          <w:rFonts w:hint="eastAsia" w:ascii="黑体" w:hAnsi="黑体" w:eastAsia="黑体" w:cs="黑体"/>
          <w:snapToGrid w:val="0"/>
          <w:kern w:val="0"/>
          <w:sz w:val="32"/>
          <w:szCs w:val="32"/>
          <w:highlight w:val="none"/>
          <w:u w:val="none"/>
          <w:lang w:val="en-US" w:eastAsia="zh-CN"/>
        </w:rPr>
        <w:t>图8  2016-2021年社会消费品零售总额及增长速度</w:t>
      </w:r>
      <w:r>
        <w:rPr>
          <w:highlight w:val="none"/>
          <w:u w:val="none"/>
        </w:rPr>
        <w:drawing>
          <wp:inline distT="0" distB="0" distL="114300" distR="114300">
            <wp:extent cx="5610860" cy="3669030"/>
            <wp:effectExtent l="0" t="0" r="889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610860" cy="36690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left"/>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在限额以上批发和零售业商品零售额中，粮油、食品、饮料、烟酒类比上年增长6.7%，服装、鞋帽、针纺织品类增长4.2%，化妆品类下降1.5%，金银珠宝类增长43.2%，日用品类增长8.0%，体育、娱乐用品类增长47.3%，书报杂志类增长3.2%，家用电器和音像器材类增长4.4%，中西药品类增长15.2%，文化办公用品类增长18.9%，家具类增长21.4%，通讯器材类增长26.2%，石油及制品类增长26.7%，建筑及装潢材料类增长31.7%，汽车类增长6.7%。全省限额以上单位通过公共网络实现的商品零售增长22.5%，占限额以上单位商品零售比重28.9%。</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kern w:val="0"/>
          <w:sz w:val="32"/>
          <w:szCs w:val="32"/>
          <w:highlight w:val="none"/>
          <w:u w:val="none"/>
          <w:lang w:val="en-US" w:eastAsia="zh-CN"/>
        </w:rPr>
      </w:pPr>
      <w:r>
        <w:rPr>
          <w:rFonts w:hint="eastAsia" w:ascii="黑体" w:hAnsi="黑体" w:eastAsia="黑体" w:cs="黑体"/>
          <w:snapToGrid w:val="0"/>
          <w:kern w:val="0"/>
          <w:sz w:val="32"/>
          <w:szCs w:val="32"/>
          <w:highlight w:val="none"/>
          <w:u w:val="none"/>
          <w:lang w:val="en-US" w:eastAsia="zh-CN"/>
        </w:rPr>
        <w:t>七、对外经济</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left"/>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货物进出口总额82680.3亿元，比上年增长16.7%。其中，出口50528.7亿元，增长16.2%；进口32151.6亿元，增长17.4%。进出口差额（出口减进口）18377.1亿元，比上年增加2267.8亿元。其中对“一带一路”沿线国家（地区）进出口额20419.3亿元，增长16.3%。</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u w:val="none"/>
          <w:lang w:val="en-US" w:eastAsia="zh-CN"/>
        </w:rPr>
      </w:pPr>
      <w:r>
        <w:rPr>
          <w:rFonts w:hint="eastAsia" w:ascii="黑体" w:hAnsi="黑体" w:eastAsia="黑体" w:cs="黑体"/>
          <w:sz w:val="32"/>
          <w:szCs w:val="32"/>
          <w:highlight w:val="none"/>
          <w:u w:val="none"/>
        </w:rPr>
        <w:t xml:space="preserve">图9 </w:t>
      </w:r>
      <w:r>
        <w:rPr>
          <w:rFonts w:hint="eastAsia" w:ascii="黑体" w:hAnsi="黑体" w:eastAsia="黑体" w:cs="黑体"/>
          <w:sz w:val="32"/>
          <w:szCs w:val="32"/>
          <w:highlight w:val="none"/>
          <w:u w:val="none"/>
          <w:lang w:val="en-US" w:eastAsia="zh-CN"/>
        </w:rPr>
        <w:t xml:space="preserve"> </w:t>
      </w:r>
      <w:r>
        <w:rPr>
          <w:rFonts w:hint="eastAsia" w:ascii="黑体" w:hAnsi="黑体" w:eastAsia="黑体" w:cs="黑体"/>
          <w:sz w:val="32"/>
          <w:szCs w:val="32"/>
          <w:highlight w:val="none"/>
          <w:u w:val="none"/>
        </w:rPr>
        <w:t>2016-2021年货物进出口总额及增长速度</w:t>
      </w:r>
      <w:r>
        <w:rPr>
          <w:highlight w:val="none"/>
          <w:u w:val="none"/>
        </w:rPr>
        <w:drawing>
          <wp:inline distT="0" distB="0" distL="114300" distR="114300">
            <wp:extent cx="5613400" cy="3771265"/>
            <wp:effectExtent l="0" t="0" r="635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613400" cy="37712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w:t>
      </w:r>
      <w:r>
        <w:rPr>
          <w:rFonts w:hint="eastAsia" w:ascii="黑体" w:hAnsi="黑体" w:eastAsia="黑体" w:cs="黑体"/>
          <w:bCs/>
          <w:snapToGrid w:val="0"/>
          <w:kern w:val="0"/>
          <w:sz w:val="32"/>
          <w:szCs w:val="32"/>
          <w:highlight w:val="none"/>
          <w:u w:val="none"/>
          <w:lang w:val="en-US" w:eastAsia="zh-CN"/>
        </w:rPr>
        <w:t>11</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年货物进出口总额及增长速度</w:t>
      </w:r>
    </w:p>
    <w:tbl>
      <w:tblPr>
        <w:tblStyle w:val="10"/>
        <w:tblW w:w="864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585"/>
        <w:gridCol w:w="2773"/>
        <w:gridCol w:w="228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36" w:hRule="atLeast"/>
          <w:jc w:val="center"/>
        </w:trPr>
        <w:tc>
          <w:tcPr>
            <w:tcW w:w="35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指标</w:t>
            </w:r>
          </w:p>
        </w:tc>
        <w:tc>
          <w:tcPr>
            <w:tcW w:w="277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绝对数(亿元)</w:t>
            </w:r>
          </w:p>
        </w:tc>
        <w:tc>
          <w:tcPr>
            <w:tcW w:w="2282"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sz w:val="21"/>
                <w:szCs w:val="21"/>
                <w:highlight w:val="none"/>
                <w:u w:val="none"/>
              </w:rPr>
              <w:t>比上年增长（%）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jc w:val="center"/>
        </w:trPr>
        <w:tc>
          <w:tcPr>
            <w:tcW w:w="3585" w:type="dxa"/>
            <w:tcBorders>
              <w:top w:val="single" w:color="000000" w:sz="4" w:space="0"/>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货物进出口总额</w:t>
            </w:r>
          </w:p>
        </w:tc>
        <w:tc>
          <w:tcPr>
            <w:tcW w:w="2773" w:type="dxa"/>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 xml:space="preserve">82680.3 </w:t>
            </w:r>
          </w:p>
        </w:tc>
        <w:tc>
          <w:tcPr>
            <w:tcW w:w="2282" w:type="dxa"/>
            <w:tcBorders>
              <w:top w:val="single" w:color="000000" w:sz="4" w:space="0"/>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16.7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货物出口额</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 xml:space="preserve">50528.7 </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16.2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其中：一般贸易</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27101.3</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18.4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加工贸易</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14560.2</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12.7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其中：机电产品</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 xml:space="preserve">34939.2 </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17.4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高新技术产品</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 xml:space="preserve">17150.5 </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14.2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其中：国有企业</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2544.7</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12.4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外商投资企业</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 xml:space="preserve">18856.2 </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11.6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w:t>
            </w:r>
            <w:r>
              <w:rPr>
                <w:rFonts w:hint="eastAsia" w:ascii="宋体" w:hAnsi="宋体" w:eastAsia="宋体" w:cs="宋体"/>
                <w:bCs/>
                <w:sz w:val="21"/>
                <w:szCs w:val="21"/>
                <w:highlight w:val="none"/>
                <w:u w:val="none"/>
                <w:lang w:val="en-US" w:eastAsia="zh-CN"/>
              </w:rPr>
              <w:t>民营</w:t>
            </w:r>
            <w:r>
              <w:rPr>
                <w:rFonts w:hint="eastAsia" w:ascii="宋体" w:hAnsi="宋体" w:eastAsia="宋体" w:cs="宋体"/>
                <w:bCs/>
                <w:sz w:val="21"/>
                <w:szCs w:val="21"/>
                <w:highlight w:val="none"/>
                <w:u w:val="none"/>
              </w:rPr>
              <w:t>企业</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 xml:space="preserve">29063.9 </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19.9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货物进口额</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 xml:space="preserve">32151.6 </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17.4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其中：一般贸易</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16130.4</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20.3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加工贸易</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 xml:space="preserve">8048.2 </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14.1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其中：机电产品</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21419.7</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13.2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高新技术产品</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17764.7</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15.9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其中：国有企业</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1706.7</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14.2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外商投资企业</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 xml:space="preserve">12727.4 </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15.8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3585" w:type="dxa"/>
            <w:tcBorders>
              <w:top w:val="nil"/>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 xml:space="preserve">          </w:t>
            </w:r>
            <w:r>
              <w:rPr>
                <w:rFonts w:hint="eastAsia" w:ascii="宋体" w:hAnsi="宋体" w:eastAsia="宋体" w:cs="宋体"/>
                <w:bCs/>
                <w:sz w:val="21"/>
                <w:szCs w:val="21"/>
                <w:highlight w:val="none"/>
                <w:u w:val="none"/>
                <w:lang w:val="en-US" w:eastAsia="zh-CN"/>
              </w:rPr>
              <w:t>民营</w:t>
            </w:r>
            <w:r>
              <w:rPr>
                <w:rFonts w:hint="eastAsia" w:ascii="宋体" w:hAnsi="宋体" w:eastAsia="宋体" w:cs="宋体"/>
                <w:bCs/>
                <w:sz w:val="21"/>
                <w:szCs w:val="21"/>
                <w:highlight w:val="none"/>
                <w:u w:val="none"/>
              </w:rPr>
              <w:t>企业</w:t>
            </w:r>
          </w:p>
        </w:tc>
        <w:tc>
          <w:tcPr>
            <w:tcW w:w="2773" w:type="dxa"/>
            <w:tcBorders>
              <w:top w:val="nil"/>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 xml:space="preserve">17600.2 </w:t>
            </w:r>
          </w:p>
        </w:tc>
        <w:tc>
          <w:tcPr>
            <w:tcW w:w="2282" w:type="dxa"/>
            <w:tcBorders>
              <w:top w:val="nil"/>
              <w:left w:val="single" w:color="000000" w:sz="4" w:space="0"/>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18.9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jc w:val="center"/>
        </w:trPr>
        <w:tc>
          <w:tcPr>
            <w:tcW w:w="3585" w:type="dxa"/>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Cs/>
                <w:sz w:val="21"/>
                <w:szCs w:val="21"/>
                <w:highlight w:val="none"/>
                <w:u w:val="none"/>
              </w:rPr>
            </w:pPr>
            <w:r>
              <w:rPr>
                <w:rFonts w:hint="eastAsia" w:ascii="宋体" w:hAnsi="宋体" w:eastAsia="宋体" w:cs="宋体"/>
                <w:bCs/>
                <w:sz w:val="21"/>
                <w:szCs w:val="21"/>
                <w:highlight w:val="none"/>
                <w:u w:val="none"/>
              </w:rPr>
              <w:t>货物进出口差额（出口减进口）</w:t>
            </w:r>
          </w:p>
        </w:tc>
        <w:tc>
          <w:tcPr>
            <w:tcW w:w="2773" w:type="dxa"/>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18377.1</w:t>
            </w:r>
          </w:p>
        </w:tc>
        <w:tc>
          <w:tcPr>
            <w:tcW w:w="2282" w:type="dxa"/>
            <w:tcBorders>
              <w:top w:val="nil"/>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14.1</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表1</w:t>
      </w:r>
      <w:r>
        <w:rPr>
          <w:rFonts w:hint="eastAsia" w:ascii="黑体" w:hAnsi="黑体" w:eastAsia="黑体" w:cs="黑体"/>
          <w:bCs/>
          <w:snapToGrid w:val="0"/>
          <w:kern w:val="0"/>
          <w:sz w:val="32"/>
          <w:szCs w:val="32"/>
          <w:highlight w:val="none"/>
          <w:u w:val="none"/>
          <w:lang w:val="en-US" w:eastAsia="zh-CN"/>
        </w:rPr>
        <w:t>2</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年主要商品出口数量、金额及增长速度</w:t>
      </w:r>
    </w:p>
    <w:tbl>
      <w:tblPr>
        <w:tblStyle w:val="10"/>
        <w:tblW w:w="870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034"/>
        <w:gridCol w:w="1305"/>
        <w:gridCol w:w="1288"/>
        <w:gridCol w:w="964"/>
        <w:gridCol w:w="1124"/>
        <w:gridCol w:w="98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84" w:hRule="atLeast"/>
          <w:jc w:val="center"/>
        </w:trPr>
        <w:tc>
          <w:tcPr>
            <w:tcW w:w="3034"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商品名称</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单位</w:t>
            </w:r>
          </w:p>
        </w:tc>
        <w:tc>
          <w:tcPr>
            <w:tcW w:w="1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数量</w:t>
            </w:r>
          </w:p>
        </w:tc>
        <w:tc>
          <w:tcPr>
            <w:tcW w:w="964" w:type="dxa"/>
            <w:tcBorders>
              <w:top w:val="single" w:color="000000" w:sz="4" w:space="0"/>
              <w:left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比上年</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增长（%）</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金额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（亿元）</w:t>
            </w:r>
          </w:p>
        </w:tc>
        <w:tc>
          <w:tcPr>
            <w:tcW w:w="985" w:type="dxa"/>
            <w:tcBorders>
              <w:top w:val="single" w:color="000000" w:sz="4" w:space="0"/>
              <w:left w:val="single" w:color="000000" w:sz="4" w:space="0"/>
              <w:bottom w:val="single" w:color="auto" w:sz="4"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比上年</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19" w:hRule="atLeast"/>
          <w:jc w:val="center"/>
        </w:trPr>
        <w:tc>
          <w:tcPr>
            <w:tcW w:w="3034"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钢材</w:t>
            </w:r>
          </w:p>
        </w:tc>
        <w:tc>
          <w:tcPr>
            <w:tcW w:w="1305" w:type="dxa"/>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万吨</w:t>
            </w:r>
          </w:p>
        </w:tc>
        <w:tc>
          <w:tcPr>
            <w:tcW w:w="128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247.39</w:t>
            </w:r>
          </w:p>
        </w:tc>
        <w:tc>
          <w:tcPr>
            <w:tcW w:w="96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-1.2</w:t>
            </w:r>
          </w:p>
        </w:tc>
        <w:tc>
          <w:tcPr>
            <w:tcW w:w="11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235.4</w:t>
            </w:r>
          </w:p>
        </w:tc>
        <w:tc>
          <w:tcPr>
            <w:tcW w:w="985" w:type="dxa"/>
            <w:tcBorders>
              <w:top w:val="single" w:color="auto" w:sz="4" w:space="0"/>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19.7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34"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纺织纱线、织物及制品</w:t>
            </w:r>
          </w:p>
        </w:tc>
        <w:tc>
          <w:tcPr>
            <w:tcW w:w="1305" w:type="dxa"/>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Theme="minorEastAsia" w:hAnsiTheme="minorEastAsia" w:eastAsiaTheme="minorEastAsia" w:cstheme="minorEastAsia"/>
                <w:bCs/>
                <w:sz w:val="21"/>
                <w:szCs w:val="21"/>
                <w:highlight w:val="none"/>
                <w:u w:val="none"/>
              </w:rPr>
            </w:pPr>
          </w:p>
        </w:tc>
        <w:tc>
          <w:tcPr>
            <w:tcW w:w="1288"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Theme="minorEastAsia" w:hAnsiTheme="minorEastAsia" w:eastAsiaTheme="minorEastAsia" w:cstheme="minorEastAsia"/>
                <w:bCs/>
                <w:color w:val="auto"/>
                <w:sz w:val="21"/>
                <w:szCs w:val="21"/>
                <w:highlight w:val="none"/>
                <w:u w:val="none"/>
              </w:rPr>
            </w:pPr>
          </w:p>
        </w:tc>
        <w:tc>
          <w:tcPr>
            <w:tcW w:w="96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Theme="minorEastAsia" w:hAnsiTheme="minorEastAsia" w:eastAsiaTheme="minorEastAsia" w:cstheme="minorEastAsia"/>
                <w:bCs/>
                <w:color w:val="auto"/>
                <w:sz w:val="21"/>
                <w:szCs w:val="21"/>
                <w:highlight w:val="none"/>
                <w:u w:val="none"/>
              </w:rPr>
            </w:pPr>
          </w:p>
        </w:tc>
        <w:tc>
          <w:tcPr>
            <w:tcW w:w="11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933.6</w:t>
            </w:r>
          </w:p>
        </w:tc>
        <w:tc>
          <w:tcPr>
            <w:tcW w:w="985"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-46.2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34"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服装及衣着附件</w:t>
            </w:r>
          </w:p>
        </w:tc>
        <w:tc>
          <w:tcPr>
            <w:tcW w:w="1305" w:type="dxa"/>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Theme="minorEastAsia" w:hAnsiTheme="minorEastAsia" w:eastAsiaTheme="minorEastAsia" w:cstheme="minorEastAsia"/>
                <w:bCs/>
                <w:sz w:val="21"/>
                <w:szCs w:val="21"/>
                <w:highlight w:val="none"/>
                <w:u w:val="none"/>
              </w:rPr>
            </w:pPr>
          </w:p>
        </w:tc>
        <w:tc>
          <w:tcPr>
            <w:tcW w:w="1288"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Theme="minorEastAsia" w:hAnsiTheme="minorEastAsia" w:eastAsiaTheme="minorEastAsia" w:cstheme="minorEastAsia"/>
                <w:bCs/>
                <w:color w:val="auto"/>
                <w:sz w:val="21"/>
                <w:szCs w:val="21"/>
                <w:highlight w:val="none"/>
                <w:u w:val="none"/>
              </w:rPr>
            </w:pPr>
          </w:p>
        </w:tc>
        <w:tc>
          <w:tcPr>
            <w:tcW w:w="96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Theme="minorEastAsia" w:hAnsiTheme="minorEastAsia" w:eastAsiaTheme="minorEastAsia" w:cstheme="minorEastAsia"/>
                <w:bCs/>
                <w:color w:val="auto"/>
                <w:sz w:val="21"/>
                <w:szCs w:val="21"/>
                <w:highlight w:val="none"/>
                <w:u w:val="none"/>
              </w:rPr>
            </w:pPr>
          </w:p>
        </w:tc>
        <w:tc>
          <w:tcPr>
            <w:tcW w:w="11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2024.7</w:t>
            </w:r>
          </w:p>
        </w:tc>
        <w:tc>
          <w:tcPr>
            <w:tcW w:w="985"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20.7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34"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鞋类</w:t>
            </w:r>
          </w:p>
        </w:tc>
        <w:tc>
          <w:tcPr>
            <w:tcW w:w="1305" w:type="dxa"/>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Theme="minorEastAsia" w:hAnsiTheme="minorEastAsia" w:eastAsiaTheme="minorEastAsia" w:cstheme="minorEastAsia"/>
                <w:bCs/>
                <w:sz w:val="21"/>
                <w:szCs w:val="21"/>
                <w:highlight w:val="none"/>
                <w:u w:val="none"/>
              </w:rPr>
            </w:pPr>
          </w:p>
        </w:tc>
        <w:tc>
          <w:tcPr>
            <w:tcW w:w="1288"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Theme="minorEastAsia" w:hAnsiTheme="minorEastAsia" w:eastAsiaTheme="minorEastAsia" w:cstheme="minorEastAsia"/>
                <w:bCs/>
                <w:color w:val="auto"/>
                <w:sz w:val="21"/>
                <w:szCs w:val="21"/>
                <w:highlight w:val="none"/>
                <w:u w:val="none"/>
              </w:rPr>
            </w:pPr>
          </w:p>
        </w:tc>
        <w:tc>
          <w:tcPr>
            <w:tcW w:w="96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Theme="minorEastAsia" w:hAnsiTheme="minorEastAsia" w:eastAsiaTheme="minorEastAsia" w:cstheme="minorEastAsia"/>
                <w:bCs/>
                <w:color w:val="auto"/>
                <w:sz w:val="21"/>
                <w:szCs w:val="21"/>
                <w:highlight w:val="none"/>
                <w:u w:val="none"/>
              </w:rPr>
            </w:pPr>
          </w:p>
        </w:tc>
        <w:tc>
          <w:tcPr>
            <w:tcW w:w="11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678.1</w:t>
            </w:r>
          </w:p>
        </w:tc>
        <w:tc>
          <w:tcPr>
            <w:tcW w:w="985"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14.1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34"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家具及其零件</w:t>
            </w:r>
          </w:p>
        </w:tc>
        <w:tc>
          <w:tcPr>
            <w:tcW w:w="1305" w:type="dxa"/>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Theme="minorEastAsia" w:hAnsiTheme="minorEastAsia" w:eastAsiaTheme="minorEastAsia" w:cstheme="minorEastAsia"/>
                <w:bCs/>
                <w:sz w:val="21"/>
                <w:szCs w:val="21"/>
                <w:highlight w:val="none"/>
                <w:u w:val="none"/>
              </w:rPr>
            </w:pPr>
          </w:p>
        </w:tc>
        <w:tc>
          <w:tcPr>
            <w:tcW w:w="1288"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Theme="minorEastAsia" w:hAnsiTheme="minorEastAsia" w:eastAsiaTheme="minorEastAsia" w:cstheme="minorEastAsia"/>
                <w:bCs/>
                <w:color w:val="auto"/>
                <w:sz w:val="21"/>
                <w:szCs w:val="21"/>
                <w:highlight w:val="none"/>
                <w:u w:val="none"/>
              </w:rPr>
            </w:pPr>
          </w:p>
        </w:tc>
        <w:tc>
          <w:tcPr>
            <w:tcW w:w="96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Theme="minorEastAsia" w:hAnsiTheme="minorEastAsia" w:eastAsiaTheme="minorEastAsia" w:cstheme="minorEastAsia"/>
                <w:bCs/>
                <w:color w:val="auto"/>
                <w:sz w:val="21"/>
                <w:szCs w:val="21"/>
                <w:highlight w:val="none"/>
                <w:u w:val="none"/>
              </w:rPr>
            </w:pPr>
          </w:p>
        </w:tc>
        <w:tc>
          <w:tcPr>
            <w:tcW w:w="11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1335.2</w:t>
            </w:r>
          </w:p>
        </w:tc>
        <w:tc>
          <w:tcPr>
            <w:tcW w:w="985"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bCs/>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12.2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34"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自动数据处理设备及其部件</w:t>
            </w:r>
          </w:p>
        </w:tc>
        <w:tc>
          <w:tcPr>
            <w:tcW w:w="1305" w:type="dxa"/>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万台</w:t>
            </w:r>
          </w:p>
        </w:tc>
        <w:tc>
          <w:tcPr>
            <w:tcW w:w="128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108641.28</w:t>
            </w:r>
          </w:p>
        </w:tc>
        <w:tc>
          <w:tcPr>
            <w:tcW w:w="96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7.4</w:t>
            </w:r>
          </w:p>
        </w:tc>
        <w:tc>
          <w:tcPr>
            <w:tcW w:w="11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3356.0</w:t>
            </w:r>
          </w:p>
        </w:tc>
        <w:tc>
          <w:tcPr>
            <w:tcW w:w="985"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18.7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34"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手机</w:t>
            </w:r>
          </w:p>
        </w:tc>
        <w:tc>
          <w:tcPr>
            <w:tcW w:w="1305" w:type="dxa"/>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万台</w:t>
            </w:r>
          </w:p>
        </w:tc>
        <w:tc>
          <w:tcPr>
            <w:tcW w:w="128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29462.91</w:t>
            </w:r>
          </w:p>
        </w:tc>
        <w:tc>
          <w:tcPr>
            <w:tcW w:w="96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-16.5</w:t>
            </w:r>
          </w:p>
        </w:tc>
        <w:tc>
          <w:tcPr>
            <w:tcW w:w="11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2559.8</w:t>
            </w:r>
          </w:p>
        </w:tc>
        <w:tc>
          <w:tcPr>
            <w:tcW w:w="985"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7.2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34"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集装箱</w:t>
            </w:r>
          </w:p>
        </w:tc>
        <w:tc>
          <w:tcPr>
            <w:tcW w:w="1305" w:type="dxa"/>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万个</w:t>
            </w:r>
          </w:p>
        </w:tc>
        <w:tc>
          <w:tcPr>
            <w:tcW w:w="128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83.96</w:t>
            </w:r>
          </w:p>
        </w:tc>
        <w:tc>
          <w:tcPr>
            <w:tcW w:w="96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126.6</w:t>
            </w:r>
          </w:p>
        </w:tc>
        <w:tc>
          <w:tcPr>
            <w:tcW w:w="11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322.4</w:t>
            </w:r>
          </w:p>
        </w:tc>
        <w:tc>
          <w:tcPr>
            <w:tcW w:w="985"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244.2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34"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集成电路</w:t>
            </w:r>
          </w:p>
        </w:tc>
        <w:tc>
          <w:tcPr>
            <w:tcW w:w="1305" w:type="dxa"/>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百万个</w:t>
            </w:r>
          </w:p>
        </w:tc>
        <w:tc>
          <w:tcPr>
            <w:tcW w:w="128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57802.34</w:t>
            </w:r>
          </w:p>
        </w:tc>
        <w:tc>
          <w:tcPr>
            <w:tcW w:w="96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17.9</w:t>
            </w:r>
          </w:p>
        </w:tc>
        <w:tc>
          <w:tcPr>
            <w:tcW w:w="11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 xml:space="preserve">1901.2 </w:t>
            </w:r>
          </w:p>
        </w:tc>
        <w:tc>
          <w:tcPr>
            <w:tcW w:w="985"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21.2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34"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液晶显示板</w:t>
            </w:r>
          </w:p>
        </w:tc>
        <w:tc>
          <w:tcPr>
            <w:tcW w:w="1305" w:type="dxa"/>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万个</w:t>
            </w:r>
          </w:p>
        </w:tc>
        <w:tc>
          <w:tcPr>
            <w:tcW w:w="128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 xml:space="preserve">74822.23 </w:t>
            </w:r>
          </w:p>
        </w:tc>
        <w:tc>
          <w:tcPr>
            <w:tcW w:w="96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11.1</w:t>
            </w:r>
          </w:p>
        </w:tc>
        <w:tc>
          <w:tcPr>
            <w:tcW w:w="11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722.4</w:t>
            </w:r>
          </w:p>
        </w:tc>
        <w:tc>
          <w:tcPr>
            <w:tcW w:w="985"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32.0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19" w:hRule="atLeast"/>
          <w:jc w:val="center"/>
        </w:trPr>
        <w:tc>
          <w:tcPr>
            <w:tcW w:w="303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汽车（包括底盘）</w:t>
            </w:r>
          </w:p>
        </w:tc>
        <w:tc>
          <w:tcPr>
            <w:tcW w:w="13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Cs/>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万辆</w:t>
            </w:r>
          </w:p>
        </w:tc>
        <w:tc>
          <w:tcPr>
            <w:tcW w:w="1288"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3.80</w:t>
            </w:r>
          </w:p>
        </w:tc>
        <w:tc>
          <w:tcPr>
            <w:tcW w:w="964"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55.0</w:t>
            </w:r>
          </w:p>
        </w:tc>
        <w:tc>
          <w:tcPr>
            <w:tcW w:w="1124"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53.2</w:t>
            </w:r>
          </w:p>
        </w:tc>
        <w:tc>
          <w:tcPr>
            <w:tcW w:w="985" w:type="dxa"/>
            <w:tcBorders>
              <w:top w:val="nil"/>
              <w:left w:val="single" w:color="000000" w:sz="4" w:space="0"/>
              <w:bottom w:val="single" w:color="000000" w:sz="4" w:space="0"/>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27.6</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表1</w:t>
      </w:r>
      <w:r>
        <w:rPr>
          <w:rFonts w:hint="eastAsia" w:ascii="黑体" w:hAnsi="黑体" w:eastAsia="黑体" w:cs="黑体"/>
          <w:bCs/>
          <w:snapToGrid w:val="0"/>
          <w:kern w:val="0"/>
          <w:sz w:val="32"/>
          <w:szCs w:val="32"/>
          <w:highlight w:val="none"/>
          <w:u w:val="none"/>
          <w:lang w:val="en-US" w:eastAsia="zh-CN"/>
        </w:rPr>
        <w:t>3</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年主要商品进口数量、金额及增长速度</w:t>
      </w:r>
    </w:p>
    <w:tbl>
      <w:tblPr>
        <w:tblStyle w:val="10"/>
        <w:tblW w:w="864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965"/>
        <w:gridCol w:w="1418"/>
        <w:gridCol w:w="1419"/>
        <w:gridCol w:w="1419"/>
        <w:gridCol w:w="141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商品名称</w:t>
            </w:r>
          </w:p>
        </w:tc>
        <w:tc>
          <w:tcPr>
            <w:tcW w:w="14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数量       （万吨）</w:t>
            </w:r>
          </w:p>
        </w:tc>
        <w:tc>
          <w:tcPr>
            <w:tcW w:w="14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比上年增长  （%）</w:t>
            </w:r>
          </w:p>
        </w:tc>
        <w:tc>
          <w:tcPr>
            <w:tcW w:w="14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金额       （亿元）</w:t>
            </w:r>
          </w:p>
        </w:tc>
        <w:tc>
          <w:tcPr>
            <w:tcW w:w="1419"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比上年增长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single" w:color="000000" w:sz="4" w:space="0"/>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稻谷及大米</w:t>
            </w:r>
          </w:p>
        </w:tc>
        <w:tc>
          <w:tcPr>
            <w:tcW w:w="1418" w:type="dxa"/>
            <w:tcBorders>
              <w:top w:val="single" w:color="000000" w:sz="4" w:space="0"/>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230.23</w:t>
            </w:r>
          </w:p>
        </w:tc>
        <w:tc>
          <w:tcPr>
            <w:tcW w:w="1419" w:type="dxa"/>
            <w:tcBorders>
              <w:top w:val="single" w:color="000000" w:sz="4" w:space="0"/>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77.7</w:t>
            </w:r>
          </w:p>
        </w:tc>
        <w:tc>
          <w:tcPr>
            <w:tcW w:w="1419" w:type="dxa"/>
            <w:tcBorders>
              <w:top w:val="single" w:color="000000" w:sz="4" w:space="0"/>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66.2</w:t>
            </w:r>
          </w:p>
        </w:tc>
        <w:tc>
          <w:tcPr>
            <w:tcW w:w="1419" w:type="dxa"/>
            <w:tcBorders>
              <w:top w:val="single" w:color="000000" w:sz="4" w:space="0"/>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44.0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大豆</w:t>
            </w:r>
          </w:p>
        </w:tc>
        <w:tc>
          <w:tcPr>
            <w:tcW w:w="141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245.73</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-34.1</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92.2</w:t>
            </w:r>
          </w:p>
        </w:tc>
        <w:tc>
          <w:tcPr>
            <w:tcW w:w="1419"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-9.8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食用植物油</w:t>
            </w:r>
          </w:p>
        </w:tc>
        <w:tc>
          <w:tcPr>
            <w:tcW w:w="141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62.59</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5.7</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42.1</w:t>
            </w:r>
          </w:p>
        </w:tc>
        <w:tc>
          <w:tcPr>
            <w:tcW w:w="1419"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38.8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天然及合成橡胶（包括胶乳）</w:t>
            </w:r>
          </w:p>
        </w:tc>
        <w:tc>
          <w:tcPr>
            <w:tcW w:w="141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33.03</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-5.1</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46.1</w:t>
            </w:r>
          </w:p>
        </w:tc>
        <w:tc>
          <w:tcPr>
            <w:tcW w:w="1419"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15.2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天然气</w:t>
            </w:r>
          </w:p>
        </w:tc>
        <w:tc>
          <w:tcPr>
            <w:tcW w:w="141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747.22</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19.6</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188.6</w:t>
            </w:r>
          </w:p>
        </w:tc>
        <w:tc>
          <w:tcPr>
            <w:tcW w:w="1419"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119.1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铁矿砂及其精矿</w:t>
            </w:r>
          </w:p>
        </w:tc>
        <w:tc>
          <w:tcPr>
            <w:tcW w:w="141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4120.84</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-9.7</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452.3</w:t>
            </w:r>
          </w:p>
        </w:tc>
        <w:tc>
          <w:tcPr>
            <w:tcW w:w="1419"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32.3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原油</w:t>
            </w:r>
          </w:p>
        </w:tc>
        <w:tc>
          <w:tcPr>
            <w:tcW w:w="141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629.01</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3.8</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204.2</w:t>
            </w:r>
          </w:p>
        </w:tc>
        <w:tc>
          <w:tcPr>
            <w:tcW w:w="1419"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52.9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成品油</w:t>
            </w:r>
          </w:p>
        </w:tc>
        <w:tc>
          <w:tcPr>
            <w:tcW w:w="141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144.98</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-31.0</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67.8</w:t>
            </w:r>
          </w:p>
        </w:tc>
        <w:tc>
          <w:tcPr>
            <w:tcW w:w="1419"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初级形状的塑料</w:t>
            </w:r>
          </w:p>
        </w:tc>
        <w:tc>
          <w:tcPr>
            <w:tcW w:w="141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853.12</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-12.2</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1086.4</w:t>
            </w:r>
          </w:p>
        </w:tc>
        <w:tc>
          <w:tcPr>
            <w:tcW w:w="1419"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10.3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纸浆</w:t>
            </w:r>
          </w:p>
        </w:tc>
        <w:tc>
          <w:tcPr>
            <w:tcW w:w="141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347.41</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-6.7</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128.6</w:t>
            </w:r>
          </w:p>
        </w:tc>
        <w:tc>
          <w:tcPr>
            <w:tcW w:w="1419"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8.3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钢材</w:t>
            </w:r>
          </w:p>
        </w:tc>
        <w:tc>
          <w:tcPr>
            <w:tcW w:w="141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353.35</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-2.0</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276.9</w:t>
            </w:r>
          </w:p>
        </w:tc>
        <w:tc>
          <w:tcPr>
            <w:tcW w:w="1419"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27.0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未锻</w:t>
            </w:r>
            <w:r>
              <w:rPr>
                <w:rStyle w:val="11"/>
                <w:highlight w:val="none"/>
                <w:u w:val="none"/>
                <w:lang w:val="en-US" w:eastAsia="zh-CN" w:bidi="ar"/>
              </w:rPr>
              <w:t>轧铜及铜材</w:t>
            </w:r>
          </w:p>
        </w:tc>
        <w:tc>
          <w:tcPr>
            <w:tcW w:w="1418"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69.93</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-11.8</w:t>
            </w:r>
          </w:p>
        </w:tc>
        <w:tc>
          <w:tcPr>
            <w:tcW w:w="141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443.7</w:t>
            </w:r>
          </w:p>
        </w:tc>
        <w:tc>
          <w:tcPr>
            <w:tcW w:w="1419"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12.0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9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美容化妆品及护肤品</w:t>
            </w:r>
          </w:p>
        </w:tc>
        <w:tc>
          <w:tcPr>
            <w:tcW w:w="1418"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7.77</w:t>
            </w:r>
          </w:p>
        </w:tc>
        <w:tc>
          <w:tcPr>
            <w:tcW w:w="1419"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-21.2</w:t>
            </w:r>
          </w:p>
        </w:tc>
        <w:tc>
          <w:tcPr>
            <w:tcW w:w="1419"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216.9</w:t>
            </w:r>
          </w:p>
        </w:tc>
        <w:tc>
          <w:tcPr>
            <w:tcW w:w="1419" w:type="dxa"/>
            <w:tcBorders>
              <w:top w:val="nil"/>
              <w:left w:val="single" w:color="000000" w:sz="4" w:space="0"/>
              <w:bottom w:val="single" w:color="000000" w:sz="4" w:space="0"/>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1.9</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表1</w:t>
      </w:r>
      <w:r>
        <w:rPr>
          <w:rFonts w:hint="eastAsia" w:ascii="黑体" w:hAnsi="黑体" w:eastAsia="黑体" w:cs="黑体"/>
          <w:bCs/>
          <w:snapToGrid w:val="0"/>
          <w:kern w:val="0"/>
          <w:sz w:val="32"/>
          <w:szCs w:val="32"/>
          <w:highlight w:val="none"/>
          <w:u w:val="none"/>
          <w:lang w:val="en-US" w:eastAsia="zh-CN"/>
        </w:rPr>
        <w:t>4</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w:t>
      </w:r>
      <w:r>
        <w:rPr>
          <w:rFonts w:hint="eastAsia" w:ascii="黑体" w:hAnsi="黑体" w:eastAsia="黑体" w:cs="黑体"/>
          <w:bCs/>
          <w:snapToGrid w:val="0"/>
          <w:kern w:val="0"/>
          <w:sz w:val="32"/>
          <w:szCs w:val="32"/>
          <w:highlight w:val="none"/>
          <w:u w:val="none"/>
          <w:lang w:eastAsia="zh-CN"/>
        </w:rPr>
        <w:t>对</w:t>
      </w:r>
      <w:r>
        <w:rPr>
          <w:rFonts w:hint="eastAsia" w:ascii="黑体" w:hAnsi="黑体" w:eastAsia="黑体" w:cs="黑体"/>
          <w:bCs/>
          <w:snapToGrid w:val="0"/>
          <w:kern w:val="0"/>
          <w:sz w:val="32"/>
          <w:szCs w:val="32"/>
          <w:highlight w:val="none"/>
          <w:u w:val="none"/>
        </w:rPr>
        <w:t>主要国家和地区货物进出口总额及增长速度</w:t>
      </w:r>
    </w:p>
    <w:tbl>
      <w:tblPr>
        <w:tblStyle w:val="10"/>
        <w:tblW w:w="856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692"/>
        <w:gridCol w:w="1467"/>
        <w:gridCol w:w="1466"/>
        <w:gridCol w:w="1467"/>
        <w:gridCol w:w="146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692"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国家和地区</w:t>
            </w:r>
          </w:p>
        </w:tc>
        <w:tc>
          <w:tcPr>
            <w:tcW w:w="1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出口额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（亿元）</w:t>
            </w:r>
          </w:p>
        </w:tc>
        <w:tc>
          <w:tcPr>
            <w:tcW w:w="14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比上年增长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Cs/>
                <w:color w:val="auto"/>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w:t>
            </w:r>
          </w:p>
        </w:tc>
        <w:tc>
          <w:tcPr>
            <w:tcW w:w="1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进口额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（亿元）</w:t>
            </w:r>
          </w:p>
        </w:tc>
        <w:tc>
          <w:tcPr>
            <w:tcW w:w="1468"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比上年增长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Cs/>
                <w:color w:val="auto"/>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692" w:type="dxa"/>
            <w:tcBorders>
              <w:top w:val="single" w:color="000000" w:sz="4" w:space="0"/>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中国香港</w:t>
            </w:r>
          </w:p>
        </w:tc>
        <w:tc>
          <w:tcPr>
            <w:tcW w:w="1467" w:type="dxa"/>
            <w:tcBorders>
              <w:top w:val="single" w:color="000000" w:sz="4" w:space="0"/>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11369</w:t>
            </w:r>
            <w:r>
              <w:rPr>
                <w:rFonts w:hint="eastAsia" w:ascii="宋体" w:hAnsi="宋体" w:eastAsia="宋体" w:cs="宋体"/>
                <w:bCs/>
                <w:color w:val="auto"/>
                <w:sz w:val="21"/>
                <w:szCs w:val="21"/>
                <w:highlight w:val="none"/>
                <w:u w:val="none"/>
                <w:lang w:val="en-US" w:eastAsia="zh-CN"/>
              </w:rPr>
              <w:t>.</w:t>
            </w:r>
            <w:r>
              <w:rPr>
                <w:rFonts w:hint="eastAsia" w:ascii="宋体" w:hAnsi="宋体" w:eastAsia="宋体" w:cs="宋体"/>
                <w:bCs/>
                <w:color w:val="auto"/>
                <w:sz w:val="21"/>
                <w:szCs w:val="21"/>
                <w:highlight w:val="none"/>
                <w:u w:val="none"/>
              </w:rPr>
              <w:t>8</w:t>
            </w:r>
          </w:p>
        </w:tc>
        <w:tc>
          <w:tcPr>
            <w:tcW w:w="1466" w:type="dxa"/>
            <w:tcBorders>
              <w:top w:val="single" w:color="000000" w:sz="4" w:space="0"/>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15.6 </w:t>
            </w:r>
          </w:p>
        </w:tc>
        <w:tc>
          <w:tcPr>
            <w:tcW w:w="1467" w:type="dxa"/>
            <w:tcBorders>
              <w:top w:val="single" w:color="000000" w:sz="4" w:space="0"/>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288</w:t>
            </w:r>
            <w:r>
              <w:rPr>
                <w:rFonts w:hint="eastAsia" w:ascii="宋体" w:hAnsi="宋体" w:eastAsia="宋体" w:cs="宋体"/>
                <w:bCs/>
                <w:color w:val="auto"/>
                <w:sz w:val="21"/>
                <w:szCs w:val="21"/>
                <w:highlight w:val="none"/>
                <w:u w:val="none"/>
                <w:lang w:val="en-US" w:eastAsia="zh-CN"/>
              </w:rPr>
              <w:t>.7</w:t>
            </w:r>
          </w:p>
        </w:tc>
        <w:tc>
          <w:tcPr>
            <w:tcW w:w="1468" w:type="dxa"/>
            <w:tcBorders>
              <w:top w:val="single" w:color="000000" w:sz="4" w:space="0"/>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48.0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692"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美国</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8616</w:t>
            </w:r>
            <w:r>
              <w:rPr>
                <w:rFonts w:hint="eastAsia" w:ascii="宋体" w:hAnsi="宋体" w:eastAsia="宋体" w:cs="宋体"/>
                <w:bCs/>
                <w:color w:val="auto"/>
                <w:sz w:val="21"/>
                <w:szCs w:val="21"/>
                <w:highlight w:val="none"/>
                <w:u w:val="none"/>
                <w:lang w:val="en-US" w:eastAsia="zh-CN"/>
              </w:rPr>
              <w:t>.6</w:t>
            </w:r>
          </w:p>
        </w:tc>
        <w:tc>
          <w:tcPr>
            <w:tcW w:w="1466"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16.6 </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1107</w:t>
            </w:r>
            <w:r>
              <w:rPr>
                <w:rFonts w:hint="eastAsia" w:ascii="宋体" w:hAnsi="宋体" w:eastAsia="宋体" w:cs="宋体"/>
                <w:bCs/>
                <w:color w:val="auto"/>
                <w:sz w:val="21"/>
                <w:szCs w:val="21"/>
                <w:highlight w:val="none"/>
                <w:u w:val="none"/>
                <w:lang w:val="en-US" w:eastAsia="zh-CN"/>
              </w:rPr>
              <w:t>.1</w:t>
            </w:r>
          </w:p>
        </w:tc>
        <w:tc>
          <w:tcPr>
            <w:tcW w:w="1468"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6.1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692"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欧洲联盟（27国，不含英国）</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7183</w:t>
            </w:r>
            <w:r>
              <w:rPr>
                <w:rFonts w:hint="eastAsia" w:ascii="宋体" w:hAnsi="宋体" w:eastAsia="宋体" w:cs="宋体"/>
                <w:bCs/>
                <w:color w:val="auto"/>
                <w:sz w:val="21"/>
                <w:szCs w:val="21"/>
                <w:highlight w:val="none"/>
                <w:u w:val="none"/>
                <w:lang w:val="en-US" w:eastAsia="zh-CN"/>
              </w:rPr>
              <w:t>.6</w:t>
            </w:r>
          </w:p>
        </w:tc>
        <w:tc>
          <w:tcPr>
            <w:tcW w:w="1466"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23.4 </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2049</w:t>
            </w:r>
            <w:r>
              <w:rPr>
                <w:rFonts w:hint="eastAsia" w:ascii="宋体" w:hAnsi="宋体" w:eastAsia="宋体" w:cs="宋体"/>
                <w:bCs/>
                <w:color w:val="auto"/>
                <w:sz w:val="21"/>
                <w:szCs w:val="21"/>
                <w:highlight w:val="none"/>
                <w:u w:val="none"/>
                <w:lang w:val="en-US" w:eastAsia="zh-CN"/>
              </w:rPr>
              <w:t>.</w:t>
            </w:r>
            <w:r>
              <w:rPr>
                <w:rFonts w:hint="eastAsia" w:ascii="宋体" w:hAnsi="宋体" w:eastAsia="宋体" w:cs="宋体"/>
                <w:bCs/>
                <w:color w:val="auto"/>
                <w:sz w:val="21"/>
                <w:szCs w:val="21"/>
                <w:highlight w:val="none"/>
                <w:u w:val="none"/>
              </w:rPr>
              <w:t>4</w:t>
            </w:r>
          </w:p>
        </w:tc>
        <w:tc>
          <w:tcPr>
            <w:tcW w:w="1468"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9.4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692"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东盟（10国）</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u w:val="none"/>
              </w:rPr>
              <w:t>6141</w:t>
            </w:r>
            <w:r>
              <w:rPr>
                <w:rFonts w:hint="eastAsia" w:ascii="宋体" w:hAnsi="宋体" w:eastAsia="宋体" w:cs="宋体"/>
                <w:bCs/>
                <w:color w:val="auto"/>
                <w:sz w:val="21"/>
                <w:szCs w:val="21"/>
                <w:highlight w:val="none"/>
                <w:u w:val="none"/>
                <w:lang w:val="en-US" w:eastAsia="zh-CN"/>
              </w:rPr>
              <w:t>.6</w:t>
            </w:r>
          </w:p>
        </w:tc>
        <w:tc>
          <w:tcPr>
            <w:tcW w:w="1466"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13.4 </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u w:val="none"/>
              </w:rPr>
              <w:t>6271</w:t>
            </w:r>
            <w:r>
              <w:rPr>
                <w:rFonts w:hint="eastAsia" w:ascii="宋体" w:hAnsi="宋体" w:eastAsia="宋体" w:cs="宋体"/>
                <w:bCs/>
                <w:color w:val="auto"/>
                <w:sz w:val="21"/>
                <w:szCs w:val="21"/>
                <w:highlight w:val="none"/>
                <w:u w:val="none"/>
                <w:lang w:val="en-US" w:eastAsia="zh-CN"/>
              </w:rPr>
              <w:t>.7</w:t>
            </w:r>
          </w:p>
        </w:tc>
        <w:tc>
          <w:tcPr>
            <w:tcW w:w="1468"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15.1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692"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日本</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u w:val="none"/>
              </w:rPr>
              <w:t>1816</w:t>
            </w:r>
            <w:r>
              <w:rPr>
                <w:rFonts w:hint="eastAsia" w:ascii="宋体" w:hAnsi="宋体" w:eastAsia="宋体" w:cs="宋体"/>
                <w:bCs/>
                <w:color w:val="auto"/>
                <w:sz w:val="21"/>
                <w:szCs w:val="21"/>
                <w:highlight w:val="none"/>
                <w:u w:val="none"/>
                <w:lang w:val="en-US" w:eastAsia="zh-CN"/>
              </w:rPr>
              <w:t>.</w:t>
            </w:r>
            <w:r>
              <w:rPr>
                <w:rFonts w:hint="eastAsia" w:ascii="宋体" w:hAnsi="宋体" w:eastAsia="宋体" w:cs="宋体"/>
                <w:bCs/>
                <w:color w:val="auto"/>
                <w:sz w:val="21"/>
                <w:szCs w:val="21"/>
                <w:highlight w:val="none"/>
                <w:u w:val="none"/>
              </w:rPr>
              <w:t>3</w:t>
            </w:r>
          </w:p>
        </w:tc>
        <w:tc>
          <w:tcPr>
            <w:tcW w:w="1466"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9.5 </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u w:val="none"/>
              </w:rPr>
              <w:t>2791</w:t>
            </w:r>
            <w:r>
              <w:rPr>
                <w:rFonts w:hint="eastAsia" w:ascii="宋体" w:hAnsi="宋体" w:eastAsia="宋体" w:cs="宋体"/>
                <w:bCs/>
                <w:color w:val="auto"/>
                <w:sz w:val="21"/>
                <w:szCs w:val="21"/>
                <w:highlight w:val="none"/>
                <w:u w:val="none"/>
                <w:lang w:val="en-US" w:eastAsia="zh-CN"/>
              </w:rPr>
              <w:t>.7</w:t>
            </w:r>
          </w:p>
        </w:tc>
        <w:tc>
          <w:tcPr>
            <w:tcW w:w="1468"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3.4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692"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韩国</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u w:val="none"/>
              </w:rPr>
              <w:t>1194</w:t>
            </w:r>
            <w:r>
              <w:rPr>
                <w:rFonts w:hint="eastAsia" w:ascii="宋体" w:hAnsi="宋体" w:eastAsia="宋体" w:cs="宋体"/>
                <w:bCs/>
                <w:color w:val="auto"/>
                <w:sz w:val="21"/>
                <w:szCs w:val="21"/>
                <w:highlight w:val="none"/>
                <w:u w:val="none"/>
                <w:lang w:val="en-US" w:eastAsia="zh-CN"/>
              </w:rPr>
              <w:t>.3</w:t>
            </w:r>
          </w:p>
        </w:tc>
        <w:tc>
          <w:tcPr>
            <w:tcW w:w="1466"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20.9 </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u w:val="none"/>
              </w:rPr>
              <w:t>3370</w:t>
            </w:r>
            <w:r>
              <w:rPr>
                <w:rFonts w:hint="eastAsia" w:ascii="宋体" w:hAnsi="宋体" w:eastAsia="宋体" w:cs="宋体"/>
                <w:bCs/>
                <w:color w:val="auto"/>
                <w:sz w:val="21"/>
                <w:szCs w:val="21"/>
                <w:highlight w:val="none"/>
                <w:u w:val="none"/>
                <w:lang w:val="en-US" w:eastAsia="zh-CN"/>
              </w:rPr>
              <w:t>.</w:t>
            </w:r>
            <w:r>
              <w:rPr>
                <w:rFonts w:hint="eastAsia" w:ascii="宋体" w:hAnsi="宋体" w:eastAsia="宋体" w:cs="宋体"/>
                <w:bCs/>
                <w:color w:val="auto"/>
                <w:sz w:val="21"/>
                <w:szCs w:val="21"/>
                <w:highlight w:val="none"/>
                <w:u w:val="none"/>
              </w:rPr>
              <w:t>1</w:t>
            </w:r>
          </w:p>
        </w:tc>
        <w:tc>
          <w:tcPr>
            <w:tcW w:w="1468"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16.3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692" w:type="dxa"/>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中国台湾</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u w:val="none"/>
              </w:rPr>
              <w:t>765</w:t>
            </w:r>
            <w:r>
              <w:rPr>
                <w:rFonts w:hint="eastAsia" w:ascii="宋体" w:hAnsi="宋体" w:eastAsia="宋体" w:cs="宋体"/>
                <w:bCs/>
                <w:color w:val="auto"/>
                <w:sz w:val="21"/>
                <w:szCs w:val="21"/>
                <w:highlight w:val="none"/>
                <w:u w:val="none"/>
                <w:lang w:val="en-US" w:eastAsia="zh-CN"/>
              </w:rPr>
              <w:t>.3</w:t>
            </w:r>
          </w:p>
        </w:tc>
        <w:tc>
          <w:tcPr>
            <w:tcW w:w="1466"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23.6 </w:t>
            </w:r>
          </w:p>
        </w:tc>
        <w:tc>
          <w:tcPr>
            <w:tcW w:w="1467" w:type="dxa"/>
            <w:tcBorders>
              <w:top w:val="nil"/>
              <w:left w:val="single" w:color="000000" w:sz="4" w:space="0"/>
              <w:bottom w:val="nil"/>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u w:val="none"/>
              </w:rPr>
              <w:t>5587</w:t>
            </w:r>
            <w:r>
              <w:rPr>
                <w:rFonts w:hint="eastAsia" w:ascii="宋体" w:hAnsi="宋体" w:eastAsia="宋体" w:cs="宋体"/>
                <w:bCs/>
                <w:color w:val="auto"/>
                <w:sz w:val="21"/>
                <w:szCs w:val="21"/>
                <w:highlight w:val="none"/>
                <w:u w:val="none"/>
                <w:lang w:val="en-US" w:eastAsia="zh-CN"/>
              </w:rPr>
              <w:t>.</w:t>
            </w:r>
            <w:r>
              <w:rPr>
                <w:rFonts w:hint="eastAsia" w:ascii="宋体" w:hAnsi="宋体" w:eastAsia="宋体" w:cs="宋体"/>
                <w:bCs/>
                <w:color w:val="auto"/>
                <w:sz w:val="21"/>
                <w:szCs w:val="21"/>
                <w:highlight w:val="none"/>
                <w:u w:val="none"/>
              </w:rPr>
              <w:t>0</w:t>
            </w:r>
          </w:p>
        </w:tc>
        <w:tc>
          <w:tcPr>
            <w:tcW w:w="1468" w:type="dxa"/>
            <w:tcBorders>
              <w:top w:val="nil"/>
              <w:left w:val="single" w:color="000000" w:sz="4" w:space="0"/>
              <w:bottom w:val="nil"/>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17.6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69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俄罗斯</w:t>
            </w:r>
          </w:p>
        </w:tc>
        <w:tc>
          <w:tcPr>
            <w:tcW w:w="1467" w:type="dxa"/>
            <w:tcBorders>
              <w:top w:val="nil"/>
              <w:left w:val="single" w:color="000000" w:sz="4" w:space="0"/>
              <w:bottom w:val="single" w:color="000000" w:sz="4" w:space="0"/>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u w:val="none"/>
              </w:rPr>
              <w:t>735</w:t>
            </w:r>
            <w:r>
              <w:rPr>
                <w:rFonts w:hint="eastAsia" w:ascii="宋体" w:hAnsi="宋体" w:eastAsia="宋体" w:cs="宋体"/>
                <w:bCs/>
                <w:color w:val="auto"/>
                <w:sz w:val="21"/>
                <w:szCs w:val="21"/>
                <w:highlight w:val="none"/>
                <w:u w:val="none"/>
                <w:lang w:val="en-US" w:eastAsia="zh-CN"/>
              </w:rPr>
              <w:t>.1</w:t>
            </w:r>
          </w:p>
        </w:tc>
        <w:tc>
          <w:tcPr>
            <w:tcW w:w="1466"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20.2 </w:t>
            </w:r>
          </w:p>
        </w:tc>
        <w:tc>
          <w:tcPr>
            <w:tcW w:w="1467" w:type="dxa"/>
            <w:tcBorders>
              <w:top w:val="nil"/>
              <w:left w:val="single" w:color="000000" w:sz="4" w:space="0"/>
              <w:bottom w:val="single" w:color="000000" w:sz="4" w:space="0"/>
              <w:right w:val="single" w:color="000000" w:sz="4" w:space="0"/>
            </w:tcBorders>
            <w:shd w:val="solid" w:color="FFFFFF" w:fill="auto"/>
            <w:vAlign w:val="bottom"/>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u w:val="none"/>
                <w:lang w:val="en-US" w:eastAsia="zh-CN"/>
              </w:rPr>
              <w:t>131.1</w:t>
            </w:r>
          </w:p>
        </w:tc>
        <w:tc>
          <w:tcPr>
            <w:tcW w:w="1468" w:type="dxa"/>
            <w:tcBorders>
              <w:top w:val="nil"/>
              <w:left w:val="single" w:color="000000" w:sz="4" w:space="0"/>
              <w:bottom w:val="single" w:color="000000" w:sz="4" w:space="0"/>
              <w:right w:val="nil"/>
            </w:tcBorders>
            <w:shd w:val="solid" w:color="FFFFFF"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55.1 </w:t>
            </w:r>
          </w:p>
        </w:tc>
      </w:tr>
    </w:tbl>
    <w:p>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仿宋_GB2312"/>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both"/>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全年新设外商直接投资企业16155个，比上年增长25.6%。实际使用外商直接投资金额1840.02亿元，增长13.6%；其中中国香港、澳门地区合计对广东直接投资金额1551.50亿元，增长17.1%。</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表1</w:t>
      </w:r>
      <w:r>
        <w:rPr>
          <w:rFonts w:hint="eastAsia" w:ascii="黑体" w:hAnsi="黑体" w:eastAsia="黑体" w:cs="黑体"/>
          <w:bCs/>
          <w:snapToGrid w:val="0"/>
          <w:kern w:val="0"/>
          <w:sz w:val="32"/>
          <w:szCs w:val="32"/>
          <w:highlight w:val="none"/>
          <w:u w:val="none"/>
          <w:lang w:val="en-US" w:eastAsia="zh-CN"/>
        </w:rPr>
        <w:t>5</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年分行业外商直接投资及增长速度</w:t>
      </w:r>
    </w:p>
    <w:tbl>
      <w:tblPr>
        <w:tblStyle w:val="10"/>
        <w:tblW w:w="8565"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391"/>
        <w:gridCol w:w="1689"/>
        <w:gridCol w:w="248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39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行业名称</w:t>
            </w:r>
          </w:p>
        </w:tc>
        <w:tc>
          <w:tcPr>
            <w:tcW w:w="1689" w:type="dxa"/>
            <w:tcBorders>
              <w:top w:val="single" w:color="000000" w:sz="4" w:space="0"/>
              <w:left w:val="single" w:color="000000" w:sz="4" w:space="0"/>
              <w:bottom w:val="single" w:color="auto"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实际使用金额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Cs/>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（亿元）</w:t>
            </w:r>
          </w:p>
        </w:tc>
        <w:tc>
          <w:tcPr>
            <w:tcW w:w="2485" w:type="dxa"/>
            <w:tcBorders>
              <w:top w:val="single" w:color="000000" w:sz="4" w:space="0"/>
              <w:left w:val="single" w:color="000000" w:sz="4" w:space="0"/>
              <w:right w:val="nil"/>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比上年</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Cs/>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总计</w:t>
            </w:r>
          </w:p>
        </w:tc>
        <w:tc>
          <w:tcPr>
            <w:tcW w:w="1689" w:type="dxa"/>
            <w:tcBorders>
              <w:top w:val="single" w:color="auto" w:sz="4" w:space="0"/>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1840.02</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农、林、牧、渔业</w:t>
            </w:r>
          </w:p>
        </w:tc>
        <w:tc>
          <w:tcPr>
            <w:tcW w:w="1689"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0.68</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163.9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采矿业</w:t>
            </w:r>
          </w:p>
        </w:tc>
        <w:tc>
          <w:tcPr>
            <w:tcW w:w="1689"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5.93</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8881.2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制造业</w:t>
            </w:r>
          </w:p>
        </w:tc>
        <w:tc>
          <w:tcPr>
            <w:tcW w:w="1689"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310.04</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电力、热力、燃气及水生产和供应业</w:t>
            </w:r>
          </w:p>
        </w:tc>
        <w:tc>
          <w:tcPr>
            <w:tcW w:w="1689"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26.91</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58.1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建筑业</w:t>
            </w:r>
          </w:p>
        </w:tc>
        <w:tc>
          <w:tcPr>
            <w:tcW w:w="1689"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2.39</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-81.1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kern w:val="2"/>
                <w:sz w:val="21"/>
                <w:szCs w:val="21"/>
                <w:highlight w:val="none"/>
                <w:u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批发和零售业</w:t>
            </w:r>
          </w:p>
        </w:tc>
        <w:tc>
          <w:tcPr>
            <w:tcW w:w="1689"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kern w:val="2"/>
                <w:sz w:val="21"/>
                <w:szCs w:val="21"/>
                <w:highlight w:val="none"/>
                <w:u w:val="none"/>
                <w:lang w:val="en-US" w:eastAsia="zh-CN" w:bidi="ar-SA"/>
              </w:rPr>
            </w:pPr>
            <w:r>
              <w:rPr>
                <w:rFonts w:hint="eastAsia" w:ascii="宋体" w:hAnsi="宋体" w:eastAsia="宋体" w:cs="宋体"/>
                <w:bCs/>
                <w:sz w:val="21"/>
                <w:szCs w:val="21"/>
                <w:highlight w:val="none"/>
                <w:u w:val="none"/>
                <w:lang w:val="en-US" w:eastAsia="zh-CN"/>
              </w:rPr>
              <w:t>131.31</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kern w:val="2"/>
                <w:sz w:val="21"/>
                <w:szCs w:val="21"/>
                <w:highlight w:val="none"/>
                <w:u w:val="none"/>
                <w:lang w:val="en-US" w:eastAsia="zh-CN" w:bidi="ar-SA"/>
              </w:rPr>
            </w:pPr>
            <w:r>
              <w:rPr>
                <w:rFonts w:hint="eastAsia" w:ascii="宋体" w:hAnsi="宋体" w:eastAsia="宋体" w:cs="宋体"/>
                <w:bCs/>
                <w:sz w:val="21"/>
                <w:szCs w:val="21"/>
                <w:highlight w:val="none"/>
                <w:u w:val="none"/>
                <w:lang w:val="en-US" w:eastAsia="zh-CN"/>
              </w:rPr>
              <w:t>72.9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lang w:eastAsia="zh-CN"/>
              </w:rPr>
            </w:pPr>
            <w:r>
              <w:rPr>
                <w:rFonts w:hint="eastAsia" w:ascii="宋体" w:hAnsi="宋体" w:eastAsia="宋体" w:cs="宋体"/>
                <w:i w:val="0"/>
                <w:color w:val="000000"/>
                <w:kern w:val="0"/>
                <w:sz w:val="21"/>
                <w:szCs w:val="21"/>
                <w:highlight w:val="none"/>
                <w:u w:val="none"/>
                <w:lang w:val="en-US" w:eastAsia="zh-CN" w:bidi="ar"/>
              </w:rPr>
              <w:t>交通运输、仓储和邮政业</w:t>
            </w:r>
          </w:p>
        </w:tc>
        <w:tc>
          <w:tcPr>
            <w:tcW w:w="1689"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13.09</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-88.8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kern w:val="2"/>
                <w:sz w:val="21"/>
                <w:szCs w:val="21"/>
                <w:highlight w:val="none"/>
                <w:u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住宿和餐饮业</w:t>
            </w:r>
          </w:p>
        </w:tc>
        <w:tc>
          <w:tcPr>
            <w:tcW w:w="1689"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kern w:val="2"/>
                <w:sz w:val="21"/>
                <w:szCs w:val="21"/>
                <w:highlight w:val="none"/>
                <w:u w:val="none"/>
                <w:lang w:val="en-US" w:eastAsia="zh-CN" w:bidi="ar-SA"/>
              </w:rPr>
            </w:pPr>
            <w:r>
              <w:rPr>
                <w:rFonts w:hint="eastAsia" w:ascii="宋体" w:hAnsi="宋体" w:eastAsia="宋体" w:cs="宋体"/>
                <w:bCs/>
                <w:sz w:val="21"/>
                <w:szCs w:val="21"/>
                <w:highlight w:val="none"/>
                <w:u w:val="none"/>
                <w:lang w:val="en-US" w:eastAsia="zh-CN"/>
              </w:rPr>
              <w:t>0.62</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kern w:val="2"/>
                <w:sz w:val="21"/>
                <w:szCs w:val="21"/>
                <w:highlight w:val="none"/>
                <w:u w:val="none"/>
                <w:lang w:val="en-US" w:eastAsia="zh-CN" w:bidi="ar-SA"/>
              </w:rPr>
            </w:pPr>
            <w:r>
              <w:rPr>
                <w:rFonts w:hint="eastAsia" w:ascii="宋体" w:hAnsi="宋体" w:eastAsia="宋体" w:cs="宋体"/>
                <w:bCs/>
                <w:sz w:val="21"/>
                <w:szCs w:val="21"/>
                <w:highlight w:val="none"/>
                <w:u w:val="none"/>
                <w:lang w:val="en-US" w:eastAsia="zh-CN"/>
              </w:rPr>
              <w:t>-68.5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信息传输、软件和信息技术服务业</w:t>
            </w:r>
          </w:p>
        </w:tc>
        <w:tc>
          <w:tcPr>
            <w:tcW w:w="1689"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241.51</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135.1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金融业</w:t>
            </w:r>
          </w:p>
        </w:tc>
        <w:tc>
          <w:tcPr>
            <w:tcW w:w="1689"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23.46</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-57.9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房地产业</w:t>
            </w:r>
          </w:p>
        </w:tc>
        <w:tc>
          <w:tcPr>
            <w:tcW w:w="1689"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341.99</w:t>
            </w:r>
          </w:p>
        </w:tc>
        <w:tc>
          <w:tcPr>
            <w:tcW w:w="2485"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128.6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4391" w:type="dxa"/>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租赁和商务服务业</w:t>
            </w:r>
          </w:p>
        </w:tc>
        <w:tc>
          <w:tcPr>
            <w:tcW w:w="1689" w:type="dxa"/>
            <w:tcBorders>
              <w:top w:val="nil"/>
              <w:left w:val="single" w:color="000000" w:sz="4" w:space="0"/>
              <w:bottom w:val="single" w:color="000000" w:sz="4" w:space="0"/>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527.42</w:t>
            </w:r>
          </w:p>
        </w:tc>
        <w:tc>
          <w:tcPr>
            <w:tcW w:w="2485" w:type="dxa"/>
            <w:tcBorders>
              <w:top w:val="nil"/>
              <w:left w:val="single" w:color="000000" w:sz="4" w:space="0"/>
              <w:bottom w:val="single" w:color="000000" w:sz="4" w:space="0"/>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-5.7</w:t>
            </w:r>
          </w:p>
        </w:tc>
      </w:tr>
    </w:tbl>
    <w:p>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仿宋_GB2312"/>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spacing w:val="-11"/>
          <w:kern w:val="0"/>
          <w:sz w:val="32"/>
          <w:szCs w:val="32"/>
          <w:highlight w:val="none"/>
          <w:u w:val="none"/>
        </w:rPr>
      </w:pPr>
      <w:r>
        <w:rPr>
          <w:rFonts w:hint="eastAsia" w:ascii="仿宋_GB2312"/>
          <w:snapToGrid w:val="0"/>
          <w:kern w:val="0"/>
          <w:sz w:val="32"/>
          <w:szCs w:val="32"/>
          <w:highlight w:val="none"/>
          <w:u w:val="none"/>
          <w:lang w:val="en-US" w:eastAsia="zh-CN"/>
        </w:rPr>
        <w:t>全</w:t>
      </w:r>
      <w:r>
        <w:rPr>
          <w:rFonts w:hint="eastAsia" w:ascii="仿宋_GB2312"/>
          <w:snapToGrid w:val="0"/>
          <w:spacing w:val="-11"/>
          <w:kern w:val="0"/>
          <w:sz w:val="32"/>
          <w:szCs w:val="32"/>
          <w:highlight w:val="none"/>
          <w:u w:val="none"/>
          <w:lang w:val="en-US" w:eastAsia="zh-CN"/>
        </w:rPr>
        <w:t>年经核准境外新增中方实际投资额</w:t>
      </w:r>
      <w:r>
        <w:rPr>
          <w:rFonts w:hint="eastAsia" w:ascii="仿宋_GB2312"/>
          <w:snapToGrid w:val="0"/>
          <w:kern w:val="0"/>
          <w:sz w:val="32"/>
          <w:szCs w:val="32"/>
          <w:highlight w:val="none"/>
          <w:u w:val="none"/>
          <w:lang w:val="en-US" w:eastAsia="zh-CN"/>
        </w:rPr>
        <w:t>169.7</w:t>
      </w:r>
      <w:r>
        <w:rPr>
          <w:rFonts w:hint="eastAsia" w:ascii="仿宋_GB2312"/>
          <w:snapToGrid w:val="0"/>
          <w:spacing w:val="-11"/>
          <w:kern w:val="0"/>
          <w:sz w:val="32"/>
          <w:szCs w:val="32"/>
          <w:highlight w:val="none"/>
          <w:u w:val="none"/>
          <w:lang w:val="en-US" w:eastAsia="zh-CN"/>
        </w:rPr>
        <w:t>亿美元，比上年增长</w:t>
      </w:r>
      <w:r>
        <w:rPr>
          <w:rFonts w:hint="eastAsia" w:ascii="仿宋_GB2312"/>
          <w:snapToGrid w:val="0"/>
          <w:kern w:val="0"/>
          <w:sz w:val="32"/>
          <w:szCs w:val="32"/>
          <w:highlight w:val="none"/>
          <w:u w:val="none"/>
          <w:lang w:val="en-US" w:eastAsia="zh-CN"/>
        </w:rPr>
        <w:t>7.3</w:t>
      </w:r>
      <w:r>
        <w:rPr>
          <w:rFonts w:hint="eastAsia" w:ascii="仿宋_GB2312"/>
          <w:snapToGrid w:val="0"/>
          <w:spacing w:val="-11"/>
          <w:kern w:val="0"/>
          <w:sz w:val="32"/>
          <w:szCs w:val="32"/>
          <w:highlight w:val="none"/>
          <w:u w:val="none"/>
          <w:lang w:val="en-US" w:eastAsia="zh-CN"/>
        </w:rPr>
        <w:t>%。对外承包工程完成营业额</w:t>
      </w:r>
      <w:r>
        <w:rPr>
          <w:rFonts w:hint="eastAsia" w:ascii="仿宋_GB2312"/>
          <w:snapToGrid w:val="0"/>
          <w:kern w:val="0"/>
          <w:sz w:val="32"/>
          <w:szCs w:val="32"/>
          <w:highlight w:val="none"/>
          <w:u w:val="none"/>
          <w:lang w:val="en-US" w:eastAsia="zh-CN"/>
        </w:rPr>
        <w:t>156.2</w:t>
      </w:r>
      <w:r>
        <w:rPr>
          <w:rFonts w:hint="eastAsia" w:ascii="仿宋_GB2312"/>
          <w:snapToGrid w:val="0"/>
          <w:spacing w:val="-11"/>
          <w:kern w:val="0"/>
          <w:sz w:val="32"/>
          <w:szCs w:val="32"/>
          <w:highlight w:val="none"/>
          <w:u w:val="none"/>
          <w:lang w:val="en-US" w:eastAsia="zh-CN"/>
        </w:rPr>
        <w:t>亿美元，下降</w:t>
      </w:r>
      <w:r>
        <w:rPr>
          <w:rFonts w:hint="eastAsia" w:ascii="仿宋_GB2312"/>
          <w:snapToGrid w:val="0"/>
          <w:kern w:val="0"/>
          <w:sz w:val="32"/>
          <w:szCs w:val="32"/>
          <w:highlight w:val="none"/>
          <w:u w:val="none"/>
          <w:lang w:val="en-US" w:eastAsia="zh-CN"/>
        </w:rPr>
        <w:t>0.3</w:t>
      </w:r>
      <w:r>
        <w:rPr>
          <w:rFonts w:hint="eastAsia" w:ascii="仿宋_GB2312"/>
          <w:snapToGrid w:val="0"/>
          <w:spacing w:val="-11"/>
          <w:kern w:val="0"/>
          <w:sz w:val="32"/>
          <w:szCs w:val="32"/>
          <w:highlight w:val="none"/>
          <w:u w:val="none"/>
          <w:lang w:val="en-US" w:eastAsia="zh-CN"/>
        </w:rPr>
        <w:t>%；对外劳务合作新签劳务人员合同工资总额</w:t>
      </w:r>
      <w:r>
        <w:rPr>
          <w:rFonts w:hint="eastAsia" w:ascii="仿宋_GB2312"/>
          <w:snapToGrid w:val="0"/>
          <w:kern w:val="0"/>
          <w:sz w:val="32"/>
          <w:szCs w:val="32"/>
          <w:highlight w:val="none"/>
          <w:u w:val="none"/>
          <w:lang w:val="en-US" w:eastAsia="zh-CN"/>
        </w:rPr>
        <w:t>6.4</w:t>
      </w:r>
      <w:r>
        <w:rPr>
          <w:rFonts w:hint="eastAsia" w:ascii="仿宋_GB2312"/>
          <w:snapToGrid w:val="0"/>
          <w:spacing w:val="-11"/>
          <w:kern w:val="0"/>
          <w:sz w:val="32"/>
          <w:szCs w:val="32"/>
          <w:highlight w:val="none"/>
          <w:u w:val="none"/>
          <w:lang w:val="en-US" w:eastAsia="zh-CN"/>
        </w:rPr>
        <w:t>亿美元，劳务人员实际收入总额</w:t>
      </w:r>
      <w:r>
        <w:rPr>
          <w:rFonts w:hint="eastAsia" w:ascii="仿宋_GB2312"/>
          <w:snapToGrid w:val="0"/>
          <w:kern w:val="0"/>
          <w:sz w:val="32"/>
          <w:szCs w:val="32"/>
          <w:highlight w:val="none"/>
          <w:u w:val="none"/>
          <w:lang w:val="en-US" w:eastAsia="zh-CN"/>
        </w:rPr>
        <w:t>8.7</w:t>
      </w:r>
      <w:r>
        <w:rPr>
          <w:rFonts w:hint="eastAsia" w:ascii="仿宋_GB2312"/>
          <w:snapToGrid w:val="0"/>
          <w:spacing w:val="-11"/>
          <w:kern w:val="0"/>
          <w:sz w:val="32"/>
          <w:szCs w:val="32"/>
          <w:highlight w:val="none"/>
          <w:u w:val="none"/>
          <w:lang w:val="en-US" w:eastAsia="zh-CN"/>
        </w:rPr>
        <w:t>亿美元；承包工程和劳务合作年末在外人员</w:t>
      </w:r>
      <w:r>
        <w:rPr>
          <w:rFonts w:hint="eastAsia" w:ascii="仿宋_GB2312"/>
          <w:snapToGrid w:val="0"/>
          <w:kern w:val="0"/>
          <w:sz w:val="32"/>
          <w:szCs w:val="32"/>
          <w:highlight w:val="none"/>
          <w:u w:val="none"/>
          <w:lang w:val="en-US" w:eastAsia="zh-CN"/>
        </w:rPr>
        <w:t>7.03</w:t>
      </w:r>
      <w:r>
        <w:rPr>
          <w:rFonts w:hint="eastAsia" w:ascii="仿宋_GB2312"/>
          <w:snapToGrid w:val="0"/>
          <w:spacing w:val="-11"/>
          <w:kern w:val="0"/>
          <w:sz w:val="32"/>
          <w:szCs w:val="32"/>
          <w:highlight w:val="none"/>
          <w:u w:val="none"/>
          <w:lang w:val="en-US" w:eastAsia="zh-CN"/>
        </w:rPr>
        <w:t>万人。</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表1</w:t>
      </w:r>
      <w:r>
        <w:rPr>
          <w:rFonts w:hint="eastAsia" w:ascii="黑体" w:hAnsi="黑体" w:eastAsia="黑体" w:cs="黑体"/>
          <w:bCs/>
          <w:snapToGrid w:val="0"/>
          <w:kern w:val="0"/>
          <w:sz w:val="32"/>
          <w:szCs w:val="32"/>
          <w:highlight w:val="none"/>
          <w:u w:val="none"/>
          <w:lang w:val="en-US" w:eastAsia="zh-CN"/>
        </w:rPr>
        <w:t>6</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年分行业对外直接投资及增长速度</w:t>
      </w:r>
    </w:p>
    <w:tbl>
      <w:tblPr>
        <w:tblStyle w:val="10"/>
        <w:tblW w:w="862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172"/>
        <w:gridCol w:w="1731"/>
        <w:gridCol w:w="171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172"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行业名称</w:t>
            </w:r>
          </w:p>
        </w:tc>
        <w:tc>
          <w:tcPr>
            <w:tcW w:w="173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对外直接投资金额（亿美元）</w:t>
            </w:r>
          </w:p>
        </w:tc>
        <w:tc>
          <w:tcPr>
            <w:tcW w:w="1717" w:type="dxa"/>
            <w:tcBorders>
              <w:top w:val="single" w:color="000000" w:sz="4" w:space="0"/>
              <w:left w:val="single" w:color="000000" w:sz="4" w:space="0"/>
              <w:bottom w:val="single" w:color="auto" w:sz="4" w:space="0"/>
              <w:right w:val="nil"/>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比上年</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Cs/>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总计</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169.7</w:t>
            </w:r>
          </w:p>
        </w:tc>
        <w:tc>
          <w:tcPr>
            <w:tcW w:w="1717" w:type="dxa"/>
            <w:tcBorders>
              <w:top w:val="single" w:color="auto" w:sz="4" w:space="0"/>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7.3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农、林、牧、渔业</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0.01</w:t>
            </w:r>
          </w:p>
        </w:tc>
        <w:tc>
          <w:tcPr>
            <w:tcW w:w="1717"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-97.4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采矿业</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0.7</w:t>
            </w:r>
          </w:p>
        </w:tc>
        <w:tc>
          <w:tcPr>
            <w:tcW w:w="1717"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-41.7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制造业</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20.4</w:t>
            </w:r>
          </w:p>
        </w:tc>
        <w:tc>
          <w:tcPr>
            <w:tcW w:w="1717"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84.0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电力、热力、燃气及水生产和供应业</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1.5</w:t>
            </w:r>
          </w:p>
        </w:tc>
        <w:tc>
          <w:tcPr>
            <w:tcW w:w="1717"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建筑业</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0.8</w:t>
            </w:r>
          </w:p>
        </w:tc>
        <w:tc>
          <w:tcPr>
            <w:tcW w:w="1717"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13.8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kern w:val="2"/>
                <w:sz w:val="21"/>
                <w:szCs w:val="21"/>
                <w:highlight w:val="none"/>
                <w:u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批发和零售业</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kern w:val="2"/>
                <w:sz w:val="21"/>
                <w:szCs w:val="21"/>
                <w:highlight w:val="none"/>
                <w:u w:val="none"/>
                <w:lang w:val="en-US" w:eastAsia="zh-CN" w:bidi="ar-SA"/>
              </w:rPr>
            </w:pPr>
            <w:r>
              <w:rPr>
                <w:rFonts w:hint="eastAsia" w:ascii="宋体" w:hAnsi="宋体" w:eastAsia="宋体" w:cs="宋体"/>
                <w:bCs/>
                <w:sz w:val="21"/>
                <w:szCs w:val="21"/>
                <w:highlight w:val="none"/>
                <w:u w:val="none"/>
                <w:lang w:val="en-US" w:eastAsia="zh-CN"/>
              </w:rPr>
              <w:t>39.2</w:t>
            </w:r>
          </w:p>
        </w:tc>
        <w:tc>
          <w:tcPr>
            <w:tcW w:w="1717"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kern w:val="2"/>
                <w:sz w:val="21"/>
                <w:szCs w:val="21"/>
                <w:highlight w:val="none"/>
                <w:u w:val="none"/>
                <w:lang w:val="en-US" w:eastAsia="zh-CN" w:bidi="ar-SA"/>
              </w:rPr>
            </w:pPr>
            <w:r>
              <w:rPr>
                <w:rFonts w:hint="eastAsia" w:ascii="宋体" w:hAnsi="宋体" w:eastAsia="宋体" w:cs="宋体"/>
                <w:bCs/>
                <w:sz w:val="21"/>
                <w:szCs w:val="21"/>
                <w:highlight w:val="none"/>
                <w:u w:val="none"/>
                <w:lang w:val="en-US" w:eastAsia="zh-CN"/>
              </w:rPr>
              <w:t>1.4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lang w:eastAsia="zh-CN"/>
              </w:rPr>
            </w:pPr>
            <w:r>
              <w:rPr>
                <w:rFonts w:hint="eastAsia" w:ascii="宋体" w:hAnsi="宋体" w:eastAsia="宋体" w:cs="宋体"/>
                <w:i w:val="0"/>
                <w:color w:val="000000"/>
                <w:kern w:val="0"/>
                <w:sz w:val="21"/>
                <w:szCs w:val="21"/>
                <w:highlight w:val="none"/>
                <w:u w:val="none"/>
                <w:lang w:val="en-US" w:eastAsia="zh-CN" w:bidi="ar"/>
              </w:rPr>
              <w:t>交通运输、仓储和邮政业</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8.9</w:t>
            </w:r>
          </w:p>
        </w:tc>
        <w:tc>
          <w:tcPr>
            <w:tcW w:w="1717"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760.0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kern w:val="2"/>
                <w:sz w:val="21"/>
                <w:szCs w:val="21"/>
                <w:highlight w:val="none"/>
                <w:u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住宿和餐饮业</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kern w:val="2"/>
                <w:sz w:val="21"/>
                <w:szCs w:val="21"/>
                <w:highlight w:val="none"/>
                <w:u w:val="none"/>
                <w:lang w:val="en-US" w:eastAsia="zh-CN" w:bidi="ar-SA"/>
              </w:rPr>
            </w:pPr>
            <w:r>
              <w:rPr>
                <w:rFonts w:hint="eastAsia" w:ascii="宋体" w:hAnsi="宋体" w:eastAsia="宋体" w:cs="宋体"/>
                <w:bCs/>
                <w:sz w:val="21"/>
                <w:szCs w:val="21"/>
                <w:highlight w:val="none"/>
                <w:u w:val="none"/>
                <w:lang w:val="en-US" w:eastAsia="zh-CN"/>
              </w:rPr>
              <w:t>1.7</w:t>
            </w:r>
          </w:p>
        </w:tc>
        <w:tc>
          <w:tcPr>
            <w:tcW w:w="1717"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kern w:val="2"/>
                <w:sz w:val="21"/>
                <w:szCs w:val="21"/>
                <w:highlight w:val="none"/>
                <w:u w:val="none"/>
                <w:lang w:val="en-US" w:eastAsia="zh-CN" w:bidi="ar-SA"/>
              </w:rPr>
            </w:pPr>
            <w:r>
              <w:rPr>
                <w:rFonts w:hint="eastAsia" w:ascii="宋体" w:hAnsi="宋体" w:eastAsia="宋体" w:cs="宋体"/>
                <w:bCs/>
                <w:sz w:val="21"/>
                <w:szCs w:val="21"/>
                <w:highlight w:val="none"/>
                <w:u w:val="none"/>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color w:val="auto"/>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信息传输、软件和信息技术服务业</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2.6</w:t>
            </w:r>
          </w:p>
        </w:tc>
        <w:tc>
          <w:tcPr>
            <w:tcW w:w="1717"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-71.0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金融业</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2.2</w:t>
            </w:r>
          </w:p>
        </w:tc>
        <w:tc>
          <w:tcPr>
            <w:tcW w:w="1717"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134.9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房地产业</w:t>
            </w:r>
          </w:p>
        </w:tc>
        <w:tc>
          <w:tcPr>
            <w:tcW w:w="1731" w:type="dxa"/>
            <w:tcBorders>
              <w:top w:val="nil"/>
              <w:left w:val="single" w:color="000000" w:sz="4" w:space="0"/>
              <w:bottom w:val="nil"/>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0.6</w:t>
            </w:r>
          </w:p>
        </w:tc>
        <w:tc>
          <w:tcPr>
            <w:tcW w:w="1717" w:type="dxa"/>
            <w:tcBorders>
              <w:top w:val="nil"/>
              <w:left w:val="single" w:color="000000" w:sz="4" w:space="0"/>
              <w:bottom w:val="nil"/>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69.5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283" w:hRule="atLeast"/>
          <w:jc w:val="center"/>
        </w:trPr>
        <w:tc>
          <w:tcPr>
            <w:tcW w:w="5172" w:type="dxa"/>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租赁和商务服务业</w:t>
            </w:r>
          </w:p>
        </w:tc>
        <w:tc>
          <w:tcPr>
            <w:tcW w:w="1731" w:type="dxa"/>
            <w:tcBorders>
              <w:top w:val="nil"/>
              <w:left w:val="single" w:color="000000" w:sz="4" w:space="0"/>
              <w:bottom w:val="single" w:color="000000" w:sz="4" w:space="0"/>
              <w:right w:val="single" w:color="000000" w:sz="4" w:space="0"/>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47.0</w:t>
            </w:r>
          </w:p>
        </w:tc>
        <w:tc>
          <w:tcPr>
            <w:tcW w:w="1717" w:type="dxa"/>
            <w:tcBorders>
              <w:top w:val="nil"/>
              <w:left w:val="single" w:color="000000" w:sz="4" w:space="0"/>
              <w:bottom w:val="single" w:color="000000" w:sz="4" w:space="0"/>
              <w:right w:val="nil"/>
            </w:tcBorders>
            <w:shd w:val="solid" w:color="FFFFFF" w:fill="auto"/>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-0.3</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kern w:val="0"/>
          <w:sz w:val="32"/>
          <w:szCs w:val="32"/>
          <w:highlight w:val="none"/>
          <w:u w:val="none"/>
          <w:lang w:val="en-US" w:eastAsia="zh-CN"/>
        </w:rPr>
      </w:pPr>
      <w:r>
        <w:rPr>
          <w:rFonts w:hint="eastAsia" w:ascii="黑体" w:hAnsi="黑体" w:eastAsia="黑体" w:cs="黑体"/>
          <w:snapToGrid w:val="0"/>
          <w:kern w:val="0"/>
          <w:sz w:val="32"/>
          <w:szCs w:val="32"/>
          <w:highlight w:val="none"/>
          <w:u w:val="none"/>
          <w:lang w:val="en-US" w:eastAsia="zh-CN"/>
        </w:rPr>
        <w:t>八、金融</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spacing w:val="-6"/>
          <w:kern w:val="0"/>
          <w:sz w:val="32"/>
          <w:szCs w:val="32"/>
          <w:highlight w:val="none"/>
          <w:u w:val="none"/>
        </w:rPr>
      </w:pPr>
      <w:r>
        <w:rPr>
          <w:rFonts w:hint="eastAsia" w:ascii="仿宋_GB2312"/>
          <w:snapToGrid w:val="0"/>
          <w:kern w:val="0"/>
          <w:sz w:val="32"/>
          <w:szCs w:val="32"/>
          <w:highlight w:val="none"/>
          <w:u w:val="none"/>
          <w:lang w:val="en-US" w:eastAsia="zh-CN"/>
        </w:rPr>
        <w:t>年</w:t>
      </w:r>
      <w:r>
        <w:rPr>
          <w:rFonts w:hint="eastAsia" w:ascii="仿宋_GB2312"/>
          <w:snapToGrid w:val="0"/>
          <w:spacing w:val="-6"/>
          <w:kern w:val="0"/>
          <w:sz w:val="32"/>
          <w:szCs w:val="32"/>
          <w:highlight w:val="none"/>
          <w:u w:val="none"/>
          <w:lang w:val="en-US" w:eastAsia="zh-CN"/>
        </w:rPr>
        <w:t>末全省金融机构本外币各项存款余额</w:t>
      </w:r>
      <w:r>
        <w:rPr>
          <w:rFonts w:hint="eastAsia" w:ascii="仿宋_GB2312"/>
          <w:snapToGrid w:val="0"/>
          <w:kern w:val="0"/>
          <w:sz w:val="32"/>
          <w:szCs w:val="32"/>
          <w:highlight w:val="none"/>
          <w:u w:val="none"/>
          <w:lang w:val="en-US" w:eastAsia="zh-CN"/>
        </w:rPr>
        <w:t>293169.22</w:t>
      </w:r>
      <w:r>
        <w:rPr>
          <w:rFonts w:hint="eastAsia" w:ascii="仿宋_GB2312"/>
          <w:snapToGrid w:val="0"/>
          <w:spacing w:val="-6"/>
          <w:kern w:val="0"/>
          <w:sz w:val="32"/>
          <w:szCs w:val="32"/>
          <w:highlight w:val="none"/>
          <w:u w:val="none"/>
          <w:lang w:val="en-US" w:eastAsia="zh-CN"/>
        </w:rPr>
        <w:t>亿元，比上年末增长</w:t>
      </w:r>
      <w:r>
        <w:rPr>
          <w:rFonts w:hint="eastAsia" w:ascii="仿宋_GB2312"/>
          <w:snapToGrid w:val="0"/>
          <w:kern w:val="0"/>
          <w:sz w:val="32"/>
          <w:szCs w:val="32"/>
          <w:highlight w:val="none"/>
          <w:u w:val="none"/>
          <w:lang w:val="en-US" w:eastAsia="zh-CN"/>
        </w:rPr>
        <w:t>9.5</w:t>
      </w:r>
      <w:r>
        <w:rPr>
          <w:rFonts w:hint="eastAsia" w:ascii="仿宋_GB2312"/>
          <w:snapToGrid w:val="0"/>
          <w:spacing w:val="-6"/>
          <w:kern w:val="0"/>
          <w:sz w:val="32"/>
          <w:szCs w:val="32"/>
          <w:highlight w:val="none"/>
          <w:u w:val="none"/>
          <w:lang w:val="en-US" w:eastAsia="zh-CN"/>
        </w:rPr>
        <w:t>%；各项贷款余额</w:t>
      </w:r>
      <w:r>
        <w:rPr>
          <w:rFonts w:hint="eastAsia" w:ascii="仿宋_GB2312"/>
          <w:snapToGrid w:val="0"/>
          <w:kern w:val="0"/>
          <w:sz w:val="32"/>
          <w:szCs w:val="32"/>
          <w:highlight w:val="none"/>
          <w:u w:val="none"/>
          <w:lang w:val="en-US" w:eastAsia="zh-CN"/>
        </w:rPr>
        <w:t>222234.29</w:t>
      </w:r>
      <w:r>
        <w:rPr>
          <w:rFonts w:hint="eastAsia" w:ascii="仿宋_GB2312"/>
          <w:snapToGrid w:val="0"/>
          <w:spacing w:val="-6"/>
          <w:kern w:val="0"/>
          <w:sz w:val="32"/>
          <w:szCs w:val="32"/>
          <w:highlight w:val="none"/>
          <w:u w:val="none"/>
          <w:lang w:val="en-US" w:eastAsia="zh-CN"/>
        </w:rPr>
        <w:t>亿元，增长</w:t>
      </w:r>
      <w:r>
        <w:rPr>
          <w:rFonts w:hint="eastAsia" w:ascii="仿宋_GB2312"/>
          <w:snapToGrid w:val="0"/>
          <w:kern w:val="0"/>
          <w:sz w:val="32"/>
          <w:szCs w:val="32"/>
          <w:highlight w:val="none"/>
          <w:u w:val="none"/>
          <w:lang w:val="en-US" w:eastAsia="zh-CN"/>
        </w:rPr>
        <w:t>13.6</w:t>
      </w:r>
      <w:r>
        <w:rPr>
          <w:rFonts w:hint="eastAsia" w:ascii="仿宋_GB2312"/>
          <w:snapToGrid w:val="0"/>
          <w:spacing w:val="-6"/>
          <w:kern w:val="0"/>
          <w:sz w:val="32"/>
          <w:szCs w:val="32"/>
          <w:highlight w:val="none"/>
          <w:u w:val="none"/>
          <w:lang w:val="en-US" w:eastAsia="zh-CN"/>
        </w:rPr>
        <w:t>%。年末全省农村合作机构本外币存款余额</w:t>
      </w:r>
      <w:r>
        <w:rPr>
          <w:rFonts w:hint="eastAsia" w:ascii="仿宋_GB2312"/>
          <w:snapToGrid w:val="0"/>
          <w:kern w:val="0"/>
          <w:sz w:val="32"/>
          <w:szCs w:val="32"/>
          <w:highlight w:val="none"/>
          <w:u w:val="none"/>
          <w:lang w:val="en-US" w:eastAsia="zh-CN"/>
        </w:rPr>
        <w:t>35463.39</w:t>
      </w:r>
      <w:r>
        <w:rPr>
          <w:rFonts w:hint="eastAsia" w:ascii="仿宋_GB2312"/>
          <w:snapToGrid w:val="0"/>
          <w:spacing w:val="-6"/>
          <w:kern w:val="0"/>
          <w:sz w:val="32"/>
          <w:szCs w:val="32"/>
          <w:highlight w:val="none"/>
          <w:u w:val="none"/>
          <w:lang w:val="en-US" w:eastAsia="zh-CN"/>
        </w:rPr>
        <w:t>亿元，增长</w:t>
      </w:r>
      <w:r>
        <w:rPr>
          <w:rFonts w:hint="eastAsia" w:ascii="仿宋_GB2312"/>
          <w:snapToGrid w:val="0"/>
          <w:kern w:val="0"/>
          <w:sz w:val="32"/>
          <w:szCs w:val="32"/>
          <w:highlight w:val="none"/>
          <w:u w:val="none"/>
          <w:lang w:val="en-US" w:eastAsia="zh-CN"/>
        </w:rPr>
        <w:t>8.9</w:t>
      </w:r>
      <w:r>
        <w:rPr>
          <w:rFonts w:hint="eastAsia" w:ascii="仿宋_GB2312"/>
          <w:snapToGrid w:val="0"/>
          <w:spacing w:val="-6"/>
          <w:kern w:val="0"/>
          <w:sz w:val="32"/>
          <w:szCs w:val="32"/>
          <w:highlight w:val="none"/>
          <w:u w:val="none"/>
          <w:lang w:val="en-US" w:eastAsia="zh-CN"/>
        </w:rPr>
        <w:t>%；各项贷款余额</w:t>
      </w:r>
      <w:r>
        <w:rPr>
          <w:rFonts w:hint="eastAsia" w:ascii="仿宋_GB2312"/>
          <w:snapToGrid w:val="0"/>
          <w:kern w:val="0"/>
          <w:sz w:val="32"/>
          <w:szCs w:val="32"/>
          <w:highlight w:val="none"/>
          <w:u w:val="none"/>
          <w:lang w:val="en-US" w:eastAsia="zh-CN"/>
        </w:rPr>
        <w:t>24137.68</w:t>
      </w:r>
      <w:r>
        <w:rPr>
          <w:rFonts w:hint="eastAsia" w:ascii="仿宋_GB2312"/>
          <w:snapToGrid w:val="0"/>
          <w:spacing w:val="-6"/>
          <w:kern w:val="0"/>
          <w:sz w:val="32"/>
          <w:szCs w:val="32"/>
          <w:highlight w:val="none"/>
          <w:u w:val="none"/>
          <w:lang w:val="en-US" w:eastAsia="zh-CN"/>
        </w:rPr>
        <w:t>亿元，增长</w:t>
      </w:r>
      <w:r>
        <w:rPr>
          <w:rFonts w:hint="eastAsia" w:ascii="仿宋_GB2312"/>
          <w:snapToGrid w:val="0"/>
          <w:kern w:val="0"/>
          <w:sz w:val="32"/>
          <w:szCs w:val="32"/>
          <w:highlight w:val="none"/>
          <w:u w:val="none"/>
          <w:lang w:val="en-US" w:eastAsia="zh-CN"/>
        </w:rPr>
        <w:t>15.5</w:t>
      </w:r>
      <w:r>
        <w:rPr>
          <w:rFonts w:hint="eastAsia" w:ascii="仿宋_GB2312"/>
          <w:snapToGrid w:val="0"/>
          <w:spacing w:val="-6"/>
          <w:kern w:val="0"/>
          <w:sz w:val="32"/>
          <w:szCs w:val="32"/>
          <w:highlight w:val="none"/>
          <w:u w:val="none"/>
          <w:lang w:val="en-US" w:eastAsia="zh-CN"/>
        </w:rPr>
        <w:t>%。银行业金融机构本年利润（税后）</w:t>
      </w:r>
      <w:r>
        <w:rPr>
          <w:rFonts w:hint="eastAsia" w:ascii="仿宋_GB2312"/>
          <w:snapToGrid w:val="0"/>
          <w:kern w:val="0"/>
          <w:sz w:val="32"/>
          <w:szCs w:val="32"/>
          <w:highlight w:val="none"/>
          <w:u w:val="none"/>
          <w:lang w:val="en-US" w:eastAsia="zh-CN"/>
        </w:rPr>
        <w:t>3028.21</w:t>
      </w:r>
      <w:r>
        <w:rPr>
          <w:rFonts w:hint="eastAsia" w:ascii="仿宋_GB2312"/>
          <w:snapToGrid w:val="0"/>
          <w:spacing w:val="-6"/>
          <w:kern w:val="0"/>
          <w:sz w:val="32"/>
          <w:szCs w:val="32"/>
          <w:highlight w:val="none"/>
          <w:u w:val="none"/>
          <w:lang w:val="en-US" w:eastAsia="zh-CN"/>
        </w:rPr>
        <w:t>亿元，下降</w:t>
      </w:r>
      <w:r>
        <w:rPr>
          <w:rFonts w:hint="eastAsia" w:ascii="仿宋_GB2312"/>
          <w:snapToGrid w:val="0"/>
          <w:kern w:val="0"/>
          <w:sz w:val="32"/>
          <w:szCs w:val="32"/>
          <w:highlight w:val="none"/>
          <w:u w:val="none"/>
          <w:lang w:val="en-US" w:eastAsia="zh-CN"/>
        </w:rPr>
        <w:t>5.8</w:t>
      </w:r>
      <w:r>
        <w:rPr>
          <w:rFonts w:hint="eastAsia" w:ascii="仿宋_GB2312"/>
          <w:snapToGrid w:val="0"/>
          <w:spacing w:val="-6"/>
          <w:kern w:val="0"/>
          <w:sz w:val="32"/>
          <w:szCs w:val="32"/>
          <w:highlight w:val="none"/>
          <w:u w:val="none"/>
          <w:lang w:val="en-US" w:eastAsia="zh-CN"/>
        </w:rPr>
        <w:t>%。年末银行业金融机构不良贷款率为</w:t>
      </w:r>
      <w:r>
        <w:rPr>
          <w:rFonts w:hint="eastAsia" w:ascii="仿宋_GB2312"/>
          <w:snapToGrid w:val="0"/>
          <w:kern w:val="0"/>
          <w:sz w:val="32"/>
          <w:szCs w:val="32"/>
          <w:highlight w:val="none"/>
          <w:u w:val="none"/>
          <w:lang w:val="en-US" w:eastAsia="zh-CN"/>
        </w:rPr>
        <w:t>1.15</w:t>
      </w:r>
      <w:r>
        <w:rPr>
          <w:rFonts w:hint="eastAsia" w:ascii="仿宋_GB2312"/>
          <w:snapToGrid w:val="0"/>
          <w:spacing w:val="-6"/>
          <w:kern w:val="0"/>
          <w:sz w:val="32"/>
          <w:szCs w:val="32"/>
          <w:highlight w:val="none"/>
          <w:u w:val="none"/>
          <w:lang w:val="en-US" w:eastAsia="zh-CN"/>
        </w:rPr>
        <w:t>%，回落</w:t>
      </w:r>
      <w:r>
        <w:rPr>
          <w:rFonts w:hint="eastAsia" w:ascii="仿宋_GB2312"/>
          <w:snapToGrid w:val="0"/>
          <w:kern w:val="0"/>
          <w:sz w:val="32"/>
          <w:szCs w:val="32"/>
          <w:highlight w:val="none"/>
          <w:u w:val="none"/>
          <w:lang w:val="en-US" w:eastAsia="zh-CN"/>
        </w:rPr>
        <w:t>0.04</w:t>
      </w:r>
      <w:r>
        <w:rPr>
          <w:rFonts w:hint="eastAsia" w:ascii="仿宋_GB2312"/>
          <w:snapToGrid w:val="0"/>
          <w:spacing w:val="-6"/>
          <w:kern w:val="0"/>
          <w:sz w:val="32"/>
          <w:szCs w:val="32"/>
          <w:highlight w:val="none"/>
          <w:u w:val="none"/>
          <w:lang w:val="en-US" w:eastAsia="zh-CN"/>
        </w:rPr>
        <w:t>个百分点。</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color w:val="auto"/>
          <w:kern w:val="0"/>
          <w:sz w:val="32"/>
          <w:szCs w:val="32"/>
          <w:highlight w:val="none"/>
          <w:u w:val="none"/>
        </w:rPr>
      </w:pPr>
      <w:r>
        <w:rPr>
          <w:rFonts w:hint="eastAsia" w:ascii="黑体" w:hAnsi="黑体" w:eastAsia="黑体" w:cs="黑体"/>
          <w:bCs/>
          <w:snapToGrid w:val="0"/>
          <w:color w:val="auto"/>
          <w:kern w:val="0"/>
          <w:sz w:val="32"/>
          <w:szCs w:val="32"/>
          <w:highlight w:val="none"/>
          <w:u w:val="none"/>
        </w:rPr>
        <w:t>表1</w:t>
      </w:r>
      <w:r>
        <w:rPr>
          <w:rFonts w:hint="eastAsia" w:ascii="黑体" w:hAnsi="黑体" w:eastAsia="黑体" w:cs="黑体"/>
          <w:bCs/>
          <w:snapToGrid w:val="0"/>
          <w:color w:val="auto"/>
          <w:kern w:val="0"/>
          <w:sz w:val="32"/>
          <w:szCs w:val="32"/>
          <w:highlight w:val="none"/>
          <w:u w:val="none"/>
          <w:lang w:val="en-US" w:eastAsia="zh-CN"/>
        </w:rPr>
        <w:t>7</w:t>
      </w:r>
      <w:r>
        <w:rPr>
          <w:rFonts w:hint="eastAsia" w:ascii="黑体" w:hAnsi="黑体" w:eastAsia="黑体" w:cs="黑体"/>
          <w:bCs/>
          <w:snapToGrid w:val="0"/>
          <w:color w:val="auto"/>
          <w:kern w:val="0"/>
          <w:sz w:val="32"/>
          <w:szCs w:val="32"/>
          <w:highlight w:val="none"/>
          <w:u w:val="none"/>
        </w:rPr>
        <w:t xml:space="preserve">  </w:t>
      </w:r>
      <w:r>
        <w:rPr>
          <w:rFonts w:hint="eastAsia" w:ascii="黑体" w:hAnsi="黑体" w:eastAsia="黑体" w:cs="黑体"/>
          <w:bCs/>
          <w:snapToGrid w:val="0"/>
          <w:color w:val="auto"/>
          <w:kern w:val="0"/>
          <w:sz w:val="32"/>
          <w:szCs w:val="32"/>
          <w:highlight w:val="none"/>
          <w:u w:val="none"/>
          <w:lang w:eastAsia="zh-CN"/>
        </w:rPr>
        <w:t>2021</w:t>
      </w:r>
      <w:r>
        <w:rPr>
          <w:rFonts w:hint="eastAsia" w:ascii="黑体" w:hAnsi="黑体" w:eastAsia="黑体" w:cs="黑体"/>
          <w:bCs/>
          <w:snapToGrid w:val="0"/>
          <w:color w:val="auto"/>
          <w:kern w:val="0"/>
          <w:sz w:val="32"/>
          <w:szCs w:val="32"/>
          <w:highlight w:val="none"/>
          <w:u w:val="none"/>
        </w:rPr>
        <w:t>年末金融机构本外币存贷款及增长速度</w:t>
      </w:r>
    </w:p>
    <w:tbl>
      <w:tblPr>
        <w:tblStyle w:val="10"/>
        <w:tblW w:w="874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582"/>
        <w:gridCol w:w="2738"/>
        <w:gridCol w:w="242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3582"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指标</w:t>
            </w:r>
          </w:p>
        </w:tc>
        <w:tc>
          <w:tcPr>
            <w:tcW w:w="2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绝对数（亿元）</w:t>
            </w:r>
          </w:p>
        </w:tc>
        <w:tc>
          <w:tcPr>
            <w:tcW w:w="2420"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比上年末增长（%）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3582" w:type="dxa"/>
            <w:tcBorders>
              <w:top w:val="single" w:color="000000" w:sz="4" w:space="0"/>
              <w:left w:val="nil"/>
              <w:bottom w:val="nil"/>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各项存款余额</w:t>
            </w:r>
          </w:p>
        </w:tc>
        <w:tc>
          <w:tcPr>
            <w:tcW w:w="2738" w:type="dxa"/>
            <w:tcBorders>
              <w:top w:val="single" w:color="000000" w:sz="4" w:space="0"/>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293169.22</w:t>
            </w:r>
          </w:p>
        </w:tc>
        <w:tc>
          <w:tcPr>
            <w:tcW w:w="2420" w:type="dxa"/>
            <w:tcBorders>
              <w:top w:val="single" w:color="000000" w:sz="4" w:space="0"/>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3582" w:type="dxa"/>
            <w:tcBorders>
              <w:top w:val="nil"/>
              <w:left w:val="nil"/>
              <w:bottom w:val="nil"/>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其中：非金融企业存款</w:t>
            </w:r>
          </w:p>
        </w:tc>
        <w:tc>
          <w:tcPr>
            <w:tcW w:w="2738"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110133.55</w:t>
            </w:r>
          </w:p>
        </w:tc>
        <w:tc>
          <w:tcPr>
            <w:tcW w:w="2420"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7.4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3582" w:type="dxa"/>
            <w:tcBorders>
              <w:top w:val="nil"/>
              <w:left w:val="nil"/>
              <w:bottom w:val="nil"/>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675" w:firstLineChars="300"/>
              <w:jc w:val="both"/>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住户存款</w:t>
            </w:r>
          </w:p>
        </w:tc>
        <w:tc>
          <w:tcPr>
            <w:tcW w:w="2738"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97598.57</w:t>
            </w:r>
          </w:p>
        </w:tc>
        <w:tc>
          <w:tcPr>
            <w:tcW w:w="2420"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9.7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3582" w:type="dxa"/>
            <w:tcBorders>
              <w:top w:val="nil"/>
              <w:left w:val="nil"/>
              <w:bottom w:val="nil"/>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各项贷款余额</w:t>
            </w:r>
          </w:p>
        </w:tc>
        <w:tc>
          <w:tcPr>
            <w:tcW w:w="2738"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222234.29</w:t>
            </w:r>
          </w:p>
        </w:tc>
        <w:tc>
          <w:tcPr>
            <w:tcW w:w="2420"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3582" w:type="dxa"/>
            <w:tcBorders>
              <w:top w:val="nil"/>
              <w:left w:val="nil"/>
              <w:bottom w:val="nil"/>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其中：境内短期贷款</w:t>
            </w:r>
          </w:p>
        </w:tc>
        <w:tc>
          <w:tcPr>
            <w:tcW w:w="2738"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47468.82</w:t>
            </w:r>
          </w:p>
        </w:tc>
        <w:tc>
          <w:tcPr>
            <w:tcW w:w="2420"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7.1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3582" w:type="dxa"/>
            <w:tcBorders>
              <w:top w:val="nil"/>
              <w:left w:val="nil"/>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 xml:space="preserve">      境内中长期贷款</w:t>
            </w:r>
          </w:p>
        </w:tc>
        <w:tc>
          <w:tcPr>
            <w:tcW w:w="2738" w:type="dxa"/>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157965.11</w:t>
            </w:r>
          </w:p>
        </w:tc>
        <w:tc>
          <w:tcPr>
            <w:tcW w:w="2420" w:type="dxa"/>
            <w:tcBorders>
              <w:top w:val="nil"/>
              <w:left w:val="single" w:color="000000" w:sz="4" w:space="0"/>
              <w:bottom w:val="single" w:color="000000" w:sz="4" w:space="0"/>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14.8</w:t>
            </w:r>
          </w:p>
        </w:tc>
      </w:tr>
    </w:tbl>
    <w:p>
      <w:pPr>
        <w:keepNext w:val="0"/>
        <w:keepLines w:val="0"/>
        <w:pageBreakBefore w:val="0"/>
        <w:widowControl w:val="0"/>
        <w:kinsoku/>
        <w:wordWrap/>
        <w:overflowPunct/>
        <w:topLinePunct w:val="0"/>
        <w:autoSpaceDE/>
        <w:autoSpaceDN/>
        <w:bidi w:val="0"/>
        <w:adjustRightInd w:val="0"/>
        <w:snapToGrid/>
        <w:spacing w:line="240" w:lineRule="exact"/>
        <w:ind w:firstLine="670" w:firstLineChars="200"/>
        <w:textAlignment w:val="auto"/>
        <w:rPr>
          <w:rFonts w:hint="eastAsia" w:ascii="仿宋_GB2312"/>
          <w:snapToGrid w:val="0"/>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snapToGrid w:val="0"/>
          <w:kern w:val="0"/>
          <w:sz w:val="32"/>
          <w:szCs w:val="32"/>
          <w:highlight w:val="none"/>
          <w:u w:val="none"/>
          <w:lang w:val="en-US" w:eastAsia="zh-CN"/>
        </w:rPr>
      </w:pPr>
      <w:r>
        <w:rPr>
          <w:rFonts w:hint="eastAsia" w:ascii="黑体" w:hAnsi="黑体" w:eastAsia="黑体" w:cs="黑体"/>
          <w:snapToGrid w:val="0"/>
          <w:kern w:val="0"/>
          <w:sz w:val="32"/>
          <w:szCs w:val="32"/>
          <w:highlight w:val="none"/>
          <w:u w:val="none"/>
          <w:lang w:val="en-US" w:eastAsia="zh-CN"/>
        </w:rPr>
        <w:t>图10  2016-2021年本外币住户存款余额及增长速度</w:t>
      </w:r>
      <w:r>
        <w:rPr>
          <w:highlight w:val="none"/>
          <w:u w:val="none"/>
        </w:rPr>
        <w:drawing>
          <wp:inline distT="0" distB="0" distL="114300" distR="114300">
            <wp:extent cx="4862830" cy="3275965"/>
            <wp:effectExtent l="0" t="0" r="1397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4862830" cy="3275965"/>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rPr>
          <w:rFonts w:hint="eastAsia" w:ascii="仿宋_GB2312"/>
          <w:snapToGrid w:val="0"/>
          <w:color w:val="FF000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年末全省证券市场共有沪深交易所上市公司759家，市价总值15.48万亿元。全年上市公司通过资本市场累计筹资12819.31亿元。</w:t>
      </w:r>
      <w:r>
        <w:rPr>
          <w:rFonts w:hint="eastAsia" w:ascii="仿宋_GB2312"/>
          <w:snapToGrid w:val="0"/>
          <w:color w:val="auto"/>
          <w:kern w:val="0"/>
          <w:sz w:val="32"/>
          <w:szCs w:val="32"/>
          <w:highlight w:val="none"/>
          <w:u w:val="none"/>
          <w:lang w:val="en-US" w:eastAsia="zh-CN"/>
        </w:rPr>
        <w:t>北交所上市公司10家，全国股转系统新三板挂牌企业975家。证券公司28家，证券公司分支机构1665家，股票账户数19696.76万户，增长13.9%；代理股票交易额149.69万亿元，增长26.7%。基金公司36家，共管理3073只公募基金。基金规模77972.77亿份，增长36.6%；基金净值91590.23亿元，增长35.6%。期货公司22家</w:t>
      </w:r>
      <w:r>
        <w:rPr>
          <w:rFonts w:hint="eastAsia" w:ascii="仿宋_GB2312"/>
          <w:snapToGrid w:val="0"/>
          <w:color w:val="auto"/>
          <w:kern w:val="0"/>
          <w:sz w:val="32"/>
          <w:szCs w:val="32"/>
          <w:highlight w:val="none"/>
          <w:u w:val="none"/>
        </w:rPr>
        <w:t>，</w:t>
      </w:r>
      <w:r>
        <w:rPr>
          <w:rFonts w:hint="eastAsia" w:ascii="仿宋_GB2312"/>
          <w:snapToGrid w:val="0"/>
          <w:color w:val="auto"/>
          <w:kern w:val="0"/>
          <w:sz w:val="32"/>
          <w:szCs w:val="32"/>
          <w:highlight w:val="none"/>
          <w:u w:val="none"/>
          <w:lang w:val="en-US" w:eastAsia="zh-CN"/>
        </w:rPr>
        <w:t>全年公司代理交易额228.04万亿元，增长38.2%。中国证券投资基金业协会登记备案的私募基金管理人6127家，管理私募基金29307只，基金规模33686.93亿元。</w:t>
      </w:r>
    </w:p>
    <w:p>
      <w:pPr>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实现保费收入5578.96亿元，比上年增长4.1%。其中，寿险业务保费收入2920.67亿元，增长3.7%；财产险业务保费收入1395.91亿元，增长2.8%；健康险和意外伤害险业务保费收入1262.37亿元，增长6.4%。全年共支付各项赔款和给付1881.04亿元，增长20.1%。其中，寿险业务赔付支出404.48亿元，增长5.9%；财产险业务赔款支出810.02亿元，减少2.6%；健康险和意外伤害险赔付支出666.54亿元，增长89.0%。</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黑体" w:hAnsi="黑体" w:eastAsia="黑体" w:cs="黑体"/>
          <w:snapToGrid w:val="0"/>
          <w:kern w:val="0"/>
          <w:sz w:val="32"/>
          <w:szCs w:val="32"/>
          <w:highlight w:val="none"/>
          <w:u w:val="none"/>
          <w:lang w:val="en-US" w:eastAsia="zh-CN"/>
        </w:rPr>
      </w:pPr>
      <w:r>
        <w:rPr>
          <w:rFonts w:hint="eastAsia" w:ascii="黑体" w:hAnsi="黑体" w:eastAsia="黑体" w:cs="黑体"/>
          <w:snapToGrid w:val="0"/>
          <w:kern w:val="0"/>
          <w:sz w:val="32"/>
          <w:szCs w:val="32"/>
          <w:highlight w:val="none"/>
          <w:u w:val="none"/>
          <w:lang w:val="en-US" w:eastAsia="zh-CN"/>
        </w:rPr>
        <w:t>九、人民生活和社会保障</w:t>
      </w:r>
    </w:p>
    <w:p>
      <w:pPr>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lang w:val="en-US" w:eastAsia="zh-CN"/>
        </w:rPr>
        <w:t>全年全省居民人均可支配收入44993元，比上年增长9.7%。分城乡看，城镇居民人均可支配收入54854元，增长9.1%；农村居民人均可支配收入22306元，增长10.7</w:t>
      </w:r>
      <w:r>
        <w:rPr>
          <w:rFonts w:hint="eastAsia" w:ascii="仿宋_GB2312"/>
          <w:snapToGrid w:val="0"/>
          <w:kern w:val="0"/>
          <w:sz w:val="32"/>
          <w:szCs w:val="32"/>
          <w:highlight w:val="none"/>
          <w:u w:val="none"/>
        </w:rPr>
        <w:t>%。</w:t>
      </w:r>
    </w:p>
    <w:p>
      <w:pPr>
        <w:pageBreakBefore w:val="0"/>
        <w:widowControl w:val="0"/>
        <w:kinsoku/>
        <w:wordWrap/>
        <w:overflowPunct/>
        <w:topLinePunct w:val="0"/>
        <w:autoSpaceDE/>
        <w:autoSpaceDN/>
        <w:bidi w:val="0"/>
        <w:adjustRightInd w:val="0"/>
        <w:snapToGrid/>
        <w:spacing w:line="240" w:lineRule="auto"/>
        <w:ind w:left="0" w:leftChars="0" w:right="0" w:rightChars="0" w:firstLine="630" w:firstLineChars="200"/>
        <w:jc w:val="center"/>
        <w:textAlignment w:val="auto"/>
        <w:rPr>
          <w:highlight w:val="none"/>
          <w:u w:val="none"/>
        </w:rPr>
      </w:pPr>
      <w:r>
        <w:rPr>
          <w:rFonts w:hint="eastAsia" w:ascii="黑体" w:hAnsi="黑体" w:eastAsia="黑体" w:cs="黑体"/>
          <w:b w:val="0"/>
          <w:bCs/>
          <w:highlight w:val="none"/>
          <w:u w:val="none"/>
          <w:lang w:val="en-US" w:eastAsia="zh-CN"/>
        </w:rPr>
        <w:t>图11  2016-2021年全省居民人均可支配收入及增长速度</w:t>
      </w:r>
      <w:r>
        <w:rPr>
          <w:highlight w:val="none"/>
          <w:u w:val="none"/>
        </w:rPr>
        <w:drawing>
          <wp:inline distT="0" distB="0" distL="114300" distR="114300">
            <wp:extent cx="5335905" cy="3672205"/>
            <wp:effectExtent l="0" t="0" r="1714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335905" cy="3672205"/>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年全省居民人均消费支出31589元，比上年增长10.9%。分城乡看，城镇居民人均消费支出36621元，增长9.3%；农村居民人均消费支出20012元，增长16.8%。全省居民恩格尔系数为33.2%，比上年下降0.6个百分点；其中城镇为31.7%，农村为39.3%。全省居民人均住房建筑面积42.23平方米，其中城镇为38.79平方米，农村为50.14平方米。</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color w:val="auto"/>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color w:val="auto"/>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color w:val="auto"/>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color w:val="auto"/>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color w:val="auto"/>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color w:val="auto"/>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color w:val="auto"/>
          <w:highlight w:val="none"/>
          <w:u w:val="none"/>
          <w:lang w:val="en-US" w:eastAsia="zh-CN"/>
        </w:rPr>
      </w:pPr>
      <w:r>
        <w:rPr>
          <w:rFonts w:hint="eastAsia" w:ascii="黑体" w:hAnsi="黑体" w:eastAsia="黑体" w:cs="黑体"/>
          <w:snapToGrid w:val="0"/>
          <w:color w:val="auto"/>
          <w:kern w:val="0"/>
          <w:sz w:val="32"/>
          <w:szCs w:val="32"/>
          <w:highlight w:val="none"/>
          <w:u w:val="none"/>
          <w:lang w:val="en-US" w:eastAsia="zh-CN"/>
        </w:rPr>
        <w:t>图12  2021年全省居民人均消费支出及构成</w:t>
      </w:r>
      <w:r>
        <w:rPr>
          <w:highlight w:val="none"/>
        </w:rPr>
        <w:drawing>
          <wp:inline distT="0" distB="0" distL="114300" distR="114300">
            <wp:extent cx="5613400" cy="3749675"/>
            <wp:effectExtent l="0" t="0" r="6350" b="31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5613400" cy="37496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年末全省参加城镇职工基本养老保险（含离退休）</w:t>
      </w:r>
      <w:r>
        <w:rPr>
          <w:rFonts w:hint="eastAsia" w:ascii="仿宋_GB2312"/>
          <w:snapToGrid w:val="0"/>
          <w:kern w:val="0"/>
          <w:sz w:val="32"/>
          <w:szCs w:val="32"/>
          <w:highlight w:val="none"/>
          <w:u w:val="none"/>
          <w:lang w:val="en-US" w:eastAsia="zh-CN"/>
        </w:rPr>
        <w:t>5079.48</w:t>
      </w:r>
      <w:r>
        <w:rPr>
          <w:rFonts w:hint="eastAsia" w:ascii="仿宋_GB2312"/>
          <w:snapToGrid w:val="0"/>
          <w:kern w:val="0"/>
          <w:sz w:val="32"/>
          <w:szCs w:val="32"/>
          <w:highlight w:val="none"/>
          <w:u w:val="none"/>
        </w:rPr>
        <w:t>万人，比上年</w:t>
      </w:r>
      <w:r>
        <w:rPr>
          <w:rFonts w:hint="eastAsia" w:ascii="仿宋_GB2312"/>
          <w:snapToGrid w:val="0"/>
          <w:kern w:val="0"/>
          <w:sz w:val="32"/>
          <w:szCs w:val="32"/>
          <w:highlight w:val="none"/>
          <w:u w:val="none"/>
          <w:lang w:eastAsia="zh-CN"/>
        </w:rPr>
        <w:t>增长</w:t>
      </w:r>
      <w:r>
        <w:rPr>
          <w:rFonts w:hint="eastAsia" w:ascii="仿宋_GB2312"/>
          <w:snapToGrid w:val="0"/>
          <w:kern w:val="0"/>
          <w:sz w:val="32"/>
          <w:szCs w:val="32"/>
          <w:highlight w:val="none"/>
          <w:u w:val="none"/>
          <w:lang w:val="en-US" w:eastAsia="zh-CN"/>
        </w:rPr>
        <w:t>4.2</w:t>
      </w:r>
      <w:r>
        <w:rPr>
          <w:rFonts w:hint="eastAsia" w:ascii="仿宋_GB2312"/>
          <w:snapToGrid w:val="0"/>
          <w:kern w:val="0"/>
          <w:sz w:val="32"/>
          <w:szCs w:val="32"/>
          <w:highlight w:val="none"/>
          <w:u w:val="none"/>
        </w:rPr>
        <w:t>%。参加城乡居民基本养老保险人数</w:t>
      </w:r>
      <w:r>
        <w:rPr>
          <w:rFonts w:hint="eastAsia" w:ascii="仿宋_GB2312"/>
          <w:snapToGrid w:val="0"/>
          <w:kern w:val="0"/>
          <w:sz w:val="32"/>
          <w:szCs w:val="32"/>
          <w:highlight w:val="none"/>
          <w:u w:val="none"/>
          <w:lang w:val="en-US" w:eastAsia="zh-CN"/>
        </w:rPr>
        <w:t>2680.40</w:t>
      </w:r>
      <w:r>
        <w:rPr>
          <w:rFonts w:hint="eastAsia" w:ascii="仿宋_GB2312"/>
          <w:snapToGrid w:val="0"/>
          <w:kern w:val="0"/>
          <w:sz w:val="32"/>
          <w:szCs w:val="32"/>
          <w:highlight w:val="none"/>
          <w:u w:val="none"/>
        </w:rPr>
        <w:t>万人，</w:t>
      </w:r>
      <w:r>
        <w:rPr>
          <w:rFonts w:hint="eastAsia" w:ascii="仿宋_GB2312"/>
          <w:snapToGrid w:val="0"/>
          <w:kern w:val="0"/>
          <w:sz w:val="32"/>
          <w:szCs w:val="32"/>
          <w:highlight w:val="none"/>
          <w:u w:val="none"/>
          <w:lang w:eastAsia="zh-CN"/>
        </w:rPr>
        <w:t>增长</w:t>
      </w:r>
      <w:r>
        <w:rPr>
          <w:rFonts w:hint="eastAsia" w:ascii="仿宋_GB2312"/>
          <w:snapToGrid w:val="0"/>
          <w:kern w:val="0"/>
          <w:sz w:val="32"/>
          <w:szCs w:val="32"/>
          <w:highlight w:val="none"/>
          <w:u w:val="none"/>
          <w:lang w:val="en-US" w:eastAsia="zh-CN"/>
        </w:rPr>
        <w:t>0.9</w:t>
      </w:r>
      <w:r>
        <w:rPr>
          <w:rFonts w:hint="eastAsia" w:ascii="仿宋_GB2312"/>
          <w:snapToGrid w:val="0"/>
          <w:kern w:val="0"/>
          <w:sz w:val="32"/>
          <w:szCs w:val="32"/>
          <w:highlight w:val="none"/>
          <w:u w:val="none"/>
        </w:rPr>
        <w:t>%。参加职工基本医疗保险</w:t>
      </w:r>
      <w:r>
        <w:rPr>
          <w:rFonts w:hint="eastAsia" w:ascii="仿宋_GB2312"/>
          <w:snapToGrid w:val="0"/>
          <w:kern w:val="0"/>
          <w:sz w:val="32"/>
          <w:szCs w:val="32"/>
          <w:highlight w:val="none"/>
          <w:u w:val="none"/>
          <w:lang w:val="en-US" w:eastAsia="zh-CN"/>
        </w:rPr>
        <w:t>4769.10</w:t>
      </w:r>
      <w:r>
        <w:rPr>
          <w:rFonts w:hint="eastAsia" w:ascii="仿宋_GB2312"/>
          <w:snapToGrid w:val="0"/>
          <w:kern w:val="0"/>
          <w:sz w:val="32"/>
          <w:szCs w:val="32"/>
          <w:highlight w:val="none"/>
          <w:u w:val="none"/>
        </w:rPr>
        <w:t>万人，增长</w:t>
      </w:r>
      <w:r>
        <w:rPr>
          <w:rFonts w:hint="eastAsia" w:ascii="仿宋_GB2312"/>
          <w:snapToGrid w:val="0"/>
          <w:kern w:val="0"/>
          <w:sz w:val="32"/>
          <w:szCs w:val="32"/>
          <w:highlight w:val="none"/>
          <w:u w:val="none"/>
          <w:lang w:val="en-US" w:eastAsia="zh-CN"/>
        </w:rPr>
        <w:t>4.9</w:t>
      </w:r>
      <w:r>
        <w:rPr>
          <w:rFonts w:hint="eastAsia" w:ascii="仿宋_GB2312"/>
          <w:snapToGrid w:val="0"/>
          <w:kern w:val="0"/>
          <w:sz w:val="32"/>
          <w:szCs w:val="32"/>
          <w:highlight w:val="none"/>
          <w:u w:val="none"/>
        </w:rPr>
        <w:t>%。参加城乡居民基本医疗保险</w:t>
      </w:r>
      <w:r>
        <w:rPr>
          <w:rFonts w:hint="eastAsia" w:ascii="仿宋_GB2312"/>
          <w:snapToGrid w:val="0"/>
          <w:kern w:val="0"/>
          <w:sz w:val="32"/>
          <w:szCs w:val="32"/>
          <w:highlight w:val="none"/>
          <w:u w:val="none"/>
          <w:lang w:val="en-US" w:eastAsia="zh-CN"/>
        </w:rPr>
        <w:t>6517.48</w:t>
      </w:r>
      <w:r>
        <w:rPr>
          <w:rFonts w:hint="eastAsia" w:ascii="仿宋_GB2312"/>
          <w:snapToGrid w:val="0"/>
          <w:kern w:val="0"/>
          <w:sz w:val="32"/>
          <w:szCs w:val="32"/>
          <w:highlight w:val="none"/>
          <w:u w:val="none"/>
        </w:rPr>
        <w:t>万人，</w:t>
      </w:r>
      <w:r>
        <w:rPr>
          <w:rFonts w:hint="eastAsia" w:ascii="仿宋_GB2312"/>
          <w:snapToGrid w:val="0"/>
          <w:kern w:val="0"/>
          <w:sz w:val="32"/>
          <w:szCs w:val="32"/>
          <w:highlight w:val="none"/>
          <w:u w:val="none"/>
          <w:lang w:val="en-US" w:eastAsia="zh-CN"/>
        </w:rPr>
        <w:t>增长1.6</w:t>
      </w:r>
      <w:r>
        <w:rPr>
          <w:rFonts w:hint="eastAsia" w:ascii="仿宋_GB2312"/>
          <w:snapToGrid w:val="0"/>
          <w:kern w:val="0"/>
          <w:sz w:val="32"/>
          <w:szCs w:val="32"/>
          <w:highlight w:val="none"/>
          <w:u w:val="none"/>
        </w:rPr>
        <w:t>%。参加工伤保险</w:t>
      </w:r>
      <w:r>
        <w:rPr>
          <w:rFonts w:hint="eastAsia" w:ascii="仿宋_GB2312"/>
          <w:snapToGrid w:val="0"/>
          <w:kern w:val="0"/>
          <w:sz w:val="32"/>
          <w:szCs w:val="32"/>
          <w:highlight w:val="none"/>
          <w:u w:val="none"/>
          <w:lang w:val="en-US" w:eastAsia="zh-CN"/>
        </w:rPr>
        <w:t>4068.57</w:t>
      </w:r>
      <w:r>
        <w:rPr>
          <w:rFonts w:hint="eastAsia" w:ascii="仿宋_GB2312"/>
          <w:snapToGrid w:val="0"/>
          <w:kern w:val="0"/>
          <w:sz w:val="32"/>
          <w:szCs w:val="32"/>
          <w:highlight w:val="none"/>
          <w:u w:val="none"/>
        </w:rPr>
        <w:t>万人，增长</w:t>
      </w:r>
      <w:r>
        <w:rPr>
          <w:rFonts w:hint="eastAsia" w:ascii="仿宋_GB2312"/>
          <w:snapToGrid w:val="0"/>
          <w:kern w:val="0"/>
          <w:sz w:val="32"/>
          <w:szCs w:val="32"/>
          <w:highlight w:val="none"/>
          <w:u w:val="none"/>
          <w:lang w:val="en-US" w:eastAsia="zh-CN"/>
        </w:rPr>
        <w:t>5.2</w:t>
      </w:r>
      <w:r>
        <w:rPr>
          <w:rFonts w:hint="eastAsia" w:ascii="仿宋_GB2312"/>
          <w:snapToGrid w:val="0"/>
          <w:kern w:val="0"/>
          <w:sz w:val="32"/>
          <w:szCs w:val="32"/>
          <w:highlight w:val="none"/>
          <w:u w:val="none"/>
        </w:rPr>
        <w:t>%。参加失业保险</w:t>
      </w:r>
      <w:r>
        <w:rPr>
          <w:rFonts w:hint="eastAsia" w:ascii="仿宋_GB2312"/>
          <w:snapToGrid w:val="0"/>
          <w:kern w:val="0"/>
          <w:sz w:val="32"/>
          <w:szCs w:val="32"/>
          <w:highlight w:val="none"/>
          <w:u w:val="none"/>
          <w:lang w:val="en-US" w:eastAsia="zh-CN"/>
        </w:rPr>
        <w:t>3725.12</w:t>
      </w:r>
      <w:r>
        <w:rPr>
          <w:rFonts w:hint="eastAsia" w:ascii="仿宋_GB2312"/>
          <w:snapToGrid w:val="0"/>
          <w:kern w:val="0"/>
          <w:sz w:val="32"/>
          <w:szCs w:val="32"/>
          <w:highlight w:val="none"/>
          <w:u w:val="none"/>
        </w:rPr>
        <w:t>万人，增长</w:t>
      </w:r>
      <w:r>
        <w:rPr>
          <w:rFonts w:hint="eastAsia" w:ascii="仿宋_GB2312"/>
          <w:snapToGrid w:val="0"/>
          <w:kern w:val="0"/>
          <w:sz w:val="32"/>
          <w:szCs w:val="32"/>
          <w:highlight w:val="none"/>
          <w:u w:val="none"/>
          <w:lang w:val="en-US" w:eastAsia="zh-CN"/>
        </w:rPr>
        <w:t>3.4</w:t>
      </w:r>
      <w:r>
        <w:rPr>
          <w:rFonts w:hint="eastAsia" w:ascii="仿宋_GB2312"/>
          <w:snapToGrid w:val="0"/>
          <w:kern w:val="0"/>
          <w:sz w:val="32"/>
          <w:szCs w:val="32"/>
          <w:highlight w:val="none"/>
          <w:u w:val="none"/>
        </w:rPr>
        <w:t>%。参加生育保险</w:t>
      </w:r>
      <w:r>
        <w:rPr>
          <w:rFonts w:hint="eastAsia" w:ascii="仿宋_GB2312"/>
          <w:snapToGrid w:val="0"/>
          <w:kern w:val="0"/>
          <w:sz w:val="32"/>
          <w:szCs w:val="32"/>
          <w:highlight w:val="none"/>
          <w:u w:val="none"/>
          <w:lang w:val="en-US" w:eastAsia="zh-CN"/>
        </w:rPr>
        <w:t>3977.62</w:t>
      </w:r>
      <w:r>
        <w:rPr>
          <w:rFonts w:hint="eastAsia" w:ascii="仿宋_GB2312"/>
          <w:snapToGrid w:val="0"/>
          <w:kern w:val="0"/>
          <w:sz w:val="32"/>
          <w:szCs w:val="32"/>
          <w:highlight w:val="none"/>
          <w:u w:val="none"/>
        </w:rPr>
        <w:t>万人，增长</w:t>
      </w:r>
      <w:r>
        <w:rPr>
          <w:rFonts w:hint="eastAsia" w:ascii="仿宋_GB2312"/>
          <w:snapToGrid w:val="0"/>
          <w:kern w:val="0"/>
          <w:sz w:val="32"/>
          <w:szCs w:val="32"/>
          <w:highlight w:val="none"/>
          <w:u w:val="none"/>
          <w:lang w:val="en-US" w:eastAsia="zh-CN"/>
        </w:rPr>
        <w:t>4.7</w:t>
      </w:r>
      <w:r>
        <w:rPr>
          <w:rFonts w:hint="eastAsia" w:ascii="仿宋_GB2312"/>
          <w:snapToGrid w:val="0"/>
          <w:kern w:val="0"/>
          <w:sz w:val="32"/>
          <w:szCs w:val="32"/>
          <w:highlight w:val="none"/>
          <w:u w:val="none"/>
        </w:rPr>
        <w:t>%。</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表1</w:t>
      </w:r>
      <w:r>
        <w:rPr>
          <w:rFonts w:hint="eastAsia" w:ascii="黑体" w:hAnsi="黑体" w:eastAsia="黑体" w:cs="黑体"/>
          <w:bCs/>
          <w:snapToGrid w:val="0"/>
          <w:kern w:val="0"/>
          <w:sz w:val="32"/>
          <w:szCs w:val="32"/>
          <w:highlight w:val="none"/>
          <w:u w:val="none"/>
          <w:lang w:val="en-US" w:eastAsia="zh-CN"/>
        </w:rPr>
        <w:t>8</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年末全省参加各类保险人数及增长速度</w:t>
      </w:r>
    </w:p>
    <w:tbl>
      <w:tblPr>
        <w:tblStyle w:val="10"/>
        <w:tblW w:w="876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969"/>
        <w:gridCol w:w="1872"/>
        <w:gridCol w:w="191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指标</w:t>
            </w:r>
          </w:p>
        </w:tc>
        <w:tc>
          <w:tcPr>
            <w:tcW w:w="1872"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bCs/>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参保人数（万人）</w:t>
            </w:r>
          </w:p>
        </w:tc>
        <w:tc>
          <w:tcPr>
            <w:tcW w:w="1919"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比上年末增长（%）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参加基本养老保险</w:t>
            </w:r>
          </w:p>
        </w:tc>
        <w:tc>
          <w:tcPr>
            <w:tcW w:w="1872" w:type="dxa"/>
            <w:tcBorders>
              <w:top w:val="single" w:color="auto" w:sz="4" w:space="0"/>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default"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7759.88</w:t>
            </w:r>
          </w:p>
        </w:tc>
        <w:tc>
          <w:tcPr>
            <w:tcW w:w="1919"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 xml:space="preserve">  其中：城镇职工基本养老保险（含离退休）</w:t>
            </w:r>
          </w:p>
        </w:tc>
        <w:tc>
          <w:tcPr>
            <w:tcW w:w="1872"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5079.48</w:t>
            </w:r>
          </w:p>
        </w:tc>
        <w:tc>
          <w:tcPr>
            <w:tcW w:w="1919"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 xml:space="preserve">          #参保职工</w:t>
            </w:r>
          </w:p>
        </w:tc>
        <w:tc>
          <w:tcPr>
            <w:tcW w:w="1872"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4327.10</w:t>
            </w:r>
          </w:p>
        </w:tc>
        <w:tc>
          <w:tcPr>
            <w:tcW w:w="1919"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 xml:space="preserve">           参保离退休人员</w:t>
            </w:r>
          </w:p>
        </w:tc>
        <w:tc>
          <w:tcPr>
            <w:tcW w:w="1872"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752.39</w:t>
            </w:r>
          </w:p>
        </w:tc>
        <w:tc>
          <w:tcPr>
            <w:tcW w:w="1919"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 xml:space="preserve">        城乡居民基本养老保险</w:t>
            </w:r>
          </w:p>
        </w:tc>
        <w:tc>
          <w:tcPr>
            <w:tcW w:w="1872"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2680.40</w:t>
            </w:r>
          </w:p>
        </w:tc>
        <w:tc>
          <w:tcPr>
            <w:tcW w:w="1919"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0.9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参加基本医疗保险</w:t>
            </w:r>
          </w:p>
        </w:tc>
        <w:tc>
          <w:tcPr>
            <w:tcW w:w="1872"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default" w:ascii="宋体" w:hAnsi="宋体" w:eastAsia="宋体" w:cs="宋体"/>
                <w:bCs/>
                <w:sz w:val="21"/>
                <w:szCs w:val="21"/>
                <w:highlight w:val="none"/>
                <w:u w:val="none"/>
                <w:lang w:val="en-US" w:eastAsia="zh-CN"/>
              </w:rPr>
              <w:t>11286.5</w:t>
            </w:r>
            <w:r>
              <w:rPr>
                <w:rFonts w:hint="eastAsia" w:ascii="宋体" w:hAnsi="宋体" w:eastAsia="宋体" w:cs="宋体"/>
                <w:bCs/>
                <w:sz w:val="21"/>
                <w:szCs w:val="21"/>
                <w:highlight w:val="none"/>
                <w:u w:val="none"/>
                <w:lang w:val="en-US" w:eastAsia="zh-CN"/>
              </w:rPr>
              <w:t>8</w:t>
            </w:r>
            <w:r>
              <w:rPr>
                <w:rFonts w:hint="default" w:ascii="宋体" w:hAnsi="宋体" w:eastAsia="宋体" w:cs="宋体"/>
                <w:bCs/>
                <w:sz w:val="21"/>
                <w:szCs w:val="21"/>
                <w:highlight w:val="none"/>
                <w:u w:val="none"/>
                <w:lang w:val="en-US" w:eastAsia="zh-CN"/>
              </w:rPr>
              <w:t xml:space="preserve"> </w:t>
            </w:r>
          </w:p>
        </w:tc>
        <w:tc>
          <w:tcPr>
            <w:tcW w:w="1919"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 xml:space="preserve">  其中：职工基本医疗保险</w:t>
            </w:r>
          </w:p>
        </w:tc>
        <w:tc>
          <w:tcPr>
            <w:tcW w:w="1872"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default" w:ascii="宋体" w:hAnsi="宋体" w:eastAsia="宋体" w:cs="宋体"/>
                <w:bCs/>
                <w:sz w:val="21"/>
                <w:szCs w:val="21"/>
                <w:highlight w:val="none"/>
                <w:u w:val="none"/>
                <w:lang w:val="en-US" w:eastAsia="zh-CN"/>
              </w:rPr>
              <w:t xml:space="preserve">4769.10 </w:t>
            </w:r>
          </w:p>
        </w:tc>
        <w:tc>
          <w:tcPr>
            <w:tcW w:w="1919"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 xml:space="preserve">        城乡居民基本医疗保险</w:t>
            </w:r>
          </w:p>
        </w:tc>
        <w:tc>
          <w:tcPr>
            <w:tcW w:w="1872"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default" w:ascii="宋体" w:hAnsi="宋体" w:eastAsia="宋体" w:cs="宋体"/>
                <w:bCs/>
                <w:sz w:val="21"/>
                <w:szCs w:val="21"/>
                <w:highlight w:val="none"/>
                <w:u w:val="none"/>
                <w:lang w:val="en-US" w:eastAsia="zh-CN"/>
              </w:rPr>
              <w:t xml:space="preserve">6517.48 </w:t>
            </w:r>
          </w:p>
        </w:tc>
        <w:tc>
          <w:tcPr>
            <w:tcW w:w="1919"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default" w:ascii="宋体" w:hAnsi="宋体" w:eastAsia="宋体" w:cs="宋体"/>
                <w:bCs/>
                <w:sz w:val="21"/>
                <w:szCs w:val="21"/>
                <w:highlight w:val="none"/>
                <w:u w:val="none"/>
                <w:lang w:val="en-US" w:eastAsia="zh-CN"/>
              </w:rPr>
            </w:pPr>
            <w:r>
              <w:rPr>
                <w:rFonts w:hint="default" w:ascii="宋体" w:hAnsi="宋体" w:eastAsia="宋体" w:cs="宋体"/>
                <w:bCs/>
                <w:sz w:val="21"/>
                <w:szCs w:val="21"/>
                <w:highlight w:val="none"/>
                <w:u w:val="none"/>
                <w:lang w:val="en-US" w:eastAsia="zh-CN"/>
              </w:rPr>
              <w:t>1.6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参加失业保险</w:t>
            </w:r>
          </w:p>
        </w:tc>
        <w:tc>
          <w:tcPr>
            <w:tcW w:w="1872"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3725.12</w:t>
            </w:r>
          </w:p>
        </w:tc>
        <w:tc>
          <w:tcPr>
            <w:tcW w:w="1919"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nil"/>
              <w:left w:val="nil"/>
              <w:bottom w:val="nil"/>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参加工伤保险</w:t>
            </w:r>
          </w:p>
        </w:tc>
        <w:tc>
          <w:tcPr>
            <w:tcW w:w="1872" w:type="dxa"/>
            <w:tcBorders>
              <w:top w:val="nil"/>
              <w:left w:val="single" w:color="000000" w:sz="4" w:space="0"/>
              <w:bottom w:val="nil"/>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4068.57</w:t>
            </w:r>
          </w:p>
        </w:tc>
        <w:tc>
          <w:tcPr>
            <w:tcW w:w="1919" w:type="dxa"/>
            <w:tcBorders>
              <w:top w:val="nil"/>
              <w:left w:val="single" w:color="000000" w:sz="4" w:space="0"/>
              <w:bottom w:val="nil"/>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4969" w:type="dxa"/>
            <w:tcBorders>
              <w:top w:val="nil"/>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参加生育保险</w:t>
            </w:r>
          </w:p>
        </w:tc>
        <w:tc>
          <w:tcPr>
            <w:tcW w:w="1872" w:type="dxa"/>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3977.62</w:t>
            </w:r>
          </w:p>
        </w:tc>
        <w:tc>
          <w:tcPr>
            <w:tcW w:w="1919" w:type="dxa"/>
            <w:tcBorders>
              <w:top w:val="nil"/>
              <w:left w:val="single" w:color="000000" w:sz="4" w:space="0"/>
              <w:bottom w:val="single" w:color="000000" w:sz="4" w:space="0"/>
              <w:right w:val="nil"/>
            </w:tcBorders>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4.7</w:t>
            </w:r>
          </w:p>
        </w:tc>
      </w:tr>
    </w:tbl>
    <w:p>
      <w:pPr>
        <w:keepNext w:val="0"/>
        <w:keepLines w:val="0"/>
        <w:pageBreakBefore w:val="0"/>
        <w:widowControl w:val="0"/>
        <w:kinsoku/>
        <w:wordWrap/>
        <w:overflowPunct/>
        <w:topLinePunct w:val="0"/>
        <w:autoSpaceDE/>
        <w:autoSpaceDN/>
        <w:bidi w:val="0"/>
        <w:adjustRightInd w:val="0"/>
        <w:snapToGrid/>
        <w:spacing w:line="240" w:lineRule="exact"/>
        <w:ind w:firstLine="646"/>
        <w:textAlignment w:val="auto"/>
        <w:rPr>
          <w:rFonts w:hint="eastAsia" w:ascii="仿宋_GB2312" w:hAnsi="仿宋_GB2312" w:eastAsia="仿宋_GB2312" w:cs="仿宋_GB2312"/>
          <w:bCs/>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全年</w:t>
      </w:r>
      <w:r>
        <w:rPr>
          <w:rFonts w:hint="eastAsia" w:ascii="仿宋_GB2312"/>
          <w:snapToGrid w:val="0"/>
          <w:kern w:val="0"/>
          <w:sz w:val="32"/>
          <w:szCs w:val="32"/>
          <w:highlight w:val="none"/>
          <w:u w:val="none"/>
          <w:lang w:val="en-US" w:eastAsia="zh-CN"/>
        </w:rPr>
        <w:t>全省养老、失业、工伤保险基金总收入</w:t>
      </w:r>
      <w:r>
        <w:rPr>
          <w:rFonts w:hint="eastAsia" w:ascii="仿宋_GB2312"/>
          <w:bCs/>
          <w:snapToGrid w:val="0"/>
          <w:kern w:val="0"/>
          <w:sz w:val="32"/>
          <w:szCs w:val="32"/>
          <w:highlight w:val="none"/>
          <w:u w:val="none"/>
          <w:lang w:val="en-US" w:eastAsia="zh-CN"/>
        </w:rPr>
        <w:t>（不含上下级往来）</w:t>
      </w:r>
      <w:r>
        <w:rPr>
          <w:rFonts w:hint="eastAsia" w:ascii="仿宋_GB2312"/>
          <w:snapToGrid w:val="0"/>
          <w:kern w:val="0"/>
          <w:sz w:val="32"/>
          <w:szCs w:val="32"/>
          <w:highlight w:val="none"/>
          <w:u w:val="none"/>
          <w:lang w:val="en-US" w:eastAsia="zh-CN"/>
        </w:rPr>
        <w:t>6468.55亿元，比上年增长61.1%，年末累计结余15130.01亿元，增长11.9%。全年全省基本医疗和生育保险统筹基金收入1739.89亿元，增长16.3%；年末累计结余2733.41亿元，增长5.3%。</w:t>
      </w:r>
      <w:r>
        <w:rPr>
          <w:rFonts w:hint="eastAsia" w:ascii="仿宋_GB2312"/>
          <w:snapToGrid w:val="0"/>
          <w:kern w:val="0"/>
          <w:sz w:val="32"/>
          <w:szCs w:val="32"/>
          <w:highlight w:val="none"/>
          <w:u w:val="none"/>
        </w:rPr>
        <w:t>年末城市低保人数</w:t>
      </w:r>
      <w:r>
        <w:rPr>
          <w:rFonts w:hint="eastAsia" w:ascii="仿宋_GB2312"/>
          <w:snapToGrid w:val="0"/>
          <w:kern w:val="0"/>
          <w:sz w:val="32"/>
          <w:szCs w:val="32"/>
          <w:highlight w:val="none"/>
          <w:u w:val="none"/>
          <w:lang w:val="en-US" w:eastAsia="zh-CN"/>
        </w:rPr>
        <w:t>15.0</w:t>
      </w:r>
      <w:r>
        <w:rPr>
          <w:rFonts w:hint="eastAsia" w:ascii="仿宋_GB2312"/>
          <w:snapToGrid w:val="0"/>
          <w:kern w:val="0"/>
          <w:sz w:val="32"/>
          <w:szCs w:val="32"/>
          <w:highlight w:val="none"/>
          <w:u w:val="none"/>
        </w:rPr>
        <w:t>万人，农村低保人数</w:t>
      </w:r>
      <w:r>
        <w:rPr>
          <w:rFonts w:hint="eastAsia" w:ascii="仿宋_GB2312"/>
          <w:snapToGrid w:val="0"/>
          <w:kern w:val="0"/>
          <w:sz w:val="32"/>
          <w:szCs w:val="32"/>
          <w:highlight w:val="none"/>
          <w:u w:val="none"/>
          <w:lang w:val="en-US" w:eastAsia="zh-CN"/>
        </w:rPr>
        <w:t>127.3</w:t>
      </w:r>
      <w:r>
        <w:rPr>
          <w:rFonts w:hint="eastAsia" w:ascii="仿宋_GB2312"/>
          <w:snapToGrid w:val="0"/>
          <w:kern w:val="0"/>
          <w:sz w:val="32"/>
          <w:szCs w:val="32"/>
          <w:highlight w:val="none"/>
          <w:u w:val="none"/>
        </w:rPr>
        <w:t>万人。全年城镇职工领取失业保险金人数</w:t>
      </w:r>
      <w:r>
        <w:rPr>
          <w:rFonts w:hint="eastAsia" w:ascii="仿宋_GB2312"/>
          <w:snapToGrid w:val="0"/>
          <w:kern w:val="0"/>
          <w:sz w:val="32"/>
          <w:szCs w:val="32"/>
          <w:highlight w:val="none"/>
          <w:u w:val="none"/>
          <w:lang w:val="en-US" w:eastAsia="zh-CN"/>
        </w:rPr>
        <w:t>69.03</w:t>
      </w:r>
      <w:r>
        <w:rPr>
          <w:rFonts w:hint="eastAsia" w:ascii="仿宋_GB2312"/>
          <w:snapToGrid w:val="0"/>
          <w:kern w:val="0"/>
          <w:sz w:val="32"/>
          <w:szCs w:val="32"/>
          <w:highlight w:val="none"/>
          <w:u w:val="none"/>
        </w:rPr>
        <w:t>万人。</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各类提供住宿的社会服务机构床位</w:t>
      </w:r>
      <w:r>
        <w:rPr>
          <w:rFonts w:hint="eastAsia" w:ascii="仿宋_GB2312"/>
          <w:snapToGrid w:val="0"/>
          <w:kern w:val="0"/>
          <w:sz w:val="32"/>
          <w:szCs w:val="32"/>
          <w:highlight w:val="none"/>
          <w:u w:val="none"/>
          <w:lang w:val="en-US" w:eastAsia="zh-CN"/>
        </w:rPr>
        <w:t>26.33</w:t>
      </w:r>
      <w:r>
        <w:rPr>
          <w:rFonts w:hint="eastAsia" w:ascii="仿宋_GB2312"/>
          <w:snapToGrid w:val="0"/>
          <w:kern w:val="0"/>
          <w:sz w:val="32"/>
          <w:szCs w:val="32"/>
          <w:highlight w:val="none"/>
          <w:u w:val="none"/>
        </w:rPr>
        <w:t>万张，收养救助人员</w:t>
      </w:r>
      <w:r>
        <w:rPr>
          <w:rFonts w:hint="eastAsia" w:ascii="仿宋_GB2312"/>
          <w:snapToGrid w:val="0"/>
          <w:kern w:val="0"/>
          <w:sz w:val="32"/>
          <w:szCs w:val="32"/>
          <w:highlight w:val="none"/>
          <w:u w:val="none"/>
          <w:lang w:val="en-US" w:eastAsia="zh-CN"/>
        </w:rPr>
        <w:t>10.1</w:t>
      </w:r>
      <w:r>
        <w:rPr>
          <w:rFonts w:hint="eastAsia" w:ascii="仿宋_GB2312"/>
          <w:snapToGrid w:val="0"/>
          <w:kern w:val="0"/>
          <w:sz w:val="32"/>
          <w:szCs w:val="32"/>
          <w:highlight w:val="none"/>
          <w:u w:val="none"/>
        </w:rPr>
        <w:t>万人。城乡社区服务机构和设施</w:t>
      </w:r>
      <w:r>
        <w:rPr>
          <w:rFonts w:hint="eastAsia" w:ascii="仿宋_GB2312"/>
          <w:snapToGrid w:val="0"/>
          <w:kern w:val="0"/>
          <w:sz w:val="32"/>
          <w:szCs w:val="32"/>
          <w:highlight w:val="none"/>
          <w:u w:val="none"/>
          <w:lang w:val="en-US" w:eastAsia="zh-CN"/>
        </w:rPr>
        <w:t>5.3</w:t>
      </w:r>
      <w:r>
        <w:rPr>
          <w:rFonts w:hint="eastAsia" w:ascii="仿宋_GB2312"/>
          <w:snapToGrid w:val="0"/>
          <w:kern w:val="0"/>
          <w:sz w:val="32"/>
          <w:szCs w:val="32"/>
          <w:highlight w:val="none"/>
          <w:u w:val="none"/>
        </w:rPr>
        <w:t>万个，其中，综合性社区服务中心</w:t>
      </w:r>
      <w:r>
        <w:rPr>
          <w:rFonts w:hint="eastAsia" w:ascii="仿宋_GB2312"/>
          <w:snapToGrid w:val="0"/>
          <w:kern w:val="0"/>
          <w:sz w:val="32"/>
          <w:szCs w:val="32"/>
          <w:highlight w:val="none"/>
          <w:u w:val="none"/>
          <w:lang w:val="en-US" w:eastAsia="zh-CN"/>
        </w:rPr>
        <w:t>31887</w:t>
      </w:r>
      <w:r>
        <w:rPr>
          <w:rFonts w:hint="eastAsia" w:ascii="仿宋_GB2312"/>
          <w:snapToGrid w:val="0"/>
          <w:kern w:val="0"/>
          <w:sz w:val="32"/>
          <w:szCs w:val="32"/>
          <w:highlight w:val="none"/>
          <w:u w:val="none"/>
        </w:rPr>
        <w:t>个。</w:t>
      </w:r>
      <w:r>
        <w:rPr>
          <w:rFonts w:hint="eastAsia" w:ascii="仿宋_GB2312"/>
          <w:snapToGrid w:val="0"/>
          <w:kern w:val="0"/>
          <w:sz w:val="32"/>
          <w:szCs w:val="32"/>
          <w:highlight w:val="none"/>
          <w:u w:val="none"/>
          <w:lang w:eastAsia="zh-CN"/>
        </w:rPr>
        <w:t>全年</w:t>
      </w:r>
      <w:r>
        <w:rPr>
          <w:rFonts w:hint="eastAsia" w:ascii="仿宋_GB2312"/>
          <w:snapToGrid w:val="0"/>
          <w:kern w:val="0"/>
          <w:sz w:val="32"/>
          <w:szCs w:val="32"/>
          <w:highlight w:val="none"/>
          <w:u w:val="none"/>
        </w:rPr>
        <w:t>共发行销售福利彩票</w:t>
      </w:r>
      <w:r>
        <w:rPr>
          <w:rFonts w:hint="eastAsia" w:ascii="仿宋_GB2312"/>
          <w:snapToGrid w:val="0"/>
          <w:kern w:val="0"/>
          <w:sz w:val="32"/>
          <w:szCs w:val="32"/>
          <w:highlight w:val="none"/>
          <w:u w:val="none"/>
          <w:lang w:val="en-US" w:eastAsia="zh-CN"/>
        </w:rPr>
        <w:t>161.8</w:t>
      </w:r>
      <w:r>
        <w:rPr>
          <w:rFonts w:hint="eastAsia" w:ascii="仿宋_GB2312"/>
          <w:snapToGrid w:val="0"/>
          <w:kern w:val="0"/>
          <w:sz w:val="32"/>
          <w:szCs w:val="32"/>
          <w:highlight w:val="none"/>
          <w:u w:val="none"/>
        </w:rPr>
        <w:t>亿元，筹集福利彩票公益金</w:t>
      </w:r>
      <w:r>
        <w:rPr>
          <w:rFonts w:hint="eastAsia" w:ascii="仿宋_GB2312"/>
          <w:snapToGrid w:val="0"/>
          <w:kern w:val="0"/>
          <w:sz w:val="32"/>
          <w:szCs w:val="32"/>
          <w:highlight w:val="none"/>
          <w:u w:val="none"/>
          <w:lang w:val="en-US" w:eastAsia="zh-CN"/>
        </w:rPr>
        <w:t>50.2</w:t>
      </w:r>
      <w:r>
        <w:rPr>
          <w:rFonts w:hint="eastAsia" w:ascii="仿宋_GB2312"/>
          <w:snapToGrid w:val="0"/>
          <w:kern w:val="0"/>
          <w:sz w:val="32"/>
          <w:szCs w:val="32"/>
          <w:highlight w:val="none"/>
          <w:u w:val="none"/>
        </w:rPr>
        <w:t>亿元</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年末每万人拥有社会组织数量为</w:t>
      </w:r>
      <w:r>
        <w:rPr>
          <w:rFonts w:hint="eastAsia" w:ascii="仿宋_GB2312"/>
          <w:snapToGrid w:val="0"/>
          <w:kern w:val="0"/>
          <w:sz w:val="32"/>
          <w:szCs w:val="32"/>
          <w:highlight w:val="none"/>
          <w:u w:val="none"/>
          <w:lang w:val="en-US" w:eastAsia="zh-CN"/>
        </w:rPr>
        <w:t>5.7</w:t>
      </w:r>
      <w:r>
        <w:rPr>
          <w:rFonts w:hint="eastAsia" w:ascii="仿宋_GB2312"/>
          <w:snapToGrid w:val="0"/>
          <w:kern w:val="0"/>
          <w:sz w:val="32"/>
          <w:szCs w:val="32"/>
          <w:highlight w:val="none"/>
          <w:u w:val="none"/>
        </w:rPr>
        <w:t>个</w:t>
      </w:r>
      <w:r>
        <w:rPr>
          <w:rFonts w:hint="eastAsia" w:ascii="仿宋_GB2312"/>
          <w:snapToGrid w:val="0"/>
          <w:kern w:val="0"/>
          <w:sz w:val="32"/>
          <w:szCs w:val="32"/>
          <w:highlight w:val="none"/>
          <w:u w:val="none"/>
          <w:lang w:val="en-US" w:eastAsia="zh-CN"/>
        </w:rPr>
        <w:t>。注册志愿者人数1407万人，注册志愿者人均参与志愿服务时数累计27.87小时。</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kern w:val="0"/>
          <w:sz w:val="32"/>
          <w:szCs w:val="32"/>
          <w:highlight w:val="none"/>
          <w:u w:val="none"/>
          <w:lang w:val="en-US" w:eastAsia="zh-CN"/>
        </w:rPr>
      </w:pPr>
      <w:r>
        <w:rPr>
          <w:rFonts w:hint="eastAsia" w:ascii="黑体" w:hAnsi="黑体" w:eastAsia="黑体" w:cs="黑体"/>
          <w:snapToGrid w:val="0"/>
          <w:kern w:val="0"/>
          <w:sz w:val="32"/>
          <w:szCs w:val="32"/>
          <w:highlight w:val="none"/>
          <w:u w:val="none"/>
          <w:lang w:val="en-US" w:eastAsia="zh-CN"/>
        </w:rPr>
        <w:t>十、教育和科学技术</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全年各级各类教育（不含非学历培训，不含技工学校）招生数</w:t>
      </w:r>
      <w:r>
        <w:rPr>
          <w:rFonts w:hint="eastAsia" w:ascii="仿宋_GB2312"/>
          <w:snapToGrid w:val="0"/>
          <w:kern w:val="0"/>
          <w:sz w:val="32"/>
          <w:szCs w:val="32"/>
          <w:highlight w:val="none"/>
          <w:u w:val="none"/>
          <w:lang w:val="en-US" w:eastAsia="zh-CN"/>
        </w:rPr>
        <w:t>748.76</w:t>
      </w:r>
      <w:r>
        <w:rPr>
          <w:rFonts w:hint="eastAsia" w:ascii="仿宋_GB2312"/>
          <w:snapToGrid w:val="0"/>
          <w:kern w:val="0"/>
          <w:sz w:val="32"/>
          <w:szCs w:val="32"/>
          <w:highlight w:val="none"/>
          <w:u w:val="none"/>
        </w:rPr>
        <w:t>万人，比上年</w:t>
      </w:r>
      <w:r>
        <w:rPr>
          <w:rFonts w:hint="eastAsia" w:ascii="仿宋_GB2312"/>
          <w:snapToGrid w:val="0"/>
          <w:kern w:val="0"/>
          <w:sz w:val="32"/>
          <w:szCs w:val="32"/>
          <w:highlight w:val="none"/>
          <w:u w:val="none"/>
          <w:lang w:eastAsia="zh-CN"/>
        </w:rPr>
        <w:t>下降</w:t>
      </w:r>
      <w:r>
        <w:rPr>
          <w:rFonts w:hint="eastAsia" w:ascii="仿宋_GB2312"/>
          <w:snapToGrid w:val="0"/>
          <w:kern w:val="0"/>
          <w:sz w:val="32"/>
          <w:szCs w:val="32"/>
          <w:highlight w:val="none"/>
          <w:u w:val="none"/>
          <w:lang w:val="en-US" w:eastAsia="zh-CN"/>
        </w:rPr>
        <w:t>2.7</w:t>
      </w:r>
      <w:r>
        <w:rPr>
          <w:rFonts w:hint="eastAsia" w:ascii="仿宋_GB2312"/>
          <w:snapToGrid w:val="0"/>
          <w:kern w:val="0"/>
          <w:sz w:val="32"/>
          <w:szCs w:val="32"/>
          <w:highlight w:val="none"/>
          <w:u w:val="none"/>
        </w:rPr>
        <w:t>%；在校生</w:t>
      </w:r>
      <w:r>
        <w:rPr>
          <w:rFonts w:hint="eastAsia" w:ascii="仿宋_GB2312"/>
          <w:snapToGrid w:val="0"/>
          <w:kern w:val="0"/>
          <w:sz w:val="32"/>
          <w:szCs w:val="32"/>
          <w:highlight w:val="none"/>
          <w:u w:val="none"/>
          <w:lang w:val="en-US" w:eastAsia="zh-CN"/>
        </w:rPr>
        <w:t>2708.16</w:t>
      </w:r>
      <w:r>
        <w:rPr>
          <w:rFonts w:hint="eastAsia" w:ascii="仿宋_GB2312"/>
          <w:snapToGrid w:val="0"/>
          <w:kern w:val="0"/>
          <w:sz w:val="32"/>
          <w:szCs w:val="32"/>
          <w:highlight w:val="none"/>
          <w:u w:val="none"/>
        </w:rPr>
        <w:t>万人，增长</w:t>
      </w:r>
      <w:r>
        <w:rPr>
          <w:rFonts w:hint="eastAsia" w:ascii="仿宋_GB2312"/>
          <w:snapToGrid w:val="0"/>
          <w:kern w:val="0"/>
          <w:sz w:val="32"/>
          <w:szCs w:val="32"/>
          <w:highlight w:val="none"/>
          <w:u w:val="none"/>
          <w:lang w:val="en-US" w:eastAsia="zh-CN"/>
        </w:rPr>
        <w:t>1.8</w:t>
      </w:r>
      <w:r>
        <w:rPr>
          <w:rFonts w:hint="eastAsia" w:ascii="仿宋_GB2312"/>
          <w:snapToGrid w:val="0"/>
          <w:kern w:val="0"/>
          <w:sz w:val="32"/>
          <w:szCs w:val="32"/>
          <w:highlight w:val="none"/>
          <w:u w:val="none"/>
        </w:rPr>
        <w:t>%；毕业生</w:t>
      </w:r>
      <w:r>
        <w:rPr>
          <w:rFonts w:hint="eastAsia" w:ascii="仿宋_GB2312"/>
          <w:snapToGrid w:val="0"/>
          <w:kern w:val="0"/>
          <w:sz w:val="32"/>
          <w:szCs w:val="32"/>
          <w:highlight w:val="none"/>
          <w:u w:val="none"/>
          <w:lang w:val="en-US" w:eastAsia="zh-CN"/>
        </w:rPr>
        <w:t>653.53</w:t>
      </w:r>
      <w:r>
        <w:rPr>
          <w:rFonts w:hint="eastAsia" w:ascii="仿宋_GB2312"/>
          <w:snapToGrid w:val="0"/>
          <w:kern w:val="0"/>
          <w:sz w:val="32"/>
          <w:szCs w:val="32"/>
          <w:highlight w:val="none"/>
          <w:u w:val="none"/>
        </w:rPr>
        <w:t>万人，增</w:t>
      </w:r>
      <w:r>
        <w:rPr>
          <w:rFonts w:hint="eastAsia" w:ascii="仿宋_GB2312"/>
          <w:snapToGrid w:val="0"/>
          <w:kern w:val="0"/>
          <w:sz w:val="32"/>
          <w:szCs w:val="32"/>
          <w:highlight w:val="none"/>
          <w:u w:val="none"/>
          <w:lang w:eastAsia="zh-CN"/>
        </w:rPr>
        <w:t>长</w:t>
      </w:r>
      <w:r>
        <w:rPr>
          <w:rFonts w:hint="eastAsia" w:ascii="仿宋_GB2312"/>
          <w:snapToGrid w:val="0"/>
          <w:kern w:val="0"/>
          <w:sz w:val="32"/>
          <w:szCs w:val="32"/>
          <w:highlight w:val="none"/>
          <w:u w:val="none"/>
          <w:lang w:val="en-US" w:eastAsia="zh-CN"/>
        </w:rPr>
        <w:t>2.1</w:t>
      </w:r>
      <w:r>
        <w:rPr>
          <w:rFonts w:hint="eastAsia" w:ascii="仿宋_GB2312"/>
          <w:snapToGrid w:val="0"/>
          <w:kern w:val="0"/>
          <w:sz w:val="32"/>
          <w:szCs w:val="32"/>
          <w:highlight w:val="none"/>
          <w:u w:val="none"/>
        </w:rPr>
        <w:t>%。其中，特殊教育学校招生</w:t>
      </w:r>
      <w:r>
        <w:rPr>
          <w:rFonts w:hint="eastAsia" w:ascii="仿宋_GB2312"/>
          <w:snapToGrid w:val="0"/>
          <w:kern w:val="0"/>
          <w:sz w:val="32"/>
          <w:szCs w:val="32"/>
          <w:highlight w:val="none"/>
          <w:u w:val="none"/>
          <w:lang w:val="en-US" w:eastAsia="zh-CN"/>
        </w:rPr>
        <w:t>1.32万</w:t>
      </w:r>
      <w:r>
        <w:rPr>
          <w:rFonts w:hint="eastAsia" w:ascii="仿宋_GB2312"/>
          <w:snapToGrid w:val="0"/>
          <w:kern w:val="0"/>
          <w:sz w:val="32"/>
          <w:szCs w:val="32"/>
          <w:highlight w:val="none"/>
          <w:u w:val="none"/>
        </w:rPr>
        <w:t>人，在校生</w:t>
      </w:r>
      <w:r>
        <w:rPr>
          <w:rFonts w:hint="eastAsia" w:ascii="仿宋_GB2312"/>
          <w:snapToGrid w:val="0"/>
          <w:kern w:val="0"/>
          <w:sz w:val="32"/>
          <w:szCs w:val="32"/>
          <w:highlight w:val="none"/>
          <w:u w:val="none"/>
          <w:lang w:val="en-US" w:eastAsia="zh-CN"/>
        </w:rPr>
        <w:t>7.12万</w:t>
      </w:r>
      <w:r>
        <w:rPr>
          <w:rFonts w:hint="eastAsia" w:ascii="仿宋_GB2312"/>
          <w:snapToGrid w:val="0"/>
          <w:kern w:val="0"/>
          <w:sz w:val="32"/>
          <w:szCs w:val="32"/>
          <w:highlight w:val="none"/>
          <w:u w:val="none"/>
        </w:rPr>
        <w:t>人；学前教育在园幼儿</w:t>
      </w:r>
      <w:r>
        <w:rPr>
          <w:rFonts w:hint="eastAsia" w:ascii="仿宋_GB2312"/>
          <w:snapToGrid w:val="0"/>
          <w:kern w:val="0"/>
          <w:sz w:val="32"/>
          <w:szCs w:val="32"/>
          <w:highlight w:val="none"/>
          <w:u w:val="none"/>
          <w:lang w:val="en-US" w:eastAsia="zh-CN"/>
        </w:rPr>
        <w:t>500.39</w:t>
      </w:r>
      <w:r>
        <w:rPr>
          <w:rFonts w:hint="eastAsia" w:ascii="仿宋_GB2312"/>
          <w:snapToGrid w:val="0"/>
          <w:kern w:val="0"/>
          <w:sz w:val="32"/>
          <w:szCs w:val="32"/>
          <w:highlight w:val="none"/>
          <w:u w:val="none"/>
        </w:rPr>
        <w:t>万人。</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bCs/>
          <w:snapToGrid w:val="0"/>
          <w:spacing w:val="-17"/>
          <w:w w:val="95"/>
          <w:kern w:val="0"/>
          <w:sz w:val="32"/>
          <w:szCs w:val="32"/>
          <w:highlight w:val="none"/>
          <w:u w:val="none"/>
        </w:rPr>
      </w:pPr>
      <w:r>
        <w:rPr>
          <w:rFonts w:hint="eastAsia" w:ascii="黑体" w:hAnsi="黑体" w:eastAsia="黑体" w:cs="黑体"/>
          <w:bCs/>
          <w:snapToGrid w:val="0"/>
          <w:spacing w:val="-17"/>
          <w:kern w:val="0"/>
          <w:sz w:val="32"/>
          <w:szCs w:val="32"/>
          <w:highlight w:val="none"/>
          <w:u w:val="none"/>
        </w:rPr>
        <w:t>表1</w:t>
      </w:r>
      <w:r>
        <w:rPr>
          <w:rFonts w:hint="eastAsia" w:ascii="黑体" w:hAnsi="黑体" w:eastAsia="黑体" w:cs="黑体"/>
          <w:bCs/>
          <w:snapToGrid w:val="0"/>
          <w:spacing w:val="-17"/>
          <w:kern w:val="0"/>
          <w:sz w:val="32"/>
          <w:szCs w:val="32"/>
          <w:highlight w:val="none"/>
          <w:u w:val="none"/>
          <w:lang w:val="en-US" w:eastAsia="zh-CN"/>
        </w:rPr>
        <w:t>9</w:t>
      </w:r>
      <w:r>
        <w:rPr>
          <w:rFonts w:hint="eastAsia" w:ascii="黑体" w:hAnsi="黑体" w:eastAsia="黑体" w:cs="黑体"/>
          <w:bCs/>
          <w:snapToGrid w:val="0"/>
          <w:spacing w:val="-17"/>
          <w:kern w:val="0"/>
          <w:sz w:val="32"/>
          <w:szCs w:val="32"/>
          <w:highlight w:val="none"/>
          <w:u w:val="none"/>
        </w:rPr>
        <w:t xml:space="preserve">  </w:t>
      </w:r>
      <w:r>
        <w:rPr>
          <w:rFonts w:hint="eastAsia" w:ascii="黑体" w:hAnsi="黑体" w:eastAsia="黑体" w:cs="黑体"/>
          <w:bCs/>
          <w:snapToGrid w:val="0"/>
          <w:spacing w:val="-17"/>
          <w:kern w:val="0"/>
          <w:sz w:val="32"/>
          <w:szCs w:val="32"/>
          <w:highlight w:val="none"/>
          <w:u w:val="none"/>
          <w:lang w:eastAsia="zh-CN"/>
        </w:rPr>
        <w:t>2021</w:t>
      </w:r>
      <w:r>
        <w:rPr>
          <w:rFonts w:hint="eastAsia" w:ascii="黑体" w:hAnsi="黑体" w:eastAsia="黑体" w:cs="黑体"/>
          <w:bCs/>
          <w:snapToGrid w:val="0"/>
          <w:spacing w:val="-17"/>
          <w:kern w:val="0"/>
          <w:sz w:val="32"/>
          <w:szCs w:val="32"/>
          <w:highlight w:val="none"/>
          <w:u w:val="none"/>
        </w:rPr>
        <w:t>年各级各类教育招生、在校生、毕业生人数及增长速度</w:t>
      </w:r>
    </w:p>
    <w:tbl>
      <w:tblPr>
        <w:tblStyle w:val="10"/>
        <w:tblW w:w="8900"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409"/>
        <w:gridCol w:w="1139"/>
        <w:gridCol w:w="1024"/>
        <w:gridCol w:w="1140"/>
        <w:gridCol w:w="1024"/>
        <w:gridCol w:w="1140"/>
        <w:gridCol w:w="102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409"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bCs/>
                <w:sz w:val="21"/>
                <w:szCs w:val="21"/>
                <w:highlight w:val="none"/>
                <w:u w:val="none"/>
              </w:rPr>
            </w:pPr>
            <w:r>
              <w:rPr>
                <w:rFonts w:hint="eastAsia" w:ascii="黑体" w:hAnsi="宋体" w:eastAsia="黑体" w:cs="黑体"/>
                <w:i w:val="0"/>
                <w:color w:val="000000"/>
                <w:kern w:val="0"/>
                <w:sz w:val="21"/>
                <w:szCs w:val="21"/>
                <w:highlight w:val="none"/>
                <w:u w:val="none"/>
                <w:lang w:val="en-US" w:eastAsia="zh-CN" w:bidi="ar"/>
              </w:rPr>
              <w:t>指标</w:t>
            </w:r>
          </w:p>
        </w:tc>
        <w:tc>
          <w:tcPr>
            <w:tcW w:w="1139" w:type="dxa"/>
            <w:tcBorders>
              <w:top w:val="single" w:color="000000" w:sz="4" w:space="0"/>
              <w:left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招生</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Cs/>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（万人）</w:t>
            </w:r>
          </w:p>
        </w:tc>
        <w:tc>
          <w:tcPr>
            <w:tcW w:w="1024" w:type="dxa"/>
            <w:tcBorders>
              <w:top w:val="single" w:color="000000" w:sz="4" w:space="0"/>
              <w:left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比上年</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Cs/>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增长（%）</w:t>
            </w:r>
          </w:p>
        </w:tc>
        <w:tc>
          <w:tcPr>
            <w:tcW w:w="1140" w:type="dxa"/>
            <w:tcBorders>
              <w:top w:val="single" w:color="000000" w:sz="4" w:space="0"/>
              <w:left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在校生</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Cs/>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（万人）</w:t>
            </w:r>
          </w:p>
        </w:tc>
        <w:tc>
          <w:tcPr>
            <w:tcW w:w="1024" w:type="dxa"/>
            <w:tcBorders>
              <w:top w:val="single" w:color="000000" w:sz="4" w:space="0"/>
              <w:left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比上年</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Cs/>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增长（%）</w:t>
            </w:r>
          </w:p>
        </w:tc>
        <w:tc>
          <w:tcPr>
            <w:tcW w:w="1140" w:type="dxa"/>
            <w:tcBorders>
              <w:top w:val="single" w:color="000000" w:sz="4" w:space="0"/>
              <w:left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毕业生</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Cs/>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（万人）</w:t>
            </w:r>
          </w:p>
        </w:tc>
        <w:tc>
          <w:tcPr>
            <w:tcW w:w="1024" w:type="dxa"/>
            <w:tcBorders>
              <w:top w:val="single" w:color="000000" w:sz="4" w:space="0"/>
              <w:left w:val="single" w:color="000000" w:sz="4" w:space="0"/>
              <w:bottom w:val="single" w:color="auto" w:sz="4"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1"/>
                <w:szCs w:val="21"/>
                <w:highlight w:val="none"/>
                <w:u w:val="none"/>
                <w:lang w:val="en-US" w:eastAsia="zh-CN" w:bidi="ar"/>
              </w:rPr>
            </w:pPr>
            <w:r>
              <w:rPr>
                <w:rFonts w:hint="eastAsia" w:ascii="黑体" w:hAnsi="宋体" w:eastAsia="黑体" w:cs="黑体"/>
                <w:i w:val="0"/>
                <w:color w:val="000000"/>
                <w:kern w:val="0"/>
                <w:sz w:val="21"/>
                <w:szCs w:val="21"/>
                <w:highlight w:val="none"/>
                <w:u w:val="none"/>
                <w:lang w:val="en-US" w:eastAsia="zh-CN" w:bidi="ar"/>
              </w:rPr>
              <w:t>比上年</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Cs/>
                <w:sz w:val="21"/>
                <w:szCs w:val="21"/>
                <w:highlight w:val="none"/>
                <w:u w:val="none"/>
                <w:lang w:val="en-US" w:eastAsia="zh-CN"/>
              </w:rPr>
            </w:pPr>
            <w:r>
              <w:rPr>
                <w:rFonts w:hint="eastAsia" w:ascii="黑体" w:hAnsi="宋体" w:eastAsia="黑体" w:cs="黑体"/>
                <w:i w:val="0"/>
                <w:color w:val="000000"/>
                <w:kern w:val="0"/>
                <w:sz w:val="21"/>
                <w:szCs w:val="21"/>
                <w:highlight w:val="none"/>
                <w:u w:val="none"/>
                <w:lang w:val="en-US" w:eastAsia="zh-CN" w:bidi="ar"/>
              </w:rPr>
              <w:t>增长（%）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409"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研究生教育</w:t>
            </w:r>
          </w:p>
        </w:tc>
        <w:tc>
          <w:tcPr>
            <w:tcW w:w="113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6.45 </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7.</w:t>
            </w:r>
            <w:r>
              <w:rPr>
                <w:rFonts w:hint="eastAsia" w:ascii="宋体" w:hAnsi="宋体" w:eastAsia="宋体" w:cs="宋体"/>
                <w:color w:val="000000"/>
                <w:kern w:val="0"/>
                <w:sz w:val="21"/>
                <w:szCs w:val="21"/>
                <w:highlight w:val="none"/>
                <w:u w:val="none"/>
                <w:lang w:val="en-US" w:eastAsia="zh-CN" w:bidi="ar"/>
              </w:rPr>
              <w:t>7</w:t>
            </w:r>
            <w:r>
              <w:rPr>
                <w:rFonts w:hint="eastAsia" w:ascii="宋体" w:hAnsi="宋体" w:eastAsia="宋体" w:cs="宋体"/>
                <w:color w:val="000000"/>
                <w:kern w:val="0"/>
                <w:sz w:val="21"/>
                <w:szCs w:val="21"/>
                <w:highlight w:val="none"/>
                <w:u w:val="none"/>
                <w:lang w:bidi="ar"/>
              </w:rPr>
              <w:t xml:space="preserve"> </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17.43 </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12.6 </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3.89 </w:t>
            </w:r>
          </w:p>
        </w:tc>
        <w:tc>
          <w:tcPr>
            <w:tcW w:w="1024" w:type="dxa"/>
            <w:tcBorders>
              <w:top w:val="single" w:color="auto" w:sz="4" w:space="0"/>
              <w:left w:val="single" w:color="000000" w:sz="4" w:space="0"/>
              <w:bottom w:val="nil"/>
              <w:right w:val="nil"/>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8.</w:t>
            </w:r>
            <w:r>
              <w:rPr>
                <w:rFonts w:hint="eastAsia" w:ascii="宋体" w:hAnsi="宋体" w:eastAsia="宋体" w:cs="宋体"/>
                <w:color w:val="000000"/>
                <w:kern w:val="0"/>
                <w:sz w:val="21"/>
                <w:szCs w:val="21"/>
                <w:highlight w:val="none"/>
                <w:u w:val="none"/>
                <w:lang w:val="en-US" w:eastAsia="zh-CN" w:bidi="ar"/>
              </w:rPr>
              <w:t>1</w:t>
            </w:r>
            <w:r>
              <w:rPr>
                <w:rFonts w:hint="eastAsia" w:ascii="宋体" w:hAnsi="宋体" w:eastAsia="宋体" w:cs="宋体"/>
                <w:color w:val="000000"/>
                <w:kern w:val="0"/>
                <w:sz w:val="21"/>
                <w:szCs w:val="21"/>
                <w:highlight w:val="none"/>
                <w:u w:val="none"/>
                <w:lang w:bidi="ar"/>
              </w:rPr>
              <w:t xml:space="preserve">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409"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普通本专科</w:t>
            </w:r>
          </w:p>
        </w:tc>
        <w:tc>
          <w:tcPr>
            <w:tcW w:w="113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75.19 </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-18.0 </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253.98 </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5.8 </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57.44 </w:t>
            </w:r>
          </w:p>
        </w:tc>
        <w:tc>
          <w:tcPr>
            <w:tcW w:w="1024" w:type="dxa"/>
            <w:tcBorders>
              <w:top w:val="nil"/>
              <w:left w:val="single" w:color="000000" w:sz="4" w:space="0"/>
              <w:bottom w:val="nil"/>
              <w:right w:val="nil"/>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4.4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409"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成人本专科</w:t>
            </w:r>
          </w:p>
        </w:tc>
        <w:tc>
          <w:tcPr>
            <w:tcW w:w="113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43.15 </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-4.</w:t>
            </w:r>
            <w:r>
              <w:rPr>
                <w:rFonts w:hint="eastAsia" w:ascii="宋体" w:hAnsi="宋体" w:eastAsia="宋体" w:cs="宋体"/>
                <w:color w:val="000000"/>
                <w:kern w:val="0"/>
                <w:sz w:val="21"/>
                <w:szCs w:val="21"/>
                <w:highlight w:val="none"/>
                <w:u w:val="none"/>
                <w:lang w:val="en-US" w:eastAsia="zh-CN" w:bidi="ar"/>
              </w:rPr>
              <w:t>9</w:t>
            </w:r>
            <w:r>
              <w:rPr>
                <w:rFonts w:hint="eastAsia" w:ascii="宋体" w:hAnsi="宋体" w:eastAsia="宋体" w:cs="宋体"/>
                <w:color w:val="000000"/>
                <w:kern w:val="0"/>
                <w:sz w:val="21"/>
                <w:szCs w:val="21"/>
                <w:highlight w:val="none"/>
                <w:u w:val="none"/>
                <w:lang w:bidi="ar"/>
              </w:rPr>
              <w:t xml:space="preserve"> </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97.51 </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-11.6 </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29.96</w:t>
            </w:r>
          </w:p>
        </w:tc>
        <w:tc>
          <w:tcPr>
            <w:tcW w:w="1024" w:type="dxa"/>
            <w:tcBorders>
              <w:top w:val="nil"/>
              <w:left w:val="single" w:color="000000" w:sz="4" w:space="0"/>
              <w:bottom w:val="nil"/>
              <w:right w:val="nil"/>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12.</w:t>
            </w:r>
            <w:r>
              <w:rPr>
                <w:rFonts w:hint="eastAsia" w:ascii="宋体" w:hAnsi="宋体" w:eastAsia="宋体" w:cs="宋体"/>
                <w:color w:val="000000"/>
                <w:kern w:val="0"/>
                <w:sz w:val="21"/>
                <w:szCs w:val="21"/>
                <w:highlight w:val="none"/>
                <w:u w:val="none"/>
                <w:lang w:val="en-US" w:eastAsia="zh-CN" w:bidi="ar"/>
              </w:rPr>
              <w:t>7</w:t>
            </w:r>
            <w:r>
              <w:rPr>
                <w:rFonts w:hint="eastAsia" w:ascii="宋体" w:hAnsi="宋体" w:eastAsia="宋体" w:cs="宋体"/>
                <w:color w:val="000000"/>
                <w:kern w:val="0"/>
                <w:sz w:val="21"/>
                <w:szCs w:val="21"/>
                <w:highlight w:val="none"/>
                <w:u w:val="none"/>
                <w:lang w:bidi="ar"/>
              </w:rPr>
              <w:t xml:space="preserve">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409"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网络本专科</w:t>
            </w:r>
          </w:p>
        </w:tc>
        <w:tc>
          <w:tcPr>
            <w:tcW w:w="1139"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13.63 </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218.9 </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36.81 </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192.6 </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 xml:space="preserve">11.37 </w:t>
            </w:r>
          </w:p>
        </w:tc>
        <w:tc>
          <w:tcPr>
            <w:tcW w:w="1024" w:type="dxa"/>
            <w:tcBorders>
              <w:top w:val="nil"/>
              <w:left w:val="single" w:color="000000" w:sz="4" w:space="0"/>
              <w:bottom w:val="nil"/>
              <w:right w:val="nil"/>
            </w:tcBorders>
            <w:shd w:val="solid" w:color="FFFFFF" w:fill="auto"/>
            <w:vAlign w:val="center"/>
          </w:tcPr>
          <w:p>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宋体" w:hAnsi="宋体" w:eastAsia="宋体" w:cs="宋体"/>
                <w:bCs/>
                <w:sz w:val="21"/>
                <w:szCs w:val="21"/>
                <w:highlight w:val="none"/>
                <w:u w:val="none"/>
                <w:lang w:val="en-US" w:eastAsia="zh-CN"/>
              </w:rPr>
            </w:pPr>
            <w:r>
              <w:rPr>
                <w:rFonts w:hint="eastAsia" w:ascii="宋体" w:hAnsi="宋体" w:eastAsia="宋体" w:cs="宋体"/>
                <w:color w:val="000000"/>
                <w:kern w:val="0"/>
                <w:sz w:val="21"/>
                <w:szCs w:val="21"/>
                <w:highlight w:val="none"/>
                <w:u w:val="none"/>
                <w:lang w:bidi="ar"/>
              </w:rPr>
              <w:t>18</w:t>
            </w:r>
            <w:r>
              <w:rPr>
                <w:rFonts w:hint="eastAsia" w:ascii="宋体" w:hAnsi="宋体" w:eastAsia="宋体" w:cs="宋体"/>
                <w:color w:val="000000"/>
                <w:kern w:val="0"/>
                <w:sz w:val="21"/>
                <w:szCs w:val="21"/>
                <w:highlight w:val="none"/>
                <w:u w:val="none"/>
                <w:lang w:val="en-US" w:eastAsia="zh-CN" w:bidi="ar"/>
              </w:rPr>
              <w:t>8.0</w:t>
            </w:r>
            <w:r>
              <w:rPr>
                <w:rFonts w:hint="eastAsia" w:ascii="宋体" w:hAnsi="宋体" w:eastAsia="宋体" w:cs="宋体"/>
                <w:color w:val="000000"/>
                <w:kern w:val="0"/>
                <w:sz w:val="21"/>
                <w:szCs w:val="21"/>
                <w:highlight w:val="none"/>
                <w:u w:val="none"/>
                <w:lang w:bidi="ar"/>
              </w:rPr>
              <w:t xml:space="preserve">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409"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left"/>
              <w:textAlignment w:val="center"/>
              <w:outlineLvl w:val="9"/>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各类中等职业技术教育（不含技工学校）</w:t>
            </w:r>
          </w:p>
        </w:tc>
        <w:tc>
          <w:tcPr>
            <w:tcW w:w="1139"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33.60</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7.0</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90.30</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4.</w:t>
            </w:r>
            <w:r>
              <w:rPr>
                <w:rFonts w:hint="eastAsia" w:ascii="宋体" w:hAnsi="宋体" w:eastAsia="宋体" w:cs="宋体"/>
                <w:bCs/>
                <w:sz w:val="21"/>
                <w:szCs w:val="21"/>
                <w:highlight w:val="none"/>
                <w:u w:val="none"/>
                <w:lang w:val="en-US" w:eastAsia="zh-CN"/>
              </w:rPr>
              <w:t>2</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26.05</w:t>
            </w:r>
          </w:p>
        </w:tc>
        <w:tc>
          <w:tcPr>
            <w:tcW w:w="1024" w:type="dxa"/>
            <w:tcBorders>
              <w:top w:val="nil"/>
              <w:left w:val="single" w:color="000000" w:sz="4" w:space="0"/>
              <w:bottom w:val="nil"/>
              <w:right w:val="nil"/>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-2.1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409"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普通高中</w:t>
            </w:r>
          </w:p>
        </w:tc>
        <w:tc>
          <w:tcPr>
            <w:tcW w:w="1139"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70.52</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5.0</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200.77</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5.</w:t>
            </w:r>
            <w:r>
              <w:rPr>
                <w:rFonts w:hint="eastAsia" w:ascii="宋体" w:hAnsi="宋体" w:eastAsia="宋体" w:cs="宋体"/>
                <w:bCs/>
                <w:sz w:val="21"/>
                <w:szCs w:val="21"/>
                <w:highlight w:val="none"/>
                <w:u w:val="none"/>
                <w:lang w:val="en-US" w:eastAsia="zh-CN"/>
              </w:rPr>
              <w:t>5</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59.</w:t>
            </w:r>
            <w:r>
              <w:rPr>
                <w:rFonts w:hint="eastAsia" w:ascii="宋体" w:hAnsi="宋体" w:eastAsia="宋体" w:cs="宋体"/>
                <w:bCs/>
                <w:sz w:val="21"/>
                <w:szCs w:val="21"/>
                <w:highlight w:val="none"/>
                <w:u w:val="none"/>
                <w:lang w:val="en-US" w:eastAsia="zh-CN"/>
              </w:rPr>
              <w:t>0</w:t>
            </w:r>
            <w:r>
              <w:rPr>
                <w:rFonts w:hint="eastAsia" w:ascii="宋体" w:hAnsi="宋体" w:eastAsia="宋体" w:cs="宋体"/>
                <w:bCs/>
                <w:sz w:val="21"/>
                <w:szCs w:val="21"/>
                <w:highlight w:val="none"/>
                <w:u w:val="none"/>
              </w:rPr>
              <w:t>4</w:t>
            </w:r>
          </w:p>
        </w:tc>
        <w:tc>
          <w:tcPr>
            <w:tcW w:w="1024" w:type="dxa"/>
            <w:tcBorders>
              <w:top w:val="nil"/>
              <w:left w:val="single" w:color="000000" w:sz="4" w:space="0"/>
              <w:bottom w:val="nil"/>
              <w:right w:val="nil"/>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-1.3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409"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初中</w:t>
            </w:r>
          </w:p>
        </w:tc>
        <w:tc>
          <w:tcPr>
            <w:tcW w:w="1139"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154.62</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8.9</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429.21</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5.</w:t>
            </w:r>
            <w:r>
              <w:rPr>
                <w:rFonts w:hint="eastAsia" w:ascii="宋体" w:hAnsi="宋体" w:eastAsia="宋体" w:cs="宋体"/>
                <w:bCs/>
                <w:sz w:val="21"/>
                <w:szCs w:val="21"/>
                <w:highlight w:val="none"/>
                <w:u w:val="none"/>
                <w:lang w:val="en-US" w:eastAsia="zh-CN"/>
              </w:rPr>
              <w:t>9</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126.33</w:t>
            </w:r>
          </w:p>
        </w:tc>
        <w:tc>
          <w:tcPr>
            <w:tcW w:w="1024" w:type="dxa"/>
            <w:tcBorders>
              <w:top w:val="nil"/>
              <w:left w:val="single" w:color="000000" w:sz="4" w:space="0"/>
              <w:bottom w:val="nil"/>
              <w:right w:val="nil"/>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4.9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409"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小学</w:t>
            </w:r>
          </w:p>
        </w:tc>
        <w:tc>
          <w:tcPr>
            <w:tcW w:w="1139"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183.80</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 xml:space="preserve">    3.8</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1079.01</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2.</w:t>
            </w:r>
            <w:r>
              <w:rPr>
                <w:rFonts w:hint="eastAsia" w:ascii="宋体" w:hAnsi="宋体" w:eastAsia="宋体" w:cs="宋体"/>
                <w:bCs/>
                <w:sz w:val="21"/>
                <w:szCs w:val="21"/>
                <w:highlight w:val="none"/>
                <w:u w:val="none"/>
                <w:lang w:val="en-US" w:eastAsia="zh-CN"/>
              </w:rPr>
              <w:t>1</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159.07</w:t>
            </w:r>
          </w:p>
        </w:tc>
        <w:tc>
          <w:tcPr>
            <w:tcW w:w="1024" w:type="dxa"/>
            <w:tcBorders>
              <w:top w:val="nil"/>
              <w:left w:val="single" w:color="000000" w:sz="4" w:space="0"/>
              <w:bottom w:val="nil"/>
              <w:right w:val="nil"/>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8.</w:t>
            </w:r>
            <w:r>
              <w:rPr>
                <w:rFonts w:hint="eastAsia" w:ascii="宋体" w:hAnsi="宋体" w:eastAsia="宋体" w:cs="宋体"/>
                <w:bCs/>
                <w:sz w:val="21"/>
                <w:szCs w:val="21"/>
                <w:highlight w:val="none"/>
                <w:u w:val="none"/>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409" w:type="dxa"/>
            <w:tcBorders>
              <w:top w:val="nil"/>
              <w:left w:val="nil"/>
              <w:bottom w:val="nil"/>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学前教育</w:t>
            </w:r>
          </w:p>
        </w:tc>
        <w:tc>
          <w:tcPr>
            <w:tcW w:w="1139"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color w:val="auto"/>
                <w:sz w:val="21"/>
                <w:szCs w:val="21"/>
                <w:highlight w:val="none"/>
                <w:u w:val="none"/>
              </w:rPr>
              <w:t>167.22</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-8.4</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500.39</w:t>
            </w:r>
          </w:p>
        </w:tc>
        <w:tc>
          <w:tcPr>
            <w:tcW w:w="1024"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4.2</w:t>
            </w:r>
          </w:p>
        </w:tc>
        <w:tc>
          <w:tcPr>
            <w:tcW w:w="1140" w:type="dxa"/>
            <w:tcBorders>
              <w:top w:val="nil"/>
              <w:left w:val="single" w:color="000000" w:sz="4" w:space="0"/>
              <w:bottom w:val="nil"/>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180.03</w:t>
            </w:r>
          </w:p>
        </w:tc>
        <w:tc>
          <w:tcPr>
            <w:tcW w:w="1024" w:type="dxa"/>
            <w:tcBorders>
              <w:top w:val="nil"/>
              <w:left w:val="single" w:color="000000" w:sz="4" w:space="0"/>
              <w:bottom w:val="nil"/>
              <w:right w:val="nil"/>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-0.</w:t>
            </w:r>
            <w:r>
              <w:rPr>
                <w:rFonts w:hint="eastAsia" w:ascii="宋体" w:hAnsi="宋体" w:eastAsia="宋体" w:cs="宋体"/>
                <w:bCs/>
                <w:sz w:val="21"/>
                <w:szCs w:val="21"/>
                <w:highlight w:val="none"/>
                <w:u w:val="none"/>
                <w:lang w:val="en-US" w:eastAsia="zh-CN"/>
              </w:rPr>
              <w:t>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2409" w:type="dxa"/>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bCs/>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特殊教育</w:t>
            </w:r>
          </w:p>
        </w:tc>
        <w:tc>
          <w:tcPr>
            <w:tcW w:w="1139"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1.32</w:t>
            </w:r>
          </w:p>
        </w:tc>
        <w:tc>
          <w:tcPr>
            <w:tcW w:w="1024"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5.</w:t>
            </w:r>
            <w:r>
              <w:rPr>
                <w:rFonts w:hint="eastAsia" w:ascii="宋体" w:hAnsi="宋体" w:eastAsia="宋体" w:cs="宋体"/>
                <w:bCs/>
                <w:sz w:val="21"/>
                <w:szCs w:val="21"/>
                <w:highlight w:val="none"/>
                <w:u w:val="none"/>
                <w:lang w:val="en-US" w:eastAsia="zh-CN"/>
              </w:rPr>
              <w:t>2</w:t>
            </w:r>
          </w:p>
        </w:tc>
        <w:tc>
          <w:tcPr>
            <w:tcW w:w="1140"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7.12</w:t>
            </w:r>
          </w:p>
        </w:tc>
        <w:tc>
          <w:tcPr>
            <w:tcW w:w="1024"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11.</w:t>
            </w:r>
            <w:r>
              <w:rPr>
                <w:rFonts w:hint="eastAsia" w:ascii="宋体" w:hAnsi="宋体" w:eastAsia="宋体" w:cs="宋体"/>
                <w:bCs/>
                <w:sz w:val="21"/>
                <w:szCs w:val="21"/>
                <w:highlight w:val="none"/>
                <w:u w:val="none"/>
                <w:lang w:val="en-US" w:eastAsia="zh-CN"/>
              </w:rPr>
              <w:t>6</w:t>
            </w:r>
          </w:p>
        </w:tc>
        <w:tc>
          <w:tcPr>
            <w:tcW w:w="1140" w:type="dxa"/>
            <w:tcBorders>
              <w:top w:val="nil"/>
              <w:left w:val="single" w:color="000000" w:sz="4" w:space="0"/>
              <w:bottom w:val="single" w:color="000000" w:sz="4" w:space="0"/>
              <w:right w:val="single" w:color="000000" w:sz="4" w:space="0"/>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0.93</w:t>
            </w:r>
          </w:p>
        </w:tc>
        <w:tc>
          <w:tcPr>
            <w:tcW w:w="1024" w:type="dxa"/>
            <w:tcBorders>
              <w:top w:val="nil"/>
              <w:left w:val="single" w:color="000000" w:sz="4" w:space="0"/>
              <w:bottom w:val="single" w:color="000000" w:sz="4" w:space="0"/>
              <w:right w:val="nil"/>
            </w:tcBorders>
            <w:shd w:val="solid" w:color="FFFFFF" w:fill="auto"/>
            <w:vAlign w:val="center"/>
          </w:tcPr>
          <w:p>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rPr>
              <w:t>52.</w:t>
            </w:r>
            <w:r>
              <w:rPr>
                <w:rFonts w:hint="eastAsia" w:ascii="宋体" w:hAnsi="宋体" w:eastAsia="宋体" w:cs="宋体"/>
                <w:bCs/>
                <w:sz w:val="21"/>
                <w:szCs w:val="21"/>
                <w:highlight w:val="none"/>
                <w:u w:val="none"/>
                <w:lang w:val="en-US" w:eastAsia="zh-CN"/>
              </w:rPr>
              <w:t>7</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黑体" w:hAnsi="黑体" w:eastAsia="黑体" w:cs="黑体"/>
          <w:snapToGrid w:val="0"/>
          <w:kern w:val="0"/>
          <w:sz w:val="32"/>
          <w:szCs w:val="32"/>
          <w:highlight w:val="none"/>
          <w:u w:val="none"/>
          <w:lang w:val="en-US" w:eastAsia="zh-CN"/>
        </w:rPr>
      </w:pPr>
      <w:r>
        <w:rPr>
          <w:rFonts w:hint="eastAsia" w:ascii="黑体" w:hAnsi="黑体" w:eastAsia="黑体" w:cs="黑体"/>
          <w:snapToGrid w:val="0"/>
          <w:kern w:val="0"/>
          <w:sz w:val="32"/>
          <w:szCs w:val="32"/>
          <w:highlight w:val="none"/>
          <w:u w:val="none"/>
          <w:lang w:val="en-US" w:eastAsia="zh-CN"/>
        </w:rPr>
        <w:t>图13  2016-2021年各类教育招生人数</w:t>
      </w:r>
      <w:r>
        <w:rPr>
          <w:highlight w:val="none"/>
          <w:u w:val="none"/>
        </w:rPr>
        <w:drawing>
          <wp:inline distT="0" distB="0" distL="114300" distR="114300">
            <wp:extent cx="5170805" cy="3383915"/>
            <wp:effectExtent l="0" t="0" r="1079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170805" cy="33839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auto"/>
        <w:ind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lang w:val="en-US" w:eastAsia="zh-CN"/>
        </w:rPr>
        <w:t>全省专利授权总量87.22万件，比上年增长22.9</w:t>
      </w:r>
      <w:r>
        <w:rPr>
          <w:rFonts w:hint="eastAsia" w:ascii="仿宋_GB2312"/>
          <w:snapToGrid w:val="0"/>
          <w:kern w:val="0"/>
          <w:sz w:val="32"/>
          <w:szCs w:val="32"/>
          <w:highlight w:val="none"/>
          <w:u w:val="none"/>
        </w:rPr>
        <w:t>%</w:t>
      </w:r>
      <w:r>
        <w:rPr>
          <w:rFonts w:hint="eastAsia" w:ascii="仿宋_GB2312"/>
          <w:snapToGrid w:val="0"/>
          <w:kern w:val="0"/>
          <w:sz w:val="32"/>
          <w:szCs w:val="32"/>
          <w:highlight w:val="none"/>
          <w:u w:val="none"/>
          <w:lang w:val="en-US" w:eastAsia="zh-CN"/>
        </w:rPr>
        <w:t>，居全国首位；其中，发明专利授权量10.29万件，增长45.5</w:t>
      </w:r>
      <w:r>
        <w:rPr>
          <w:rFonts w:hint="eastAsia" w:ascii="仿宋_GB2312"/>
          <w:snapToGrid w:val="0"/>
          <w:kern w:val="0"/>
          <w:sz w:val="32"/>
          <w:szCs w:val="32"/>
          <w:highlight w:val="none"/>
          <w:u w:val="none"/>
        </w:rPr>
        <w:t>%</w:t>
      </w:r>
      <w:r>
        <w:rPr>
          <w:rFonts w:hint="eastAsia" w:ascii="仿宋_GB2312"/>
          <w:snapToGrid w:val="0"/>
          <w:kern w:val="0"/>
          <w:sz w:val="32"/>
          <w:szCs w:val="32"/>
          <w:highlight w:val="none"/>
          <w:u w:val="none"/>
          <w:lang w:val="en-US" w:eastAsia="zh-CN"/>
        </w:rPr>
        <w:t>。全年《专利合作条约》PCT国际专利申请量2.61万件，居全国首位。截至2021年底，全省有效发明专利量43.96万件，居全国首位。每万人口发明专利拥有量34.89件。全年有10.27万家企业获得专利授权65.07万件，其中1.93万家企业有发明专利授权8.49万件。</w:t>
      </w:r>
      <w:r>
        <w:rPr>
          <w:rFonts w:hint="eastAsia" w:ascii="仿宋_GB2312"/>
          <w:snapToGrid w:val="0"/>
          <w:kern w:val="0"/>
          <w:sz w:val="32"/>
          <w:szCs w:val="32"/>
          <w:highlight w:val="none"/>
          <w:u w:val="none"/>
        </w:rPr>
        <w:t>全年经各级科技行政部门登记技术合同</w:t>
      </w:r>
      <w:r>
        <w:rPr>
          <w:rFonts w:hint="eastAsia" w:ascii="仿宋_GB2312"/>
          <w:snapToGrid w:val="0"/>
          <w:kern w:val="0"/>
          <w:sz w:val="32"/>
          <w:szCs w:val="32"/>
          <w:highlight w:val="none"/>
          <w:u w:val="none"/>
          <w:lang w:val="en-US" w:eastAsia="zh-CN"/>
        </w:rPr>
        <w:t>42961</w:t>
      </w:r>
      <w:r>
        <w:rPr>
          <w:rFonts w:hint="eastAsia" w:ascii="仿宋_GB2312"/>
          <w:snapToGrid w:val="0"/>
          <w:kern w:val="0"/>
          <w:sz w:val="32"/>
          <w:szCs w:val="32"/>
          <w:highlight w:val="none"/>
          <w:u w:val="none"/>
        </w:rPr>
        <w:t>项；技术合同成交额</w:t>
      </w:r>
      <w:r>
        <w:rPr>
          <w:rFonts w:hint="eastAsia" w:ascii="仿宋_GB2312"/>
          <w:snapToGrid w:val="0"/>
          <w:kern w:val="0"/>
          <w:sz w:val="32"/>
          <w:szCs w:val="32"/>
          <w:highlight w:val="none"/>
          <w:u w:val="none"/>
          <w:lang w:val="en-US" w:eastAsia="zh-CN"/>
        </w:rPr>
        <w:t>4292.73</w:t>
      </w:r>
      <w:r>
        <w:rPr>
          <w:rFonts w:hint="eastAsia" w:ascii="仿宋_GB2312"/>
          <w:snapToGrid w:val="0"/>
          <w:kern w:val="0"/>
          <w:sz w:val="32"/>
          <w:szCs w:val="32"/>
          <w:highlight w:val="none"/>
          <w:u w:val="none"/>
        </w:rPr>
        <w:t>亿元，增长</w:t>
      </w:r>
      <w:r>
        <w:rPr>
          <w:rFonts w:hint="eastAsia" w:ascii="仿宋_GB2312"/>
          <w:snapToGrid w:val="0"/>
          <w:kern w:val="0"/>
          <w:sz w:val="32"/>
          <w:szCs w:val="32"/>
          <w:highlight w:val="none"/>
          <w:u w:val="none"/>
          <w:lang w:val="en-US" w:eastAsia="zh-CN"/>
        </w:rPr>
        <w:t>23.9</w:t>
      </w:r>
      <w:r>
        <w:rPr>
          <w:rFonts w:hint="eastAsia" w:ascii="仿宋_GB2312"/>
          <w:snapToGrid w:val="0"/>
          <w:kern w:val="0"/>
          <w:sz w:val="32"/>
          <w:szCs w:val="32"/>
          <w:highlight w:val="none"/>
          <w:u w:val="none"/>
        </w:rPr>
        <w:t>%。</w:t>
      </w:r>
    </w:p>
    <w:p>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outlineLvl w:val="9"/>
        <w:rPr>
          <w:rFonts w:hint="eastAsia" w:ascii="黑体" w:hAnsi="黑体" w:eastAsia="黑体" w:cs="黑体"/>
          <w:bCs/>
          <w:snapToGrid w:val="0"/>
          <w:kern w:val="0"/>
          <w:sz w:val="32"/>
          <w:szCs w:val="32"/>
          <w:highlight w:val="none"/>
          <w:u w:val="none"/>
        </w:rPr>
      </w:pPr>
      <w:r>
        <w:rPr>
          <w:rFonts w:hint="eastAsia" w:ascii="黑体" w:hAnsi="黑体" w:eastAsia="黑体" w:cs="黑体"/>
          <w:bCs/>
          <w:snapToGrid w:val="0"/>
          <w:kern w:val="0"/>
          <w:sz w:val="32"/>
          <w:szCs w:val="32"/>
          <w:highlight w:val="none"/>
          <w:u w:val="none"/>
        </w:rPr>
        <w:t>表</w:t>
      </w:r>
      <w:r>
        <w:rPr>
          <w:rFonts w:hint="eastAsia" w:ascii="黑体" w:hAnsi="黑体" w:eastAsia="黑体" w:cs="黑体"/>
          <w:bCs/>
          <w:snapToGrid w:val="0"/>
          <w:kern w:val="0"/>
          <w:sz w:val="32"/>
          <w:szCs w:val="32"/>
          <w:highlight w:val="none"/>
          <w:u w:val="none"/>
          <w:lang w:val="en-US" w:eastAsia="zh-CN"/>
        </w:rPr>
        <w:t>20</w:t>
      </w:r>
      <w:r>
        <w:rPr>
          <w:rFonts w:hint="eastAsia" w:ascii="黑体" w:hAnsi="黑体" w:eastAsia="黑体" w:cs="黑体"/>
          <w:bCs/>
          <w:snapToGrid w:val="0"/>
          <w:kern w:val="0"/>
          <w:sz w:val="32"/>
          <w:szCs w:val="32"/>
          <w:highlight w:val="none"/>
          <w:u w:val="none"/>
        </w:rPr>
        <w:t xml:space="preserve">  </w:t>
      </w:r>
      <w:r>
        <w:rPr>
          <w:rFonts w:hint="eastAsia" w:ascii="黑体" w:hAnsi="黑体" w:eastAsia="黑体" w:cs="黑体"/>
          <w:bCs/>
          <w:snapToGrid w:val="0"/>
          <w:kern w:val="0"/>
          <w:sz w:val="32"/>
          <w:szCs w:val="32"/>
          <w:highlight w:val="none"/>
          <w:u w:val="none"/>
          <w:lang w:eastAsia="zh-CN"/>
        </w:rPr>
        <w:t>2021</w:t>
      </w:r>
      <w:r>
        <w:rPr>
          <w:rFonts w:hint="eastAsia" w:ascii="黑体" w:hAnsi="黑体" w:eastAsia="黑体" w:cs="黑体"/>
          <w:bCs/>
          <w:snapToGrid w:val="0"/>
          <w:kern w:val="0"/>
          <w:sz w:val="32"/>
          <w:szCs w:val="32"/>
          <w:highlight w:val="none"/>
          <w:u w:val="none"/>
        </w:rPr>
        <w:t>年专利授权和有效专利情况</w:t>
      </w:r>
    </w:p>
    <w:tbl>
      <w:tblPr>
        <w:tblStyle w:val="10"/>
        <w:tblW w:w="8760" w:type="dxa"/>
        <w:jc w:val="center"/>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5397"/>
        <w:gridCol w:w="3363"/>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668" w:hRule="atLeast"/>
          <w:jc w:val="center"/>
        </w:trPr>
        <w:tc>
          <w:tcPr>
            <w:tcW w:w="5397" w:type="dxa"/>
            <w:tcBorders>
              <w:top w:val="single" w:color="000000" w:sz="12" w:space="0"/>
              <w:left w:val="nil"/>
              <w:bottom w:val="single" w:color="000000" w:sz="6" w:space="0"/>
              <w:right w:val="single" w:color="000000" w:sz="6" w:space="0"/>
            </w:tcBorders>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line="240" w:lineRule="exact"/>
              <w:jc w:val="center"/>
              <w:textAlignment w:val="auto"/>
              <w:rPr>
                <w:rFonts w:hint="eastAsia" w:ascii="黑体" w:hAnsi="黑体" w:eastAsia="黑体" w:cs="黑体"/>
                <w:bCs/>
                <w:sz w:val="21"/>
                <w:szCs w:val="21"/>
                <w:highlight w:val="none"/>
                <w:u w:val="none"/>
              </w:rPr>
            </w:pPr>
            <w:r>
              <w:rPr>
                <w:rFonts w:hint="eastAsia" w:ascii="黑体" w:hAnsi="黑体" w:eastAsia="黑体" w:cs="黑体"/>
                <w:bCs/>
                <w:color w:val="auto"/>
                <w:kern w:val="0"/>
                <w:sz w:val="21"/>
                <w:szCs w:val="21"/>
                <w:highlight w:val="none"/>
                <w:u w:val="none"/>
                <w:lang w:bidi="ar"/>
              </w:rPr>
              <w:t>指标</w:t>
            </w:r>
          </w:p>
        </w:tc>
        <w:tc>
          <w:tcPr>
            <w:tcW w:w="3363" w:type="dxa"/>
            <w:tcBorders>
              <w:top w:val="single" w:color="000000" w:sz="12" w:space="0"/>
              <w:left w:val="single" w:color="000000" w:sz="6" w:space="0"/>
              <w:bottom w:val="single" w:color="000000" w:sz="6"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ind w:left="57" w:right="57"/>
              <w:jc w:val="center"/>
              <w:textAlignment w:val="auto"/>
              <w:rPr>
                <w:rFonts w:hint="eastAsia" w:ascii="黑体" w:hAnsi="黑体" w:eastAsia="黑体" w:cs="黑体"/>
                <w:bCs/>
                <w:sz w:val="21"/>
                <w:szCs w:val="21"/>
                <w:highlight w:val="none"/>
                <w:u w:val="none"/>
              </w:rPr>
            </w:pPr>
            <w:r>
              <w:rPr>
                <w:rFonts w:hint="eastAsia" w:ascii="黑体" w:hAnsi="黑体" w:eastAsia="黑体" w:cs="黑体"/>
                <w:bCs/>
                <w:kern w:val="0"/>
                <w:sz w:val="21"/>
                <w:szCs w:val="21"/>
                <w:highlight w:val="none"/>
                <w:u w:val="none"/>
                <w:lang w:bidi="ar"/>
              </w:rPr>
              <w:t>专利数（万件）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416" w:hRule="atLeast"/>
          <w:jc w:val="center"/>
        </w:trPr>
        <w:tc>
          <w:tcPr>
            <w:tcW w:w="5397" w:type="dxa"/>
            <w:tcBorders>
              <w:top w:val="nil"/>
              <w:left w:val="nil"/>
              <w:bottom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ind w:left="57" w:right="57"/>
              <w:textAlignment w:val="auto"/>
              <w:rPr>
                <w:rFonts w:hint="eastAsia" w:ascii="宋体" w:hAnsi="宋体" w:eastAsia="宋体" w:cs="宋体"/>
                <w:bCs/>
                <w:sz w:val="21"/>
                <w:szCs w:val="21"/>
                <w:highlight w:val="none"/>
                <w:u w:val="none"/>
              </w:rPr>
            </w:pPr>
            <w:r>
              <w:rPr>
                <w:rFonts w:hint="eastAsia" w:ascii="宋体" w:hAnsi="宋体" w:eastAsia="宋体" w:cs="宋体"/>
                <w:bCs/>
                <w:kern w:val="0"/>
                <w:sz w:val="21"/>
                <w:szCs w:val="21"/>
                <w:highlight w:val="none"/>
                <w:u w:val="none"/>
                <w:lang w:bidi="ar"/>
              </w:rPr>
              <w:t>专利授权数</w:t>
            </w:r>
          </w:p>
        </w:tc>
        <w:tc>
          <w:tcPr>
            <w:tcW w:w="3363" w:type="dxa"/>
            <w:tcBorders>
              <w:top w:val="nil"/>
              <w:left w:val="single" w:color="auto" w:sz="4" w:space="0"/>
              <w:bottom w:val="nil"/>
              <w:right w:val="nil"/>
            </w:tcBorders>
            <w:vAlign w:val="center"/>
          </w:tcPr>
          <w:p>
            <w:pPr>
              <w:keepNext w:val="0"/>
              <w:keepLines w:val="0"/>
              <w:pageBreakBefore w:val="0"/>
              <w:kinsoku/>
              <w:wordWrap/>
              <w:overflowPunct/>
              <w:topLinePunct w:val="0"/>
              <w:autoSpaceDE/>
              <w:autoSpaceDN/>
              <w:bidi w:val="0"/>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87.22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401" w:hRule="atLeast"/>
          <w:jc w:val="center"/>
        </w:trPr>
        <w:tc>
          <w:tcPr>
            <w:tcW w:w="5397" w:type="dxa"/>
            <w:tcBorders>
              <w:top w:val="nil"/>
              <w:left w:val="nil"/>
              <w:bottom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ind w:left="420" w:right="57"/>
              <w:textAlignment w:val="auto"/>
              <w:rPr>
                <w:rFonts w:hint="eastAsia" w:ascii="宋体" w:hAnsi="宋体" w:eastAsia="宋体" w:cs="宋体"/>
                <w:bCs/>
                <w:sz w:val="21"/>
                <w:szCs w:val="21"/>
                <w:highlight w:val="none"/>
                <w:u w:val="none"/>
              </w:rPr>
            </w:pPr>
            <w:r>
              <w:rPr>
                <w:rFonts w:hint="eastAsia" w:ascii="宋体" w:hAnsi="宋体" w:eastAsia="宋体" w:cs="宋体"/>
                <w:bCs/>
                <w:kern w:val="0"/>
                <w:sz w:val="21"/>
                <w:szCs w:val="21"/>
                <w:highlight w:val="none"/>
                <w:u w:val="none"/>
                <w:lang w:bidi="ar"/>
              </w:rPr>
              <w:t>其中：发明专利授权</w:t>
            </w:r>
          </w:p>
        </w:tc>
        <w:tc>
          <w:tcPr>
            <w:tcW w:w="3363" w:type="dxa"/>
            <w:tcBorders>
              <w:top w:val="nil"/>
              <w:left w:val="single" w:color="auto" w:sz="4" w:space="0"/>
              <w:bottom w:val="nil"/>
              <w:right w:val="nil"/>
            </w:tcBorders>
            <w:vAlign w:val="center"/>
          </w:tcPr>
          <w:p>
            <w:pPr>
              <w:keepNext w:val="0"/>
              <w:keepLines w:val="0"/>
              <w:pageBreakBefore w:val="0"/>
              <w:kinsoku/>
              <w:wordWrap/>
              <w:overflowPunct/>
              <w:topLinePunct w:val="0"/>
              <w:autoSpaceDE/>
              <w:autoSpaceDN/>
              <w:bidi w:val="0"/>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10.29</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542" w:hRule="atLeast"/>
          <w:jc w:val="center"/>
        </w:trPr>
        <w:tc>
          <w:tcPr>
            <w:tcW w:w="5397" w:type="dxa"/>
            <w:tcBorders>
              <w:top w:val="nil"/>
              <w:left w:val="nil"/>
              <w:bottom w:val="single" w:color="auto" w:sz="12"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ind w:right="57"/>
              <w:textAlignment w:val="auto"/>
              <w:rPr>
                <w:rFonts w:hint="eastAsia" w:ascii="宋体" w:hAnsi="宋体" w:eastAsia="宋体" w:cs="宋体"/>
                <w:bCs/>
                <w:sz w:val="21"/>
                <w:szCs w:val="21"/>
                <w:highlight w:val="none"/>
                <w:u w:val="none"/>
              </w:rPr>
            </w:pPr>
            <w:r>
              <w:rPr>
                <w:rFonts w:hint="eastAsia" w:ascii="宋体" w:hAnsi="宋体" w:eastAsia="宋体" w:cs="宋体"/>
                <w:bCs/>
                <w:kern w:val="0"/>
                <w:sz w:val="21"/>
                <w:szCs w:val="21"/>
                <w:highlight w:val="none"/>
                <w:u w:val="none"/>
                <w:lang w:bidi="ar"/>
              </w:rPr>
              <w:t>年末有效发明专利</w:t>
            </w:r>
          </w:p>
        </w:tc>
        <w:tc>
          <w:tcPr>
            <w:tcW w:w="3363" w:type="dxa"/>
            <w:tcBorders>
              <w:top w:val="nil"/>
              <w:left w:val="single" w:color="auto" w:sz="4" w:space="0"/>
              <w:bottom w:val="single" w:color="auto" w:sz="12" w:space="0"/>
              <w:right w:val="nil"/>
            </w:tcBorders>
            <w:vAlign w:val="center"/>
          </w:tcPr>
          <w:p>
            <w:pPr>
              <w:keepNext w:val="0"/>
              <w:keepLines w:val="0"/>
              <w:pageBreakBefore w:val="0"/>
              <w:kinsoku/>
              <w:wordWrap/>
              <w:overflowPunct/>
              <w:topLinePunct w:val="0"/>
              <w:autoSpaceDE/>
              <w:autoSpaceDN/>
              <w:bidi w:val="0"/>
              <w:spacing w:line="240" w:lineRule="exact"/>
              <w:jc w:val="right"/>
              <w:textAlignment w:val="auto"/>
              <w:rPr>
                <w:rFonts w:hint="eastAsia" w:ascii="宋体" w:hAnsi="宋体" w:eastAsia="宋体" w:cs="宋体"/>
                <w:bCs/>
                <w:sz w:val="21"/>
                <w:szCs w:val="21"/>
                <w:highlight w:val="none"/>
                <w:u w:val="none"/>
                <w:lang w:val="en-US" w:eastAsia="zh-CN"/>
              </w:rPr>
            </w:pPr>
            <w:r>
              <w:rPr>
                <w:rFonts w:hint="eastAsia" w:ascii="宋体" w:hAnsi="宋体" w:eastAsia="宋体" w:cs="宋体"/>
                <w:bCs/>
                <w:sz w:val="21"/>
                <w:szCs w:val="21"/>
                <w:highlight w:val="none"/>
                <w:u w:val="none"/>
                <w:lang w:val="en-US" w:eastAsia="zh-CN"/>
              </w:rPr>
              <w:t>43.96</w:t>
            </w:r>
          </w:p>
        </w:tc>
      </w:tr>
    </w:tbl>
    <w:p>
      <w:pPr>
        <w:keepNext w:val="0"/>
        <w:keepLines w:val="0"/>
        <w:pageBreakBefore w:val="0"/>
        <w:widowControl w:val="0"/>
        <w:kinsoku/>
        <w:wordWrap/>
        <w:overflowPunct/>
        <w:topLinePunct w:val="0"/>
        <w:autoSpaceDE/>
        <w:autoSpaceDN/>
        <w:bidi w:val="0"/>
        <w:adjustRightInd w:val="0"/>
        <w:snapToGrid/>
        <w:spacing w:line="240" w:lineRule="exact"/>
        <w:ind w:firstLine="670" w:firstLineChars="200"/>
        <w:textAlignment w:val="auto"/>
        <w:rPr>
          <w:rFonts w:hint="eastAsia" w:ascii="仿宋_GB2312"/>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全省高新技术企业</w:t>
      </w:r>
      <w:r>
        <w:rPr>
          <w:rFonts w:hint="eastAsia" w:ascii="仿宋_GB2312"/>
          <w:snapToGrid w:val="0"/>
          <w:kern w:val="0"/>
          <w:sz w:val="32"/>
          <w:szCs w:val="32"/>
          <w:highlight w:val="none"/>
          <w:u w:val="none"/>
          <w:lang w:val="en-US" w:eastAsia="zh-CN"/>
        </w:rPr>
        <w:t>预计6万</w:t>
      </w:r>
      <w:r>
        <w:rPr>
          <w:rFonts w:hint="eastAsia" w:ascii="仿宋_GB2312"/>
          <w:snapToGrid w:val="0"/>
          <w:kern w:val="0"/>
          <w:sz w:val="32"/>
          <w:szCs w:val="32"/>
          <w:highlight w:val="none"/>
          <w:u w:val="none"/>
        </w:rPr>
        <w:t>家</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高新技术产品产值</w:t>
      </w:r>
      <w:r>
        <w:rPr>
          <w:rFonts w:hint="eastAsia" w:ascii="仿宋_GB2312"/>
          <w:snapToGrid w:val="0"/>
          <w:kern w:val="0"/>
          <w:sz w:val="32"/>
          <w:szCs w:val="32"/>
          <w:highlight w:val="none"/>
          <w:u w:val="none"/>
          <w:lang w:val="en-US" w:eastAsia="zh-CN"/>
        </w:rPr>
        <w:t>8.7</w:t>
      </w:r>
      <w:r>
        <w:rPr>
          <w:rFonts w:hint="eastAsia" w:ascii="仿宋_GB2312"/>
          <w:snapToGrid w:val="0"/>
          <w:kern w:val="0"/>
          <w:sz w:val="32"/>
          <w:szCs w:val="32"/>
          <w:highlight w:val="none"/>
          <w:u w:val="none"/>
        </w:rPr>
        <w:t>万亿元</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比上年增长</w:t>
      </w:r>
      <w:r>
        <w:rPr>
          <w:rFonts w:hint="eastAsia" w:ascii="仿宋_GB2312"/>
          <w:snapToGrid w:val="0"/>
          <w:kern w:val="0"/>
          <w:sz w:val="32"/>
          <w:szCs w:val="32"/>
          <w:highlight w:val="none"/>
          <w:u w:val="none"/>
          <w:lang w:val="en-US" w:eastAsia="zh-CN"/>
        </w:rPr>
        <w:t>10.5</w:t>
      </w:r>
      <w:r>
        <w:rPr>
          <w:rFonts w:hint="eastAsia" w:ascii="仿宋_GB2312"/>
          <w:snapToGrid w:val="0"/>
          <w:kern w:val="0"/>
          <w:sz w:val="32"/>
          <w:szCs w:val="32"/>
          <w:highlight w:val="none"/>
          <w:u w:val="none"/>
        </w:rPr>
        <w:t>%。拥有国家</w:t>
      </w:r>
      <w:r>
        <w:rPr>
          <w:rFonts w:hint="eastAsia" w:ascii="仿宋_GB2312"/>
          <w:snapToGrid w:val="0"/>
          <w:kern w:val="0"/>
          <w:sz w:val="32"/>
          <w:szCs w:val="32"/>
          <w:highlight w:val="none"/>
          <w:u w:val="none"/>
          <w:lang w:val="en-US" w:eastAsia="zh-CN"/>
        </w:rPr>
        <w:t>重点实验室30家，</w:t>
      </w:r>
      <w:r>
        <w:rPr>
          <w:rFonts w:hint="eastAsia" w:ascii="仿宋_GB2312"/>
          <w:snapToGrid w:val="0"/>
          <w:kern w:val="0"/>
          <w:sz w:val="32"/>
          <w:szCs w:val="32"/>
          <w:highlight w:val="none"/>
          <w:u w:val="none"/>
        </w:rPr>
        <w:t>国家工程技术研究中心</w:t>
      </w:r>
      <w:r>
        <w:rPr>
          <w:rFonts w:hint="eastAsia" w:ascii="仿宋_GB2312"/>
          <w:snapToGrid w:val="0"/>
          <w:kern w:val="0"/>
          <w:sz w:val="32"/>
          <w:szCs w:val="32"/>
          <w:highlight w:val="none"/>
          <w:u w:val="none"/>
          <w:lang w:val="en-US" w:eastAsia="zh-CN"/>
        </w:rPr>
        <w:t>23</w:t>
      </w:r>
      <w:r>
        <w:rPr>
          <w:rFonts w:hint="eastAsia" w:ascii="仿宋_GB2312"/>
          <w:snapToGrid w:val="0"/>
          <w:kern w:val="0"/>
          <w:sz w:val="32"/>
          <w:szCs w:val="32"/>
          <w:highlight w:val="none"/>
          <w:u w:val="none"/>
        </w:rPr>
        <w:t>家</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lang w:val="en-US" w:eastAsia="zh-CN"/>
        </w:rPr>
        <w:t>省级工程技术研究中心6714家。</w:t>
      </w:r>
      <w:r>
        <w:rPr>
          <w:rFonts w:hint="eastAsia" w:ascii="仿宋_GB2312"/>
          <w:snapToGrid w:val="0"/>
          <w:kern w:val="0"/>
          <w:sz w:val="32"/>
          <w:szCs w:val="32"/>
          <w:highlight w:val="none"/>
          <w:u w:val="none"/>
        </w:rPr>
        <w:t>国家认定企业技术中心</w:t>
      </w:r>
      <w:r>
        <w:rPr>
          <w:rFonts w:hint="eastAsia" w:ascii="仿宋_GB2312"/>
          <w:snapToGrid w:val="0"/>
          <w:kern w:val="0"/>
          <w:sz w:val="32"/>
          <w:szCs w:val="32"/>
          <w:highlight w:val="none"/>
          <w:u w:val="none"/>
          <w:lang w:val="en-US" w:eastAsia="zh-CN"/>
        </w:rPr>
        <w:t>82</w:t>
      </w:r>
      <w:r>
        <w:rPr>
          <w:rFonts w:hint="eastAsia" w:ascii="仿宋_GB2312"/>
          <w:snapToGrid w:val="0"/>
          <w:kern w:val="0"/>
          <w:sz w:val="32"/>
          <w:szCs w:val="32"/>
          <w:highlight w:val="none"/>
          <w:u w:val="none"/>
        </w:rPr>
        <w:t>家</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省级企业技术中心</w:t>
      </w:r>
      <w:r>
        <w:rPr>
          <w:rFonts w:hint="eastAsia" w:ascii="仿宋_GB2312"/>
          <w:snapToGrid w:val="0"/>
          <w:kern w:val="0"/>
          <w:sz w:val="32"/>
          <w:szCs w:val="32"/>
          <w:highlight w:val="none"/>
          <w:u w:val="none"/>
          <w:lang w:val="en-US" w:eastAsia="zh-CN"/>
        </w:rPr>
        <w:t>1434</w:t>
      </w:r>
      <w:r>
        <w:rPr>
          <w:rFonts w:hint="eastAsia" w:ascii="仿宋_GB2312"/>
          <w:snapToGrid w:val="0"/>
          <w:kern w:val="0"/>
          <w:sz w:val="32"/>
          <w:szCs w:val="32"/>
          <w:highlight w:val="none"/>
          <w:u w:val="none"/>
        </w:rPr>
        <w:t>家。</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全省有建成或在建的国家产品质量监督检验中心83个、省级授权产品质量监督检验机构228个。全省有在建的国家产业计量测试中心7个，建成或在建的省级产业计量测试中心21个；法定计量检定机构90个，省市场监督管理局专项授权计量技术机构18个，特种设备综合检验机构4个；标准化技术机构13个，在建和建成国家技术标准创新基地6个、国家标准验证检验检测点2个。</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lang w:val="en-US" w:eastAsia="zh-CN"/>
        </w:rPr>
      </w:pPr>
      <w:r>
        <w:rPr>
          <w:rFonts w:hint="eastAsia" w:ascii="仿宋_GB2312"/>
          <w:snapToGrid w:val="0"/>
          <w:kern w:val="0"/>
          <w:sz w:val="32"/>
          <w:szCs w:val="32"/>
          <w:highlight w:val="none"/>
          <w:u w:val="none"/>
          <w:lang w:val="en-US" w:eastAsia="zh-CN"/>
        </w:rPr>
        <w:t>截至2021年底，获得资质认定计量认证的检验检测机构4645家，获得质量、环境、职业健康三大管理体系认证企业分别为106578家、44732家和31646家，获得3C产品认证的企业17726家。</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全省有天气雷达</w:t>
      </w:r>
      <w:r>
        <w:rPr>
          <w:rFonts w:hint="eastAsia" w:ascii="仿宋_GB2312"/>
          <w:snapToGrid w:val="0"/>
          <w:kern w:val="0"/>
          <w:sz w:val="32"/>
          <w:szCs w:val="32"/>
          <w:highlight w:val="none"/>
          <w:u w:val="none"/>
          <w:lang w:val="en-US" w:eastAsia="zh-CN"/>
        </w:rPr>
        <w:t>12</w:t>
      </w:r>
      <w:r>
        <w:rPr>
          <w:rFonts w:hint="eastAsia" w:ascii="仿宋_GB2312"/>
          <w:snapToGrid w:val="0"/>
          <w:kern w:val="0"/>
          <w:sz w:val="32"/>
          <w:szCs w:val="32"/>
          <w:highlight w:val="none"/>
          <w:u w:val="none"/>
        </w:rPr>
        <w:t>部</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卫星云图接收站点</w:t>
      </w:r>
      <w:r>
        <w:rPr>
          <w:rFonts w:hint="eastAsia" w:ascii="仿宋_GB2312"/>
          <w:snapToGrid w:val="0"/>
          <w:kern w:val="0"/>
          <w:sz w:val="32"/>
          <w:szCs w:val="32"/>
          <w:highlight w:val="none"/>
          <w:u w:val="none"/>
          <w:lang w:val="en-US" w:eastAsia="zh-CN"/>
        </w:rPr>
        <w:t>2</w:t>
      </w:r>
      <w:r>
        <w:rPr>
          <w:rFonts w:hint="eastAsia" w:ascii="仿宋_GB2312"/>
          <w:snapToGrid w:val="0"/>
          <w:kern w:val="0"/>
          <w:sz w:val="32"/>
          <w:szCs w:val="32"/>
          <w:highlight w:val="none"/>
          <w:u w:val="none"/>
        </w:rPr>
        <w:t>个。有地震</w:t>
      </w:r>
      <w:r>
        <w:rPr>
          <w:rFonts w:hint="eastAsia" w:ascii="仿宋_GB2312"/>
          <w:snapToGrid w:val="0"/>
          <w:kern w:val="0"/>
          <w:sz w:val="32"/>
          <w:szCs w:val="32"/>
          <w:highlight w:val="none"/>
          <w:u w:val="none"/>
          <w:lang w:eastAsia="zh-CN"/>
        </w:rPr>
        <w:t>监测</w:t>
      </w:r>
      <w:r>
        <w:rPr>
          <w:rFonts w:hint="eastAsia" w:ascii="仿宋_GB2312"/>
          <w:snapToGrid w:val="0"/>
          <w:kern w:val="0"/>
          <w:sz w:val="32"/>
          <w:szCs w:val="32"/>
          <w:highlight w:val="none"/>
          <w:u w:val="none"/>
        </w:rPr>
        <w:t>台站</w:t>
      </w:r>
      <w:r>
        <w:rPr>
          <w:rFonts w:hint="eastAsia" w:ascii="仿宋_GB2312"/>
          <w:snapToGrid w:val="0"/>
          <w:kern w:val="0"/>
          <w:sz w:val="32"/>
          <w:szCs w:val="32"/>
          <w:highlight w:val="none"/>
          <w:u w:val="none"/>
          <w:lang w:val="en-US" w:eastAsia="zh-CN"/>
        </w:rPr>
        <w:t>1488</w:t>
      </w:r>
      <w:r>
        <w:rPr>
          <w:rFonts w:hint="eastAsia" w:ascii="仿宋_GB2312"/>
          <w:snapToGrid w:val="0"/>
          <w:kern w:val="0"/>
          <w:sz w:val="32"/>
          <w:szCs w:val="32"/>
          <w:highlight w:val="none"/>
          <w:u w:val="none"/>
        </w:rPr>
        <w:t>个</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地震台网</w:t>
      </w:r>
      <w:r>
        <w:rPr>
          <w:rFonts w:hint="eastAsia" w:ascii="仿宋_GB2312"/>
          <w:snapToGrid w:val="0"/>
          <w:kern w:val="0"/>
          <w:sz w:val="32"/>
          <w:szCs w:val="32"/>
          <w:highlight w:val="none"/>
          <w:u w:val="none"/>
          <w:lang w:val="en-US" w:eastAsia="zh-CN"/>
        </w:rPr>
        <w:t>10</w:t>
      </w:r>
      <w:r>
        <w:rPr>
          <w:rFonts w:hint="eastAsia" w:ascii="仿宋_GB2312"/>
          <w:snapToGrid w:val="0"/>
          <w:kern w:val="0"/>
          <w:sz w:val="32"/>
          <w:szCs w:val="32"/>
          <w:highlight w:val="none"/>
          <w:u w:val="none"/>
        </w:rPr>
        <w:t>个。全省近岸海域各类海洋观测、监测站点</w:t>
      </w:r>
      <w:r>
        <w:rPr>
          <w:rFonts w:hint="eastAsia" w:ascii="仿宋_GB2312"/>
          <w:snapToGrid w:val="0"/>
          <w:kern w:val="0"/>
          <w:sz w:val="32"/>
          <w:szCs w:val="32"/>
          <w:highlight w:val="none"/>
          <w:u w:val="none"/>
          <w:lang w:val="en-US" w:eastAsia="zh-CN"/>
        </w:rPr>
        <w:t>544</w:t>
      </w:r>
      <w:r>
        <w:rPr>
          <w:rFonts w:hint="eastAsia" w:ascii="仿宋_GB2312"/>
          <w:snapToGrid w:val="0"/>
          <w:kern w:val="0"/>
          <w:sz w:val="32"/>
          <w:szCs w:val="32"/>
          <w:highlight w:val="none"/>
          <w:u w:val="none"/>
        </w:rPr>
        <w:t>个（含</w:t>
      </w:r>
      <w:r>
        <w:rPr>
          <w:rFonts w:hint="eastAsia" w:ascii="仿宋_GB2312"/>
          <w:snapToGrid w:val="0"/>
          <w:kern w:val="0"/>
          <w:sz w:val="32"/>
          <w:szCs w:val="32"/>
          <w:highlight w:val="none"/>
          <w:u w:val="none"/>
          <w:lang w:val="en-US" w:eastAsia="zh-CN"/>
        </w:rPr>
        <w:t>沿海</w:t>
      </w:r>
      <w:r>
        <w:rPr>
          <w:rFonts w:hint="eastAsia" w:ascii="仿宋_GB2312"/>
          <w:snapToGrid w:val="0"/>
          <w:kern w:val="0"/>
          <w:sz w:val="32"/>
          <w:szCs w:val="32"/>
          <w:highlight w:val="none"/>
          <w:u w:val="none"/>
        </w:rPr>
        <w:t>各县局）。测绘部门共出版地图</w:t>
      </w:r>
      <w:r>
        <w:rPr>
          <w:rFonts w:hint="eastAsia" w:ascii="仿宋_GB2312"/>
          <w:snapToGrid w:val="0"/>
          <w:kern w:val="0"/>
          <w:sz w:val="32"/>
          <w:szCs w:val="32"/>
          <w:highlight w:val="none"/>
          <w:u w:val="none"/>
          <w:lang w:val="en-US" w:eastAsia="zh-CN"/>
        </w:rPr>
        <w:t>96</w:t>
      </w:r>
      <w:r>
        <w:rPr>
          <w:rFonts w:hint="eastAsia" w:ascii="仿宋_GB2312"/>
          <w:snapToGrid w:val="0"/>
          <w:kern w:val="0"/>
          <w:sz w:val="32"/>
          <w:szCs w:val="32"/>
          <w:highlight w:val="none"/>
          <w:u w:val="none"/>
        </w:rPr>
        <w:t>种。</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kern w:val="0"/>
          <w:sz w:val="32"/>
          <w:szCs w:val="32"/>
          <w:highlight w:val="none"/>
          <w:u w:val="none"/>
          <w:lang w:val="en-US" w:eastAsia="zh-CN"/>
        </w:rPr>
      </w:pPr>
      <w:r>
        <w:rPr>
          <w:rFonts w:hint="eastAsia" w:ascii="黑体" w:hAnsi="黑体" w:eastAsia="黑体" w:cs="黑体"/>
          <w:snapToGrid w:val="0"/>
          <w:kern w:val="0"/>
          <w:sz w:val="32"/>
          <w:szCs w:val="32"/>
          <w:highlight w:val="none"/>
          <w:u w:val="none"/>
          <w:lang w:val="en-US" w:eastAsia="zh-CN"/>
        </w:rPr>
        <w:t>十一、文化、卫生和体育</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color w:val="auto"/>
          <w:kern w:val="0"/>
          <w:sz w:val="32"/>
          <w:szCs w:val="32"/>
          <w:highlight w:val="none"/>
          <w:u w:val="none"/>
        </w:rPr>
      </w:pPr>
      <w:r>
        <w:rPr>
          <w:rFonts w:hint="eastAsia" w:ascii="仿宋_GB2312"/>
          <w:snapToGrid w:val="0"/>
          <w:kern w:val="0"/>
          <w:sz w:val="32"/>
          <w:szCs w:val="32"/>
          <w:highlight w:val="none"/>
          <w:u w:val="none"/>
        </w:rPr>
        <w:t>年末全省有各类专业艺术表演团体（公有制）</w:t>
      </w:r>
      <w:r>
        <w:rPr>
          <w:rFonts w:hint="eastAsia" w:ascii="仿宋_GB2312"/>
          <w:snapToGrid w:val="0"/>
          <w:kern w:val="0"/>
          <w:sz w:val="32"/>
          <w:szCs w:val="32"/>
          <w:highlight w:val="none"/>
          <w:u w:val="none"/>
          <w:lang w:val="en-US" w:eastAsia="zh-CN"/>
        </w:rPr>
        <w:t>76</w:t>
      </w:r>
      <w:r>
        <w:rPr>
          <w:rFonts w:hint="eastAsia" w:ascii="仿宋_GB2312"/>
          <w:snapToGrid w:val="0"/>
          <w:kern w:val="0"/>
          <w:sz w:val="32"/>
          <w:szCs w:val="32"/>
          <w:highlight w:val="none"/>
          <w:u w:val="none"/>
        </w:rPr>
        <w:t>个，群众艺术馆、文化馆</w:t>
      </w:r>
      <w:r>
        <w:rPr>
          <w:rFonts w:hint="eastAsia" w:ascii="仿宋_GB2312"/>
          <w:snapToGrid w:val="0"/>
          <w:kern w:val="0"/>
          <w:sz w:val="32"/>
          <w:szCs w:val="32"/>
          <w:highlight w:val="none"/>
          <w:u w:val="none"/>
          <w:lang w:val="en-US" w:eastAsia="zh-CN"/>
        </w:rPr>
        <w:t>144</w:t>
      </w:r>
      <w:r>
        <w:rPr>
          <w:rFonts w:hint="eastAsia" w:ascii="仿宋_GB2312"/>
          <w:snapToGrid w:val="0"/>
          <w:kern w:val="0"/>
          <w:sz w:val="32"/>
          <w:szCs w:val="32"/>
          <w:highlight w:val="none"/>
          <w:u w:val="none"/>
        </w:rPr>
        <w:t>个，县级以上公共图书馆</w:t>
      </w:r>
      <w:r>
        <w:rPr>
          <w:rFonts w:hint="eastAsia" w:ascii="仿宋_GB2312"/>
          <w:snapToGrid w:val="0"/>
          <w:kern w:val="0"/>
          <w:sz w:val="32"/>
          <w:szCs w:val="32"/>
          <w:highlight w:val="none"/>
          <w:u w:val="none"/>
          <w:lang w:val="en-US" w:eastAsia="zh-CN"/>
        </w:rPr>
        <w:t>150</w:t>
      </w:r>
      <w:r>
        <w:rPr>
          <w:rFonts w:hint="eastAsia" w:ascii="仿宋_GB2312"/>
          <w:snapToGrid w:val="0"/>
          <w:kern w:val="0"/>
          <w:sz w:val="32"/>
          <w:szCs w:val="32"/>
          <w:highlight w:val="none"/>
          <w:u w:val="none"/>
        </w:rPr>
        <w:t>个，博物馆</w:t>
      </w:r>
      <w:r>
        <w:rPr>
          <w:rFonts w:hint="eastAsia" w:ascii="仿宋_GB2312"/>
          <w:snapToGrid w:val="0"/>
          <w:kern w:val="0"/>
          <w:sz w:val="32"/>
          <w:szCs w:val="32"/>
          <w:highlight w:val="none"/>
          <w:u w:val="none"/>
          <w:lang w:val="en-US" w:eastAsia="zh-CN"/>
        </w:rPr>
        <w:t>339</w:t>
      </w:r>
      <w:r>
        <w:rPr>
          <w:rFonts w:hint="eastAsia" w:ascii="仿宋_GB2312"/>
          <w:snapToGrid w:val="0"/>
          <w:kern w:val="0"/>
          <w:sz w:val="32"/>
          <w:szCs w:val="32"/>
          <w:highlight w:val="none"/>
          <w:u w:val="none"/>
        </w:rPr>
        <w:t>个。全省有广播电台</w:t>
      </w:r>
      <w:r>
        <w:rPr>
          <w:rFonts w:hint="eastAsia" w:ascii="仿宋_GB2312"/>
          <w:snapToGrid w:val="0"/>
          <w:kern w:val="0"/>
          <w:sz w:val="32"/>
          <w:szCs w:val="32"/>
          <w:highlight w:val="none"/>
          <w:u w:val="none"/>
          <w:lang w:val="en-US" w:eastAsia="zh-CN"/>
        </w:rPr>
        <w:t>2</w:t>
      </w:r>
      <w:r>
        <w:rPr>
          <w:rFonts w:hint="eastAsia" w:ascii="仿宋_GB2312"/>
          <w:snapToGrid w:val="0"/>
          <w:kern w:val="0"/>
          <w:sz w:val="32"/>
          <w:szCs w:val="32"/>
          <w:highlight w:val="none"/>
          <w:u w:val="none"/>
        </w:rPr>
        <w:t>座，电视台</w:t>
      </w:r>
      <w:r>
        <w:rPr>
          <w:rFonts w:hint="eastAsia" w:ascii="仿宋_GB2312"/>
          <w:snapToGrid w:val="0"/>
          <w:kern w:val="0"/>
          <w:sz w:val="32"/>
          <w:szCs w:val="32"/>
          <w:highlight w:val="none"/>
          <w:u w:val="none"/>
          <w:lang w:val="en-US" w:eastAsia="zh-CN"/>
        </w:rPr>
        <w:t>3</w:t>
      </w:r>
      <w:r>
        <w:rPr>
          <w:rFonts w:hint="eastAsia" w:ascii="仿宋_GB2312"/>
          <w:snapToGrid w:val="0"/>
          <w:kern w:val="0"/>
          <w:sz w:val="32"/>
          <w:szCs w:val="32"/>
          <w:highlight w:val="none"/>
          <w:u w:val="none"/>
        </w:rPr>
        <w:t>座，广播电视台95座。广播综合人口覆盖率和电视综合人口覆盖率均为</w:t>
      </w:r>
      <w:r>
        <w:rPr>
          <w:rFonts w:hint="eastAsia" w:ascii="仿宋_GB2312"/>
          <w:snapToGrid w:val="0"/>
          <w:kern w:val="0"/>
          <w:sz w:val="32"/>
          <w:szCs w:val="32"/>
          <w:highlight w:val="none"/>
          <w:u w:val="none"/>
          <w:lang w:val="en-US" w:eastAsia="zh-CN"/>
        </w:rPr>
        <w:t>99.98</w:t>
      </w:r>
      <w:r>
        <w:rPr>
          <w:rFonts w:hint="eastAsia" w:ascii="仿宋_GB2312"/>
          <w:snapToGrid w:val="0"/>
          <w:kern w:val="0"/>
          <w:sz w:val="32"/>
          <w:szCs w:val="32"/>
          <w:highlight w:val="none"/>
          <w:u w:val="none"/>
        </w:rPr>
        <w:t>%。</w:t>
      </w:r>
      <w:r>
        <w:rPr>
          <w:rFonts w:hint="eastAsia" w:ascii="仿宋_GB2312"/>
          <w:snapToGrid w:val="0"/>
          <w:kern w:val="0"/>
          <w:sz w:val="32"/>
          <w:szCs w:val="32"/>
          <w:highlight w:val="none"/>
          <w:u w:val="none"/>
          <w:lang w:eastAsia="zh-CN"/>
        </w:rPr>
        <w:t>年末</w:t>
      </w:r>
      <w:r>
        <w:rPr>
          <w:rFonts w:hint="eastAsia" w:ascii="仿宋_GB2312"/>
          <w:snapToGrid w:val="0"/>
          <w:kern w:val="0"/>
          <w:sz w:val="32"/>
          <w:szCs w:val="32"/>
          <w:highlight w:val="none"/>
          <w:u w:val="none"/>
          <w:lang w:val="en-US" w:eastAsia="zh-CN"/>
        </w:rPr>
        <w:t>有线广播电视用户数1209.33万户，比上年末减少0.1%；IPTV用户数2034.51万户，增长5.9%；OTT用户数2.36亿户</w:t>
      </w:r>
      <w:r>
        <w:rPr>
          <w:sz w:val="32"/>
          <w:szCs w:val="32"/>
          <w:highlight w:val="none"/>
          <w:u w:val="none"/>
        </w:rPr>
        <w:t>；</w:t>
      </w:r>
      <w:r>
        <w:rPr>
          <w:rFonts w:hint="eastAsia" w:ascii="仿宋_GB2312" w:hAnsi="仿宋_GB2312" w:eastAsia="仿宋_GB2312" w:cs="仿宋_GB2312"/>
          <w:sz w:val="32"/>
          <w:szCs w:val="32"/>
          <w:highlight w:val="none"/>
          <w:u w:val="none"/>
        </w:rPr>
        <w:t>4K用户数2527.28万户，增长7.6%</w:t>
      </w:r>
      <w:r>
        <w:rPr>
          <w:rFonts w:hint="eastAsia" w:ascii="仿宋_GB2312"/>
          <w:snapToGrid w:val="0"/>
          <w:kern w:val="0"/>
          <w:sz w:val="32"/>
          <w:szCs w:val="32"/>
          <w:highlight w:val="none"/>
          <w:u w:val="none"/>
          <w:lang w:val="en-US" w:eastAsia="zh-CN"/>
        </w:rPr>
        <w:t>。全年生产电视剧18部。</w:t>
      </w:r>
      <w:r>
        <w:rPr>
          <w:rFonts w:hint="eastAsia" w:ascii="仿宋_GB2312"/>
          <w:snapToGrid w:val="0"/>
          <w:kern w:val="0"/>
          <w:sz w:val="32"/>
          <w:szCs w:val="32"/>
          <w:highlight w:val="none"/>
          <w:u w:val="none"/>
        </w:rPr>
        <w:t>全年出版报纸</w:t>
      </w:r>
      <w:r>
        <w:rPr>
          <w:rFonts w:hint="eastAsia" w:ascii="仿宋_GB2312"/>
          <w:snapToGrid w:val="0"/>
          <w:kern w:val="0"/>
          <w:sz w:val="32"/>
          <w:szCs w:val="32"/>
          <w:highlight w:val="none"/>
          <w:u w:val="none"/>
          <w:lang w:val="en-US" w:eastAsia="zh-CN"/>
        </w:rPr>
        <w:t>14.43</w:t>
      </w:r>
      <w:r>
        <w:rPr>
          <w:rFonts w:hint="eastAsia" w:ascii="仿宋_GB2312"/>
          <w:snapToGrid w:val="0"/>
          <w:kern w:val="0"/>
          <w:sz w:val="32"/>
          <w:szCs w:val="32"/>
          <w:highlight w:val="none"/>
          <w:u w:val="none"/>
        </w:rPr>
        <w:t>亿份，各类</w:t>
      </w:r>
      <w:r>
        <w:rPr>
          <w:rFonts w:hint="eastAsia" w:ascii="仿宋_GB2312"/>
          <w:snapToGrid w:val="0"/>
          <w:kern w:val="0"/>
          <w:sz w:val="32"/>
          <w:szCs w:val="32"/>
          <w:highlight w:val="none"/>
          <w:u w:val="none"/>
          <w:lang w:val="en-US" w:eastAsia="zh-CN"/>
        </w:rPr>
        <w:t>期刊0.96</w:t>
      </w:r>
      <w:r>
        <w:rPr>
          <w:rFonts w:hint="eastAsia" w:ascii="仿宋_GB2312"/>
          <w:snapToGrid w:val="0"/>
          <w:kern w:val="0"/>
          <w:sz w:val="32"/>
          <w:szCs w:val="32"/>
          <w:highlight w:val="none"/>
          <w:u w:val="none"/>
        </w:rPr>
        <w:t>亿册，图书（总印数）</w:t>
      </w:r>
      <w:r>
        <w:rPr>
          <w:rFonts w:hint="eastAsia" w:ascii="仿宋_GB2312"/>
          <w:snapToGrid w:val="0"/>
          <w:kern w:val="0"/>
          <w:sz w:val="32"/>
          <w:szCs w:val="32"/>
          <w:highlight w:val="none"/>
          <w:u w:val="none"/>
          <w:lang w:val="en-US" w:eastAsia="zh-CN"/>
        </w:rPr>
        <w:t>4.75</w:t>
      </w:r>
      <w:r>
        <w:rPr>
          <w:rFonts w:hint="eastAsia" w:ascii="仿宋_GB2312"/>
          <w:snapToGrid w:val="0"/>
          <w:kern w:val="0"/>
          <w:sz w:val="32"/>
          <w:szCs w:val="32"/>
          <w:highlight w:val="none"/>
          <w:u w:val="none"/>
        </w:rPr>
        <w:t>亿册。全省共有综合</w:t>
      </w:r>
      <w:r>
        <w:rPr>
          <w:rFonts w:hint="eastAsia" w:ascii="仿宋_GB2312"/>
          <w:snapToGrid w:val="0"/>
          <w:color w:val="auto"/>
          <w:kern w:val="0"/>
          <w:sz w:val="32"/>
          <w:szCs w:val="32"/>
          <w:highlight w:val="none"/>
          <w:u w:val="none"/>
        </w:rPr>
        <w:t>档案馆</w:t>
      </w:r>
      <w:r>
        <w:rPr>
          <w:rFonts w:hint="eastAsia" w:ascii="仿宋_GB2312"/>
          <w:snapToGrid w:val="0"/>
          <w:kern w:val="0"/>
          <w:sz w:val="32"/>
          <w:szCs w:val="32"/>
          <w:highlight w:val="none"/>
          <w:u w:val="none"/>
          <w:lang w:val="en-US" w:eastAsia="zh-CN"/>
        </w:rPr>
        <w:t>144</w:t>
      </w:r>
      <w:r>
        <w:rPr>
          <w:rFonts w:hint="eastAsia" w:ascii="仿宋_GB2312"/>
          <w:snapToGrid w:val="0"/>
          <w:color w:val="auto"/>
          <w:kern w:val="0"/>
          <w:sz w:val="32"/>
          <w:szCs w:val="32"/>
          <w:highlight w:val="none"/>
          <w:u w:val="none"/>
        </w:rPr>
        <w:t>个。20</w:t>
      </w:r>
      <w:r>
        <w:rPr>
          <w:rFonts w:hint="eastAsia" w:ascii="仿宋_GB2312"/>
          <w:snapToGrid w:val="0"/>
          <w:color w:val="auto"/>
          <w:kern w:val="0"/>
          <w:sz w:val="32"/>
          <w:szCs w:val="32"/>
          <w:highlight w:val="none"/>
          <w:u w:val="none"/>
          <w:lang w:val="en-US" w:eastAsia="zh-CN"/>
        </w:rPr>
        <w:t>20</w:t>
      </w:r>
      <w:r>
        <w:rPr>
          <w:rFonts w:hint="eastAsia" w:ascii="仿宋_GB2312"/>
          <w:snapToGrid w:val="0"/>
          <w:color w:val="auto"/>
          <w:kern w:val="0"/>
          <w:sz w:val="32"/>
          <w:szCs w:val="32"/>
          <w:highlight w:val="none"/>
          <w:u w:val="none"/>
        </w:rPr>
        <w:t>年，文化及相关产业增加值</w:t>
      </w:r>
      <w:r>
        <w:rPr>
          <w:rFonts w:hint="eastAsia" w:ascii="仿宋_GB2312"/>
          <w:snapToGrid w:val="0"/>
          <w:kern w:val="0"/>
          <w:sz w:val="32"/>
          <w:szCs w:val="32"/>
          <w:highlight w:val="none"/>
          <w:u w:val="none"/>
          <w:lang w:val="en-US" w:eastAsia="zh-CN"/>
        </w:rPr>
        <w:t>6210.60</w:t>
      </w:r>
      <w:r>
        <w:rPr>
          <w:rFonts w:hint="eastAsia" w:ascii="仿宋_GB2312"/>
          <w:snapToGrid w:val="0"/>
          <w:color w:val="auto"/>
          <w:kern w:val="0"/>
          <w:sz w:val="32"/>
          <w:szCs w:val="32"/>
          <w:highlight w:val="none"/>
          <w:u w:val="none"/>
        </w:rPr>
        <w:t>亿元，占</w:t>
      </w:r>
      <w:r>
        <w:rPr>
          <w:rFonts w:hint="eastAsia" w:ascii="仿宋_GB2312"/>
          <w:snapToGrid w:val="0"/>
          <w:color w:val="auto"/>
          <w:kern w:val="0"/>
          <w:sz w:val="32"/>
          <w:szCs w:val="32"/>
          <w:highlight w:val="none"/>
          <w:u w:val="none"/>
          <w:lang w:val="en-US" w:eastAsia="zh-CN"/>
        </w:rPr>
        <w:t>地区</w:t>
      </w:r>
      <w:r>
        <w:rPr>
          <w:rFonts w:hint="eastAsia" w:ascii="仿宋_GB2312"/>
          <w:snapToGrid w:val="0"/>
          <w:color w:val="auto"/>
          <w:kern w:val="0"/>
          <w:sz w:val="32"/>
          <w:szCs w:val="32"/>
          <w:highlight w:val="none"/>
          <w:u w:val="none"/>
        </w:rPr>
        <w:t>生产总值比重</w:t>
      </w:r>
      <w:r>
        <w:rPr>
          <w:rFonts w:hint="eastAsia" w:ascii="仿宋_GB2312"/>
          <w:snapToGrid w:val="0"/>
          <w:kern w:val="0"/>
          <w:sz w:val="32"/>
          <w:szCs w:val="32"/>
          <w:highlight w:val="none"/>
          <w:u w:val="none"/>
          <w:lang w:val="en-US" w:eastAsia="zh-CN"/>
        </w:rPr>
        <w:t>5.6</w:t>
      </w:r>
      <w:r>
        <w:rPr>
          <w:rFonts w:hint="eastAsia" w:ascii="仿宋_GB2312"/>
          <w:snapToGrid w:val="0"/>
          <w:color w:val="auto"/>
          <w:kern w:val="0"/>
          <w:sz w:val="32"/>
          <w:szCs w:val="32"/>
          <w:highlight w:val="none"/>
          <w:u w:val="none"/>
        </w:rPr>
        <w:t>%。</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highlight w:val="none"/>
          <w:u w:val="none"/>
          <w:lang w:eastAsia="zh-CN"/>
        </w:rPr>
      </w:pPr>
      <w:r>
        <w:rPr>
          <w:rFonts w:hint="eastAsia" w:ascii="仿宋_GB2312"/>
          <w:snapToGrid w:val="0"/>
          <w:kern w:val="0"/>
          <w:sz w:val="32"/>
          <w:szCs w:val="32"/>
          <w:highlight w:val="none"/>
          <w:u w:val="none"/>
          <w:lang w:eastAsia="zh-CN"/>
        </w:rPr>
        <w:t>年</w:t>
      </w:r>
      <w:r>
        <w:rPr>
          <w:rFonts w:hint="eastAsia" w:ascii="仿宋_GB2312"/>
          <w:snapToGrid w:val="0"/>
          <w:kern w:val="0"/>
          <w:sz w:val="32"/>
          <w:szCs w:val="32"/>
          <w:highlight w:val="none"/>
          <w:u w:val="none"/>
        </w:rPr>
        <w:t>末全省有各类</w:t>
      </w:r>
      <w:r>
        <w:rPr>
          <w:rFonts w:hint="eastAsia" w:ascii="仿宋_GB2312"/>
          <w:snapToGrid w:val="0"/>
          <w:kern w:val="0"/>
          <w:sz w:val="32"/>
          <w:szCs w:val="32"/>
          <w:highlight w:val="none"/>
          <w:u w:val="none"/>
          <w:lang w:eastAsia="zh-CN"/>
        </w:rPr>
        <w:t>医疗</w:t>
      </w:r>
      <w:r>
        <w:rPr>
          <w:rFonts w:hint="eastAsia" w:ascii="仿宋_GB2312"/>
          <w:snapToGrid w:val="0"/>
          <w:kern w:val="0"/>
          <w:sz w:val="32"/>
          <w:szCs w:val="32"/>
          <w:highlight w:val="none"/>
          <w:u w:val="none"/>
        </w:rPr>
        <w:t>卫生机构</w:t>
      </w:r>
      <w:r>
        <w:rPr>
          <w:rFonts w:hint="eastAsia" w:ascii="仿宋_GB2312"/>
          <w:snapToGrid w:val="0"/>
          <w:kern w:val="0"/>
          <w:sz w:val="32"/>
          <w:szCs w:val="32"/>
          <w:highlight w:val="none"/>
          <w:u w:val="none"/>
          <w:lang w:val="en-US" w:eastAsia="zh-CN"/>
        </w:rPr>
        <w:t>5.8万</w:t>
      </w:r>
      <w:r>
        <w:rPr>
          <w:rFonts w:hint="eastAsia" w:ascii="仿宋_GB2312"/>
          <w:snapToGrid w:val="0"/>
          <w:kern w:val="0"/>
          <w:sz w:val="32"/>
          <w:szCs w:val="32"/>
          <w:highlight w:val="none"/>
          <w:u w:val="none"/>
        </w:rPr>
        <w:t>个（含村卫生室），其中医院</w:t>
      </w:r>
      <w:r>
        <w:rPr>
          <w:rFonts w:hint="eastAsia" w:ascii="仿宋_GB2312"/>
          <w:snapToGrid w:val="0"/>
          <w:kern w:val="0"/>
          <w:sz w:val="32"/>
          <w:szCs w:val="32"/>
          <w:highlight w:val="none"/>
          <w:u w:val="none"/>
          <w:lang w:val="en-US" w:eastAsia="zh-CN"/>
        </w:rPr>
        <w:t>1761</w:t>
      </w:r>
      <w:r>
        <w:rPr>
          <w:rFonts w:hint="eastAsia" w:ascii="仿宋_GB2312"/>
          <w:snapToGrid w:val="0"/>
          <w:kern w:val="0"/>
          <w:sz w:val="32"/>
          <w:szCs w:val="32"/>
          <w:highlight w:val="none"/>
          <w:u w:val="none"/>
        </w:rPr>
        <w:t>个、卫生院</w:t>
      </w:r>
      <w:r>
        <w:rPr>
          <w:rFonts w:hint="eastAsia" w:ascii="仿宋_GB2312"/>
          <w:snapToGrid w:val="0"/>
          <w:kern w:val="0"/>
          <w:sz w:val="32"/>
          <w:szCs w:val="32"/>
          <w:highlight w:val="none"/>
          <w:u w:val="none"/>
          <w:lang w:val="en-US" w:eastAsia="zh-CN"/>
        </w:rPr>
        <w:t>1173</w:t>
      </w:r>
      <w:r>
        <w:rPr>
          <w:rFonts w:hint="eastAsia" w:ascii="仿宋_GB2312"/>
          <w:snapToGrid w:val="0"/>
          <w:kern w:val="0"/>
          <w:sz w:val="32"/>
          <w:szCs w:val="32"/>
          <w:highlight w:val="none"/>
          <w:u w:val="none"/>
        </w:rPr>
        <w:t>个，社区卫生服务机构</w:t>
      </w:r>
      <w:r>
        <w:rPr>
          <w:rFonts w:hint="eastAsia" w:ascii="仿宋_GB2312"/>
          <w:snapToGrid w:val="0"/>
          <w:kern w:val="0"/>
          <w:sz w:val="32"/>
          <w:szCs w:val="32"/>
          <w:highlight w:val="none"/>
          <w:u w:val="none"/>
          <w:lang w:val="en-US" w:eastAsia="zh-CN"/>
        </w:rPr>
        <w:t>2736</w:t>
      </w:r>
      <w:r>
        <w:rPr>
          <w:rFonts w:hint="eastAsia" w:ascii="仿宋_GB2312"/>
          <w:snapToGrid w:val="0"/>
          <w:kern w:val="0"/>
          <w:sz w:val="32"/>
          <w:szCs w:val="32"/>
          <w:highlight w:val="none"/>
          <w:u w:val="none"/>
        </w:rPr>
        <w:t>个，妇幼保健机构</w:t>
      </w:r>
      <w:r>
        <w:rPr>
          <w:rFonts w:hint="eastAsia" w:ascii="仿宋_GB2312"/>
          <w:snapToGrid w:val="0"/>
          <w:kern w:val="0"/>
          <w:sz w:val="32"/>
          <w:szCs w:val="32"/>
          <w:highlight w:val="none"/>
          <w:u w:val="none"/>
          <w:lang w:val="en-US" w:eastAsia="zh-CN"/>
        </w:rPr>
        <w:t>130</w:t>
      </w:r>
      <w:r>
        <w:rPr>
          <w:rFonts w:hint="eastAsia" w:ascii="仿宋_GB2312"/>
          <w:snapToGrid w:val="0"/>
          <w:kern w:val="0"/>
          <w:sz w:val="32"/>
          <w:szCs w:val="32"/>
          <w:highlight w:val="none"/>
          <w:u w:val="none"/>
        </w:rPr>
        <w:t>个，专科疾病防治机构</w:t>
      </w:r>
      <w:r>
        <w:rPr>
          <w:rFonts w:hint="eastAsia" w:ascii="仿宋_GB2312"/>
          <w:snapToGrid w:val="0"/>
          <w:kern w:val="0"/>
          <w:sz w:val="32"/>
          <w:szCs w:val="32"/>
          <w:highlight w:val="none"/>
          <w:u w:val="none"/>
          <w:lang w:val="en-US" w:eastAsia="zh-CN"/>
        </w:rPr>
        <w:t>128</w:t>
      </w:r>
      <w:r>
        <w:rPr>
          <w:rFonts w:hint="eastAsia" w:ascii="仿宋_GB2312"/>
          <w:snapToGrid w:val="0"/>
          <w:kern w:val="0"/>
          <w:sz w:val="32"/>
          <w:szCs w:val="32"/>
          <w:highlight w:val="none"/>
          <w:u w:val="none"/>
        </w:rPr>
        <w:t>个，疾病预防控制中心</w:t>
      </w:r>
      <w:r>
        <w:rPr>
          <w:rFonts w:hint="eastAsia" w:ascii="仿宋_GB2312"/>
          <w:snapToGrid w:val="0"/>
          <w:kern w:val="0"/>
          <w:sz w:val="32"/>
          <w:szCs w:val="32"/>
          <w:highlight w:val="none"/>
          <w:u w:val="none"/>
          <w:lang w:val="en-US" w:eastAsia="zh-CN"/>
        </w:rPr>
        <w:t>138</w:t>
      </w:r>
      <w:r>
        <w:rPr>
          <w:rFonts w:hint="eastAsia" w:ascii="仿宋_GB2312"/>
          <w:snapToGrid w:val="0"/>
          <w:kern w:val="0"/>
          <w:sz w:val="32"/>
          <w:szCs w:val="32"/>
          <w:highlight w:val="none"/>
          <w:u w:val="none"/>
        </w:rPr>
        <w:t>个，卫生监督机构</w:t>
      </w:r>
      <w:r>
        <w:rPr>
          <w:rFonts w:hint="eastAsia" w:ascii="仿宋_GB2312"/>
          <w:snapToGrid w:val="0"/>
          <w:kern w:val="0"/>
          <w:sz w:val="32"/>
          <w:szCs w:val="32"/>
          <w:highlight w:val="none"/>
          <w:u w:val="none"/>
          <w:lang w:val="en-US" w:eastAsia="zh-CN"/>
        </w:rPr>
        <w:t>151</w:t>
      </w:r>
      <w:r>
        <w:rPr>
          <w:rFonts w:hint="eastAsia" w:ascii="仿宋_GB2312"/>
          <w:snapToGrid w:val="0"/>
          <w:kern w:val="0"/>
          <w:sz w:val="32"/>
          <w:szCs w:val="32"/>
          <w:highlight w:val="none"/>
          <w:u w:val="none"/>
        </w:rPr>
        <w:t>个、村卫生室</w:t>
      </w:r>
      <w:r>
        <w:rPr>
          <w:rFonts w:hint="eastAsia" w:ascii="仿宋_GB2312"/>
          <w:snapToGrid w:val="0"/>
          <w:kern w:val="0"/>
          <w:sz w:val="32"/>
          <w:szCs w:val="32"/>
          <w:highlight w:val="none"/>
          <w:u w:val="none"/>
          <w:lang w:val="en-US" w:eastAsia="zh-CN"/>
        </w:rPr>
        <w:t>2.5</w:t>
      </w:r>
      <w:r>
        <w:rPr>
          <w:rFonts w:hint="eastAsia" w:ascii="仿宋_GB2312"/>
          <w:snapToGrid w:val="0"/>
          <w:kern w:val="0"/>
          <w:sz w:val="32"/>
          <w:szCs w:val="32"/>
          <w:highlight w:val="none"/>
          <w:u w:val="none"/>
        </w:rPr>
        <w:t>万个。全省</w:t>
      </w:r>
      <w:r>
        <w:rPr>
          <w:rFonts w:hint="eastAsia" w:ascii="仿宋_GB2312"/>
          <w:snapToGrid w:val="0"/>
          <w:kern w:val="0"/>
          <w:sz w:val="32"/>
          <w:szCs w:val="32"/>
          <w:highlight w:val="none"/>
          <w:u w:val="none"/>
          <w:lang w:eastAsia="zh-CN"/>
        </w:rPr>
        <w:t>医疗</w:t>
      </w:r>
      <w:r>
        <w:rPr>
          <w:rFonts w:hint="eastAsia" w:ascii="仿宋_GB2312"/>
          <w:snapToGrid w:val="0"/>
          <w:kern w:val="0"/>
          <w:sz w:val="32"/>
          <w:szCs w:val="32"/>
          <w:highlight w:val="none"/>
          <w:u w:val="none"/>
        </w:rPr>
        <w:t>卫生</w:t>
      </w:r>
      <w:r>
        <w:rPr>
          <w:rFonts w:hint="eastAsia" w:ascii="仿宋_GB2312"/>
          <w:snapToGrid w:val="0"/>
          <w:kern w:val="0"/>
          <w:sz w:val="32"/>
          <w:szCs w:val="32"/>
          <w:highlight w:val="none"/>
          <w:u w:val="none"/>
          <w:lang w:eastAsia="zh-CN"/>
        </w:rPr>
        <w:t>机构</w:t>
      </w:r>
      <w:r>
        <w:rPr>
          <w:rFonts w:hint="eastAsia" w:ascii="仿宋_GB2312"/>
          <w:snapToGrid w:val="0"/>
          <w:kern w:val="0"/>
          <w:sz w:val="32"/>
          <w:szCs w:val="32"/>
          <w:highlight w:val="none"/>
          <w:u w:val="none"/>
        </w:rPr>
        <w:t>技术人员</w:t>
      </w:r>
      <w:r>
        <w:rPr>
          <w:rFonts w:hint="eastAsia" w:ascii="仿宋_GB2312"/>
          <w:snapToGrid w:val="0"/>
          <w:kern w:val="0"/>
          <w:sz w:val="32"/>
          <w:szCs w:val="32"/>
          <w:highlight w:val="none"/>
          <w:u w:val="none"/>
          <w:lang w:val="en-US" w:eastAsia="zh-CN"/>
        </w:rPr>
        <w:t>87.6</w:t>
      </w:r>
      <w:r>
        <w:rPr>
          <w:rFonts w:hint="eastAsia" w:ascii="仿宋_GB2312"/>
          <w:snapToGrid w:val="0"/>
          <w:kern w:val="0"/>
          <w:sz w:val="32"/>
          <w:szCs w:val="32"/>
          <w:highlight w:val="none"/>
          <w:u w:val="none"/>
        </w:rPr>
        <w:t>万人，</w:t>
      </w:r>
      <w:r>
        <w:rPr>
          <w:rFonts w:hint="eastAsia" w:ascii="仿宋_GB2312"/>
          <w:snapToGrid w:val="0"/>
          <w:kern w:val="0"/>
          <w:sz w:val="32"/>
          <w:szCs w:val="32"/>
          <w:highlight w:val="none"/>
          <w:u w:val="none"/>
          <w:lang w:eastAsia="zh-CN"/>
        </w:rPr>
        <w:t>比上年</w:t>
      </w:r>
      <w:r>
        <w:rPr>
          <w:rFonts w:hint="eastAsia" w:ascii="仿宋_GB2312"/>
          <w:snapToGrid w:val="0"/>
          <w:kern w:val="0"/>
          <w:sz w:val="32"/>
          <w:szCs w:val="32"/>
          <w:highlight w:val="none"/>
          <w:u w:val="none"/>
        </w:rPr>
        <w:t>增长</w:t>
      </w:r>
      <w:r>
        <w:rPr>
          <w:rFonts w:hint="eastAsia" w:ascii="仿宋_GB2312"/>
          <w:snapToGrid w:val="0"/>
          <w:kern w:val="0"/>
          <w:sz w:val="32"/>
          <w:szCs w:val="32"/>
          <w:highlight w:val="none"/>
          <w:u w:val="none"/>
          <w:lang w:val="en-US" w:eastAsia="zh-CN"/>
        </w:rPr>
        <w:t>5.3</w:t>
      </w:r>
      <w:r>
        <w:rPr>
          <w:rFonts w:hint="eastAsia" w:ascii="仿宋_GB2312"/>
          <w:snapToGrid w:val="0"/>
          <w:kern w:val="0"/>
          <w:sz w:val="32"/>
          <w:szCs w:val="32"/>
          <w:highlight w:val="none"/>
          <w:u w:val="none"/>
        </w:rPr>
        <w:t>%</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其中执业医师和执业助理医师</w:t>
      </w:r>
      <w:r>
        <w:rPr>
          <w:rFonts w:hint="eastAsia" w:ascii="仿宋_GB2312"/>
          <w:snapToGrid w:val="0"/>
          <w:kern w:val="0"/>
          <w:sz w:val="32"/>
          <w:szCs w:val="32"/>
          <w:highlight w:val="none"/>
          <w:u w:val="none"/>
          <w:lang w:val="en-US" w:eastAsia="zh-CN"/>
        </w:rPr>
        <w:t>32.1</w:t>
      </w:r>
      <w:r>
        <w:rPr>
          <w:rFonts w:hint="eastAsia" w:ascii="仿宋_GB2312"/>
          <w:snapToGrid w:val="0"/>
          <w:kern w:val="0"/>
          <w:sz w:val="32"/>
          <w:szCs w:val="32"/>
          <w:highlight w:val="none"/>
          <w:u w:val="none"/>
        </w:rPr>
        <w:t>万人，注册护士</w:t>
      </w:r>
      <w:r>
        <w:rPr>
          <w:rFonts w:hint="eastAsia" w:ascii="仿宋_GB2312"/>
          <w:snapToGrid w:val="0"/>
          <w:kern w:val="0"/>
          <w:sz w:val="32"/>
          <w:szCs w:val="32"/>
          <w:highlight w:val="none"/>
          <w:u w:val="none"/>
          <w:lang w:val="en-US" w:eastAsia="zh-CN"/>
        </w:rPr>
        <w:t>40.2</w:t>
      </w:r>
      <w:r>
        <w:rPr>
          <w:rFonts w:hint="eastAsia" w:ascii="仿宋_GB2312"/>
          <w:snapToGrid w:val="0"/>
          <w:kern w:val="0"/>
          <w:sz w:val="32"/>
          <w:szCs w:val="32"/>
          <w:highlight w:val="none"/>
          <w:u w:val="none"/>
        </w:rPr>
        <w:t>万人；拥有医疗床位</w:t>
      </w:r>
      <w:r>
        <w:rPr>
          <w:rFonts w:hint="eastAsia" w:ascii="仿宋_GB2312"/>
          <w:snapToGrid w:val="0"/>
          <w:kern w:val="0"/>
          <w:sz w:val="32"/>
          <w:szCs w:val="32"/>
          <w:highlight w:val="none"/>
          <w:u w:val="none"/>
          <w:lang w:val="en-US" w:eastAsia="zh-CN"/>
        </w:rPr>
        <w:t>58.9</w:t>
      </w:r>
      <w:r>
        <w:rPr>
          <w:rFonts w:hint="eastAsia" w:ascii="仿宋_GB2312"/>
          <w:snapToGrid w:val="0"/>
          <w:kern w:val="0"/>
          <w:sz w:val="32"/>
          <w:szCs w:val="32"/>
          <w:highlight w:val="none"/>
          <w:u w:val="none"/>
        </w:rPr>
        <w:t>万张，其中医院</w:t>
      </w:r>
      <w:r>
        <w:rPr>
          <w:rFonts w:hint="eastAsia" w:ascii="仿宋_GB2312"/>
          <w:snapToGrid w:val="0"/>
          <w:kern w:val="0"/>
          <w:sz w:val="32"/>
          <w:szCs w:val="32"/>
          <w:highlight w:val="none"/>
          <w:u w:val="none"/>
          <w:lang w:val="en-US" w:eastAsia="zh-CN"/>
        </w:rPr>
        <w:t>47.9</w:t>
      </w:r>
      <w:r>
        <w:rPr>
          <w:rFonts w:hint="eastAsia" w:ascii="仿宋_GB2312"/>
          <w:snapToGrid w:val="0"/>
          <w:kern w:val="0"/>
          <w:sz w:val="32"/>
          <w:szCs w:val="32"/>
          <w:highlight w:val="none"/>
          <w:u w:val="none"/>
        </w:rPr>
        <w:t>万张。全省1173家卫生院拥有卫生技术人员8.6万人，床位6.7万张</w:t>
      </w:r>
      <w:r>
        <w:rPr>
          <w:rFonts w:hint="eastAsia" w:ascii="仿宋_GB2312"/>
          <w:snapToGrid w:val="0"/>
          <w:kern w:val="0"/>
          <w:sz w:val="32"/>
          <w:szCs w:val="32"/>
          <w:highlight w:val="none"/>
          <w:u w:val="none"/>
          <w:lang w:eastAsia="zh-CN"/>
        </w:rPr>
        <w:t>；138家疾病预防控制中心拥有卫生技术人员0.8万人；151家卫生监督机构拥有卫生技术人员0.3万人。甲、乙类传染病</w:t>
      </w:r>
      <w:r>
        <w:rPr>
          <w:rFonts w:hint="eastAsia" w:ascii="仿宋_GB2312"/>
          <w:snapToGrid w:val="0"/>
          <w:kern w:val="0"/>
          <w:sz w:val="32"/>
          <w:szCs w:val="32"/>
          <w:highlight w:val="none"/>
          <w:u w:val="none"/>
          <w:lang w:val="en-US" w:eastAsia="zh-CN"/>
        </w:rPr>
        <w:t>34.34</w:t>
      </w:r>
      <w:r>
        <w:rPr>
          <w:rFonts w:hint="eastAsia" w:ascii="仿宋_GB2312"/>
          <w:snapToGrid w:val="0"/>
          <w:kern w:val="0"/>
          <w:sz w:val="32"/>
          <w:szCs w:val="32"/>
          <w:highlight w:val="none"/>
          <w:u w:val="none"/>
          <w:lang w:eastAsia="zh-CN"/>
        </w:rPr>
        <w:t>万例，死亡</w:t>
      </w:r>
      <w:r>
        <w:rPr>
          <w:rFonts w:hint="eastAsia" w:ascii="仿宋_GB2312"/>
          <w:snapToGrid w:val="0"/>
          <w:kern w:val="0"/>
          <w:sz w:val="32"/>
          <w:szCs w:val="32"/>
          <w:highlight w:val="none"/>
          <w:u w:val="none"/>
          <w:lang w:val="en-US" w:eastAsia="zh-CN"/>
        </w:rPr>
        <w:t>1266</w:t>
      </w:r>
      <w:r>
        <w:rPr>
          <w:rFonts w:hint="eastAsia" w:ascii="仿宋_GB2312"/>
          <w:snapToGrid w:val="0"/>
          <w:kern w:val="0"/>
          <w:sz w:val="32"/>
          <w:szCs w:val="32"/>
          <w:highlight w:val="none"/>
          <w:u w:val="none"/>
          <w:lang w:eastAsia="zh-CN"/>
        </w:rPr>
        <w:t>人，发病率</w:t>
      </w:r>
      <w:r>
        <w:rPr>
          <w:rFonts w:hint="eastAsia" w:ascii="仿宋_GB2312"/>
          <w:snapToGrid w:val="0"/>
          <w:kern w:val="0"/>
          <w:sz w:val="32"/>
          <w:szCs w:val="32"/>
          <w:highlight w:val="none"/>
          <w:u w:val="none"/>
          <w:lang w:val="en-US" w:eastAsia="zh-CN"/>
        </w:rPr>
        <w:t>272.51/10</w:t>
      </w:r>
      <w:r>
        <w:rPr>
          <w:rFonts w:hint="eastAsia" w:ascii="仿宋_GB2312"/>
          <w:snapToGrid w:val="0"/>
          <w:kern w:val="0"/>
          <w:sz w:val="32"/>
          <w:szCs w:val="32"/>
          <w:highlight w:val="none"/>
          <w:u w:val="none"/>
          <w:lang w:eastAsia="zh-CN"/>
        </w:rPr>
        <w:t>万，死亡率</w:t>
      </w:r>
      <w:r>
        <w:rPr>
          <w:rFonts w:hint="eastAsia" w:ascii="仿宋_GB2312"/>
          <w:snapToGrid w:val="0"/>
          <w:kern w:val="0"/>
          <w:sz w:val="32"/>
          <w:szCs w:val="32"/>
          <w:highlight w:val="none"/>
          <w:u w:val="none"/>
          <w:lang w:val="en-US" w:eastAsia="zh-CN"/>
        </w:rPr>
        <w:t>1.00/10</w:t>
      </w:r>
      <w:r>
        <w:rPr>
          <w:rFonts w:hint="eastAsia" w:ascii="仿宋_GB2312"/>
          <w:snapToGrid w:val="0"/>
          <w:kern w:val="0"/>
          <w:sz w:val="32"/>
          <w:szCs w:val="32"/>
          <w:highlight w:val="none"/>
          <w:u w:val="none"/>
          <w:lang w:eastAsia="zh-CN"/>
        </w:rPr>
        <w:t>万。</w:t>
      </w:r>
    </w:p>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2"/>
        <w:rPr>
          <w:rFonts w:hint="eastAsia" w:ascii="黑体" w:hAnsi="黑体" w:eastAsia="黑体" w:cs="黑体"/>
          <w:b w:val="0"/>
          <w:bCs/>
          <w:highlight w:val="none"/>
          <w:u w:val="none"/>
          <w:lang w:eastAsia="zh-CN"/>
        </w:rPr>
      </w:pPr>
      <w:r>
        <w:rPr>
          <w:rFonts w:hint="eastAsia" w:ascii="黑体" w:hAnsi="黑体" w:eastAsia="黑体" w:cs="黑体"/>
          <w:b w:val="0"/>
          <w:bCs/>
          <w:highlight w:val="none"/>
          <w:u w:val="none"/>
          <w:lang w:eastAsia="zh-CN"/>
        </w:rPr>
        <w:t xml:space="preserve">图14 </w:t>
      </w:r>
      <w:r>
        <w:rPr>
          <w:rFonts w:hint="eastAsia" w:ascii="黑体" w:hAnsi="黑体" w:eastAsia="黑体" w:cs="黑体"/>
          <w:b w:val="0"/>
          <w:bCs/>
          <w:highlight w:val="none"/>
          <w:u w:val="none"/>
          <w:lang w:val="en-US" w:eastAsia="zh-CN"/>
        </w:rPr>
        <w:t xml:space="preserve"> </w:t>
      </w:r>
      <w:r>
        <w:rPr>
          <w:rFonts w:hint="eastAsia" w:ascii="黑体" w:hAnsi="黑体" w:eastAsia="黑体" w:cs="黑体"/>
          <w:b w:val="0"/>
          <w:bCs/>
          <w:highlight w:val="none"/>
          <w:u w:val="none"/>
          <w:lang w:eastAsia="zh-CN"/>
        </w:rPr>
        <w:t>2016-2021年卫生技术人员数</w:t>
      </w:r>
      <w:r>
        <w:rPr>
          <w:highlight w:val="none"/>
          <w:u w:val="none"/>
        </w:rPr>
        <w:drawing>
          <wp:inline distT="0" distB="0" distL="114300" distR="114300">
            <wp:extent cx="5615940" cy="3790315"/>
            <wp:effectExtent l="0" t="0" r="381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615940" cy="37903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全省体育健儿在国内外重大比赛中，获得</w:t>
      </w:r>
      <w:r>
        <w:rPr>
          <w:rFonts w:hint="eastAsia" w:ascii="仿宋_GB2312"/>
          <w:snapToGrid w:val="0"/>
          <w:kern w:val="0"/>
          <w:sz w:val="32"/>
          <w:szCs w:val="32"/>
          <w:highlight w:val="none"/>
          <w:u w:val="none"/>
          <w:lang w:val="en-US" w:eastAsia="zh-CN"/>
        </w:rPr>
        <w:t>104</w:t>
      </w:r>
      <w:r>
        <w:rPr>
          <w:rFonts w:hint="eastAsia" w:ascii="仿宋_GB2312"/>
          <w:snapToGrid w:val="0"/>
          <w:kern w:val="0"/>
          <w:sz w:val="32"/>
          <w:szCs w:val="32"/>
          <w:highlight w:val="none"/>
          <w:u w:val="none"/>
        </w:rPr>
        <w:t>项次全国冠军，</w:t>
      </w:r>
      <w:r>
        <w:rPr>
          <w:rFonts w:hint="eastAsia" w:ascii="仿宋_GB2312"/>
          <w:snapToGrid w:val="0"/>
          <w:kern w:val="0"/>
          <w:sz w:val="32"/>
          <w:szCs w:val="32"/>
          <w:highlight w:val="none"/>
          <w:u w:val="none"/>
          <w:lang w:val="en-US" w:eastAsia="zh-CN"/>
        </w:rPr>
        <w:t>9</w:t>
      </w:r>
      <w:r>
        <w:rPr>
          <w:rFonts w:hint="eastAsia" w:ascii="仿宋_GB2312"/>
          <w:snapToGrid w:val="0"/>
          <w:kern w:val="0"/>
          <w:sz w:val="32"/>
          <w:szCs w:val="32"/>
          <w:highlight w:val="none"/>
          <w:u w:val="none"/>
        </w:rPr>
        <w:t>人次世界冠军，破全国纪录</w:t>
      </w:r>
      <w:r>
        <w:rPr>
          <w:rFonts w:hint="eastAsia" w:ascii="仿宋_GB2312"/>
          <w:snapToGrid w:val="0"/>
          <w:kern w:val="0"/>
          <w:sz w:val="32"/>
          <w:szCs w:val="32"/>
          <w:highlight w:val="none"/>
          <w:u w:val="none"/>
          <w:lang w:val="en-US" w:eastAsia="zh-CN"/>
        </w:rPr>
        <w:t>8</w:t>
      </w:r>
      <w:r>
        <w:rPr>
          <w:rFonts w:hint="eastAsia" w:ascii="仿宋_GB2312"/>
          <w:snapToGrid w:val="0"/>
          <w:kern w:val="0"/>
          <w:sz w:val="32"/>
          <w:szCs w:val="32"/>
          <w:highlight w:val="none"/>
          <w:u w:val="none"/>
        </w:rPr>
        <w:t>项次，破世界</w:t>
      </w:r>
      <w:r>
        <w:rPr>
          <w:rFonts w:hint="eastAsia" w:ascii="仿宋_GB2312"/>
          <w:snapToGrid w:val="0"/>
          <w:kern w:val="0"/>
          <w:sz w:val="32"/>
          <w:szCs w:val="32"/>
          <w:highlight w:val="none"/>
          <w:u w:val="none"/>
          <w:lang w:eastAsia="zh-CN"/>
        </w:rPr>
        <w:t>纪</w:t>
      </w:r>
      <w:r>
        <w:rPr>
          <w:rFonts w:hint="eastAsia" w:ascii="仿宋_GB2312"/>
          <w:snapToGrid w:val="0"/>
          <w:kern w:val="0"/>
          <w:sz w:val="32"/>
          <w:szCs w:val="32"/>
          <w:highlight w:val="none"/>
          <w:u w:val="none"/>
        </w:rPr>
        <w:t>录</w:t>
      </w:r>
      <w:r>
        <w:rPr>
          <w:rFonts w:hint="eastAsia" w:ascii="仿宋_GB2312"/>
          <w:snapToGrid w:val="0"/>
          <w:kern w:val="0"/>
          <w:sz w:val="32"/>
          <w:szCs w:val="32"/>
          <w:highlight w:val="none"/>
          <w:u w:val="none"/>
          <w:lang w:val="en-US" w:eastAsia="zh-CN"/>
        </w:rPr>
        <w:t>3</w:t>
      </w:r>
      <w:r>
        <w:rPr>
          <w:rFonts w:hint="eastAsia" w:ascii="仿宋_GB2312"/>
          <w:snapToGrid w:val="0"/>
          <w:kern w:val="0"/>
          <w:sz w:val="32"/>
          <w:szCs w:val="32"/>
          <w:highlight w:val="none"/>
          <w:u w:val="none"/>
        </w:rPr>
        <w:t>项次。</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outlineLvl w:val="9"/>
        <w:rPr>
          <w:rFonts w:hint="eastAsia" w:ascii="黑体" w:hAnsi="黑体" w:eastAsia="黑体" w:cs="黑体"/>
          <w:snapToGrid w:val="0"/>
          <w:kern w:val="0"/>
          <w:sz w:val="32"/>
          <w:szCs w:val="32"/>
          <w:highlight w:val="none"/>
          <w:u w:val="none"/>
          <w:lang w:val="en-US" w:eastAsia="zh-CN"/>
        </w:rPr>
      </w:pPr>
      <w:r>
        <w:rPr>
          <w:rFonts w:hint="eastAsia" w:ascii="黑体" w:hAnsi="黑体" w:eastAsia="黑体" w:cs="黑体"/>
          <w:snapToGrid w:val="0"/>
          <w:kern w:val="0"/>
          <w:sz w:val="32"/>
          <w:szCs w:val="32"/>
          <w:highlight w:val="none"/>
          <w:u w:val="none"/>
          <w:lang w:val="en-US" w:eastAsia="zh-CN"/>
        </w:rPr>
        <w:t>十二、资源、环境和安全生产</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全年水资源总量</w:t>
      </w:r>
      <w:r>
        <w:rPr>
          <w:rFonts w:hint="eastAsia" w:ascii="仿宋_GB2312"/>
          <w:snapToGrid w:val="0"/>
          <w:kern w:val="0"/>
          <w:sz w:val="32"/>
          <w:szCs w:val="32"/>
          <w:highlight w:val="none"/>
          <w:u w:val="none"/>
          <w:lang w:val="en-US" w:eastAsia="zh-CN"/>
        </w:rPr>
        <w:t>1221</w:t>
      </w:r>
      <w:r>
        <w:rPr>
          <w:rFonts w:hint="eastAsia" w:ascii="仿宋_GB2312"/>
          <w:snapToGrid w:val="0"/>
          <w:kern w:val="0"/>
          <w:sz w:val="32"/>
          <w:szCs w:val="32"/>
          <w:highlight w:val="none"/>
          <w:u w:val="none"/>
        </w:rPr>
        <w:t>亿立方米，比上年</w:t>
      </w:r>
      <w:r>
        <w:rPr>
          <w:rFonts w:hint="eastAsia" w:ascii="仿宋_GB2312"/>
          <w:snapToGrid w:val="0"/>
          <w:kern w:val="0"/>
          <w:sz w:val="32"/>
          <w:szCs w:val="32"/>
          <w:highlight w:val="none"/>
          <w:u w:val="none"/>
          <w:lang w:eastAsia="zh-CN"/>
        </w:rPr>
        <w:t>偏少</w:t>
      </w:r>
      <w:r>
        <w:rPr>
          <w:rFonts w:hint="eastAsia" w:ascii="仿宋_GB2312"/>
          <w:snapToGrid w:val="0"/>
          <w:kern w:val="0"/>
          <w:sz w:val="32"/>
          <w:szCs w:val="32"/>
          <w:highlight w:val="none"/>
          <w:u w:val="none"/>
          <w:lang w:val="en-US" w:eastAsia="zh-CN"/>
        </w:rPr>
        <w:t>24.9</w:t>
      </w:r>
      <w:r>
        <w:rPr>
          <w:rFonts w:hint="eastAsia" w:ascii="仿宋_GB2312"/>
          <w:snapToGrid w:val="0"/>
          <w:kern w:val="0"/>
          <w:sz w:val="32"/>
          <w:szCs w:val="32"/>
          <w:highlight w:val="none"/>
          <w:u w:val="none"/>
        </w:rPr>
        <w:t>%。年平均降水量</w:t>
      </w:r>
      <w:r>
        <w:rPr>
          <w:rFonts w:hint="eastAsia" w:ascii="仿宋_GB2312"/>
          <w:snapToGrid w:val="0"/>
          <w:kern w:val="0"/>
          <w:sz w:val="32"/>
          <w:szCs w:val="32"/>
          <w:highlight w:val="none"/>
          <w:u w:val="none"/>
          <w:lang w:val="en-US" w:eastAsia="zh-CN"/>
        </w:rPr>
        <w:t>1358</w:t>
      </w:r>
      <w:r>
        <w:rPr>
          <w:rFonts w:hint="eastAsia" w:ascii="仿宋_GB2312"/>
          <w:snapToGrid w:val="0"/>
          <w:kern w:val="0"/>
          <w:sz w:val="32"/>
          <w:szCs w:val="32"/>
          <w:highlight w:val="none"/>
          <w:u w:val="none"/>
        </w:rPr>
        <w:t>毫米，</w:t>
      </w:r>
      <w:r>
        <w:rPr>
          <w:rFonts w:hint="eastAsia" w:ascii="仿宋_GB2312"/>
          <w:snapToGrid w:val="0"/>
          <w:kern w:val="0"/>
          <w:sz w:val="32"/>
          <w:szCs w:val="32"/>
          <w:highlight w:val="none"/>
          <w:u w:val="none"/>
          <w:lang w:eastAsia="zh-CN"/>
        </w:rPr>
        <w:t>较常年偏少</w:t>
      </w:r>
      <w:r>
        <w:rPr>
          <w:rFonts w:hint="eastAsia" w:ascii="仿宋_GB2312"/>
          <w:snapToGrid w:val="0"/>
          <w:kern w:val="0"/>
          <w:sz w:val="32"/>
          <w:szCs w:val="32"/>
          <w:highlight w:val="none"/>
          <w:u w:val="none"/>
          <w:lang w:val="en-US" w:eastAsia="zh-CN"/>
        </w:rPr>
        <w:t>24.0</w:t>
      </w:r>
      <w:r>
        <w:rPr>
          <w:rFonts w:hint="eastAsia" w:ascii="仿宋_GB2312"/>
          <w:snapToGrid w:val="0"/>
          <w:kern w:val="0"/>
          <w:sz w:val="32"/>
          <w:szCs w:val="32"/>
          <w:highlight w:val="none"/>
          <w:u w:val="none"/>
        </w:rPr>
        <w:t>%。</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全年规模以上工业综合能源消费量</w:t>
      </w:r>
      <w:r>
        <w:rPr>
          <w:rFonts w:hint="eastAsia" w:ascii="仿宋_GB2312"/>
          <w:snapToGrid w:val="0"/>
          <w:kern w:val="0"/>
          <w:sz w:val="32"/>
          <w:szCs w:val="32"/>
          <w:highlight w:val="none"/>
          <w:u w:val="none"/>
          <w:lang w:val="en-US" w:eastAsia="zh-CN"/>
        </w:rPr>
        <w:t>19279.60</w:t>
      </w:r>
      <w:r>
        <w:rPr>
          <w:rFonts w:hint="eastAsia" w:ascii="仿宋_GB2312"/>
          <w:snapToGrid w:val="0"/>
          <w:kern w:val="0"/>
          <w:sz w:val="32"/>
          <w:szCs w:val="32"/>
          <w:highlight w:val="none"/>
          <w:u w:val="none"/>
        </w:rPr>
        <w:t>万吨标准煤，比上年</w:t>
      </w:r>
      <w:r>
        <w:rPr>
          <w:rFonts w:hint="eastAsia" w:ascii="仿宋_GB2312"/>
          <w:snapToGrid w:val="0"/>
          <w:kern w:val="0"/>
          <w:sz w:val="32"/>
          <w:szCs w:val="32"/>
          <w:highlight w:val="none"/>
          <w:u w:val="none"/>
          <w:lang w:eastAsia="zh-CN"/>
        </w:rPr>
        <w:t>增长</w:t>
      </w:r>
      <w:r>
        <w:rPr>
          <w:rFonts w:hint="eastAsia" w:ascii="仿宋_GB2312"/>
          <w:snapToGrid w:val="0"/>
          <w:kern w:val="0"/>
          <w:sz w:val="32"/>
          <w:szCs w:val="32"/>
          <w:highlight w:val="none"/>
          <w:u w:val="none"/>
          <w:lang w:val="en-US" w:eastAsia="zh-CN"/>
        </w:rPr>
        <w:t>10.8</w:t>
      </w:r>
      <w:r>
        <w:rPr>
          <w:rFonts w:hint="eastAsia" w:ascii="仿宋_GB2312"/>
          <w:snapToGrid w:val="0"/>
          <w:kern w:val="0"/>
          <w:sz w:val="32"/>
          <w:szCs w:val="32"/>
          <w:highlight w:val="none"/>
          <w:u w:val="none"/>
        </w:rPr>
        <w:t>%。单位工业增加值能耗</w:t>
      </w:r>
      <w:r>
        <w:rPr>
          <w:rFonts w:hint="eastAsia" w:ascii="仿宋_GB2312"/>
          <w:snapToGrid w:val="0"/>
          <w:kern w:val="0"/>
          <w:sz w:val="32"/>
          <w:szCs w:val="32"/>
          <w:highlight w:val="none"/>
          <w:u w:val="none"/>
          <w:lang w:eastAsia="zh-CN"/>
        </w:rPr>
        <w:t>增长</w:t>
      </w:r>
      <w:r>
        <w:rPr>
          <w:rFonts w:hint="eastAsia" w:ascii="仿宋_GB2312"/>
          <w:snapToGrid w:val="0"/>
          <w:kern w:val="0"/>
          <w:sz w:val="32"/>
          <w:szCs w:val="32"/>
          <w:highlight w:val="none"/>
          <w:u w:val="none"/>
          <w:lang w:val="en-US" w:eastAsia="zh-CN"/>
        </w:rPr>
        <w:t>1.7</w:t>
      </w:r>
      <w:r>
        <w:rPr>
          <w:rFonts w:hint="eastAsia" w:ascii="仿宋_GB2312"/>
          <w:snapToGrid w:val="0"/>
          <w:kern w:val="0"/>
          <w:sz w:val="32"/>
          <w:szCs w:val="32"/>
          <w:highlight w:val="none"/>
          <w:u w:val="none"/>
        </w:rPr>
        <w:t>%。全社会用电量</w:t>
      </w:r>
      <w:r>
        <w:rPr>
          <w:rFonts w:hint="eastAsia" w:ascii="仿宋_GB2312"/>
          <w:snapToGrid w:val="0"/>
          <w:kern w:val="0"/>
          <w:sz w:val="32"/>
          <w:szCs w:val="32"/>
          <w:highlight w:val="none"/>
          <w:u w:val="none"/>
          <w:lang w:val="en-US" w:eastAsia="zh-CN"/>
        </w:rPr>
        <w:t>7866.63</w:t>
      </w:r>
      <w:r>
        <w:rPr>
          <w:rFonts w:hint="eastAsia" w:ascii="仿宋_GB2312"/>
          <w:snapToGrid w:val="0"/>
          <w:kern w:val="0"/>
          <w:sz w:val="32"/>
          <w:szCs w:val="32"/>
          <w:highlight w:val="none"/>
          <w:u w:val="none"/>
        </w:rPr>
        <w:t>亿千瓦时，增长</w:t>
      </w:r>
      <w:r>
        <w:rPr>
          <w:rFonts w:hint="eastAsia" w:ascii="仿宋_GB2312"/>
          <w:snapToGrid w:val="0"/>
          <w:kern w:val="0"/>
          <w:sz w:val="32"/>
          <w:szCs w:val="32"/>
          <w:highlight w:val="none"/>
          <w:u w:val="none"/>
          <w:lang w:val="en-US" w:eastAsia="zh-CN"/>
        </w:rPr>
        <w:t>13.6</w:t>
      </w:r>
      <w:r>
        <w:rPr>
          <w:rFonts w:hint="eastAsia" w:ascii="仿宋_GB2312"/>
          <w:snapToGrid w:val="0"/>
          <w:kern w:val="0"/>
          <w:sz w:val="32"/>
          <w:szCs w:val="32"/>
          <w:highlight w:val="none"/>
          <w:u w:val="none"/>
        </w:rPr>
        <w:t>%。其中</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工业用电量</w:t>
      </w:r>
      <w:r>
        <w:rPr>
          <w:rFonts w:hint="eastAsia" w:ascii="仿宋_GB2312"/>
          <w:snapToGrid w:val="0"/>
          <w:kern w:val="0"/>
          <w:sz w:val="32"/>
          <w:szCs w:val="32"/>
          <w:highlight w:val="none"/>
          <w:u w:val="none"/>
          <w:lang w:val="en-US" w:eastAsia="zh-CN"/>
        </w:rPr>
        <w:t>4637.44</w:t>
      </w:r>
      <w:r>
        <w:rPr>
          <w:rFonts w:hint="eastAsia" w:ascii="仿宋_GB2312"/>
          <w:snapToGrid w:val="0"/>
          <w:kern w:val="0"/>
          <w:sz w:val="32"/>
          <w:szCs w:val="32"/>
          <w:highlight w:val="none"/>
          <w:u w:val="none"/>
        </w:rPr>
        <w:t>亿千瓦时，增长</w:t>
      </w:r>
      <w:r>
        <w:rPr>
          <w:rFonts w:hint="eastAsia" w:ascii="仿宋_GB2312"/>
          <w:snapToGrid w:val="0"/>
          <w:kern w:val="0"/>
          <w:sz w:val="32"/>
          <w:szCs w:val="32"/>
          <w:highlight w:val="none"/>
          <w:u w:val="none"/>
          <w:lang w:val="en-US" w:eastAsia="zh-CN"/>
        </w:rPr>
        <w:t>12.0</w:t>
      </w:r>
      <w:r>
        <w:rPr>
          <w:rFonts w:hint="eastAsia" w:ascii="仿宋_GB2312"/>
          <w:snapToGrid w:val="0"/>
          <w:kern w:val="0"/>
          <w:sz w:val="32"/>
          <w:szCs w:val="32"/>
          <w:highlight w:val="none"/>
          <w:u w:val="none"/>
        </w:rPr>
        <w:t>%。</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全省</w:t>
      </w:r>
      <w:r>
        <w:rPr>
          <w:rFonts w:hint="eastAsia" w:ascii="仿宋_GB2312"/>
          <w:snapToGrid w:val="0"/>
          <w:kern w:val="0"/>
          <w:sz w:val="32"/>
          <w:szCs w:val="32"/>
          <w:highlight w:val="none"/>
          <w:u w:val="none"/>
          <w:lang w:val="en-US" w:eastAsia="zh-CN"/>
        </w:rPr>
        <w:t>168</w:t>
      </w:r>
      <w:r>
        <w:rPr>
          <w:rFonts w:hint="eastAsia" w:ascii="仿宋_GB2312"/>
          <w:snapToGrid w:val="0"/>
          <w:kern w:val="0"/>
          <w:sz w:val="32"/>
          <w:szCs w:val="32"/>
          <w:highlight w:val="none"/>
          <w:u w:val="none"/>
        </w:rPr>
        <w:t>个地表水省考监测断面中，Ⅰ～Ⅱ类水质的断面比例</w:t>
      </w:r>
      <w:r>
        <w:rPr>
          <w:rFonts w:hint="eastAsia" w:ascii="仿宋_GB2312"/>
          <w:snapToGrid w:val="0"/>
          <w:kern w:val="0"/>
          <w:sz w:val="32"/>
          <w:szCs w:val="32"/>
          <w:highlight w:val="none"/>
          <w:u w:val="none"/>
          <w:lang w:val="en-US" w:eastAsia="zh-CN"/>
        </w:rPr>
        <w:t>53.6%</w:t>
      </w:r>
      <w:r>
        <w:rPr>
          <w:rFonts w:hint="eastAsia" w:ascii="仿宋_GB2312"/>
          <w:snapToGrid w:val="0"/>
          <w:kern w:val="0"/>
          <w:sz w:val="32"/>
          <w:szCs w:val="32"/>
          <w:highlight w:val="none"/>
          <w:u w:val="none"/>
        </w:rPr>
        <w:t>，Ⅲ类水质的断面比例</w:t>
      </w:r>
      <w:r>
        <w:rPr>
          <w:rFonts w:hint="eastAsia" w:ascii="仿宋_GB2312"/>
          <w:snapToGrid w:val="0"/>
          <w:kern w:val="0"/>
          <w:sz w:val="32"/>
          <w:szCs w:val="32"/>
          <w:highlight w:val="none"/>
          <w:u w:val="none"/>
          <w:lang w:val="en-US" w:eastAsia="zh-CN"/>
        </w:rPr>
        <w:t>33.3</w:t>
      </w:r>
      <w:r>
        <w:rPr>
          <w:rFonts w:hint="eastAsia" w:ascii="仿宋_GB2312"/>
          <w:snapToGrid w:val="0"/>
          <w:kern w:val="0"/>
          <w:sz w:val="32"/>
          <w:szCs w:val="32"/>
          <w:highlight w:val="none"/>
          <w:u w:val="none"/>
        </w:rPr>
        <w:t>%，Ⅳ类水质的断面比例</w:t>
      </w:r>
      <w:r>
        <w:rPr>
          <w:rFonts w:hint="eastAsia" w:ascii="仿宋_GB2312"/>
          <w:snapToGrid w:val="0"/>
          <w:kern w:val="0"/>
          <w:sz w:val="32"/>
          <w:szCs w:val="32"/>
          <w:highlight w:val="none"/>
          <w:u w:val="none"/>
          <w:lang w:val="en-US" w:eastAsia="zh-CN"/>
        </w:rPr>
        <w:t>10.7</w:t>
      </w:r>
      <w:r>
        <w:rPr>
          <w:rFonts w:hint="eastAsia" w:ascii="仿宋_GB2312"/>
          <w:snapToGrid w:val="0"/>
          <w:kern w:val="0"/>
          <w:sz w:val="32"/>
          <w:szCs w:val="32"/>
          <w:highlight w:val="none"/>
          <w:u w:val="none"/>
        </w:rPr>
        <w:t>%，Ⅴ类水质的断面比例</w:t>
      </w:r>
      <w:r>
        <w:rPr>
          <w:rFonts w:hint="eastAsia" w:ascii="仿宋_GB2312"/>
          <w:snapToGrid w:val="0"/>
          <w:kern w:val="0"/>
          <w:sz w:val="32"/>
          <w:szCs w:val="32"/>
          <w:highlight w:val="none"/>
          <w:u w:val="none"/>
          <w:lang w:val="en-US" w:eastAsia="zh-CN"/>
        </w:rPr>
        <w:t>1.2</w:t>
      </w:r>
      <w:r>
        <w:rPr>
          <w:rFonts w:hint="eastAsia" w:ascii="仿宋_GB2312"/>
          <w:snapToGrid w:val="0"/>
          <w:kern w:val="0"/>
          <w:sz w:val="32"/>
          <w:szCs w:val="32"/>
          <w:highlight w:val="none"/>
          <w:u w:val="none"/>
        </w:rPr>
        <w:t>%，劣Ⅴ类水质的断面比例</w:t>
      </w:r>
      <w:r>
        <w:rPr>
          <w:rFonts w:hint="eastAsia" w:ascii="仿宋_GB2312"/>
          <w:snapToGrid w:val="0"/>
          <w:kern w:val="0"/>
          <w:sz w:val="32"/>
          <w:szCs w:val="32"/>
          <w:highlight w:val="none"/>
          <w:u w:val="none"/>
          <w:lang w:val="en-US" w:eastAsia="zh-CN"/>
        </w:rPr>
        <w:t>1.2</w:t>
      </w:r>
      <w:r>
        <w:rPr>
          <w:rFonts w:hint="eastAsia" w:ascii="仿宋_GB2312"/>
          <w:snapToGrid w:val="0"/>
          <w:kern w:val="0"/>
          <w:sz w:val="32"/>
          <w:szCs w:val="32"/>
          <w:highlight w:val="none"/>
          <w:u w:val="none"/>
        </w:rPr>
        <w:t>%。全省近岸海域海水质量达到一类海水水质标准的海域面积占</w:t>
      </w:r>
      <w:r>
        <w:rPr>
          <w:rFonts w:hint="eastAsia" w:ascii="仿宋_GB2312"/>
          <w:snapToGrid w:val="0"/>
          <w:kern w:val="0"/>
          <w:sz w:val="32"/>
          <w:szCs w:val="32"/>
          <w:highlight w:val="none"/>
          <w:u w:val="none"/>
          <w:lang w:val="en-US" w:eastAsia="zh-CN"/>
        </w:rPr>
        <w:t>78.4</w:t>
      </w:r>
      <w:r>
        <w:rPr>
          <w:rFonts w:hint="eastAsia" w:ascii="仿宋_GB2312"/>
          <w:snapToGrid w:val="0"/>
          <w:kern w:val="0"/>
          <w:sz w:val="32"/>
          <w:szCs w:val="32"/>
          <w:highlight w:val="none"/>
          <w:u w:val="none"/>
        </w:rPr>
        <w:t>%</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二类海水占</w:t>
      </w:r>
      <w:r>
        <w:rPr>
          <w:rFonts w:hint="eastAsia" w:ascii="仿宋_GB2312"/>
          <w:snapToGrid w:val="0"/>
          <w:kern w:val="0"/>
          <w:sz w:val="32"/>
          <w:szCs w:val="32"/>
          <w:highlight w:val="none"/>
          <w:u w:val="none"/>
          <w:lang w:val="en-US" w:eastAsia="zh-CN"/>
        </w:rPr>
        <w:t>11.8</w:t>
      </w:r>
      <w:r>
        <w:rPr>
          <w:rFonts w:hint="eastAsia" w:ascii="仿宋_GB2312"/>
          <w:snapToGrid w:val="0"/>
          <w:kern w:val="0"/>
          <w:sz w:val="32"/>
          <w:szCs w:val="32"/>
          <w:highlight w:val="none"/>
          <w:u w:val="none"/>
        </w:rPr>
        <w:t>%</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三类海水占</w:t>
      </w:r>
      <w:r>
        <w:rPr>
          <w:rFonts w:hint="eastAsia" w:ascii="仿宋_GB2312"/>
          <w:snapToGrid w:val="0"/>
          <w:kern w:val="0"/>
          <w:sz w:val="32"/>
          <w:szCs w:val="32"/>
          <w:highlight w:val="none"/>
          <w:u w:val="none"/>
          <w:lang w:val="en-US" w:eastAsia="zh-CN"/>
        </w:rPr>
        <w:t>3.0</w:t>
      </w:r>
      <w:r>
        <w:rPr>
          <w:rFonts w:hint="eastAsia" w:ascii="仿宋_GB2312"/>
          <w:snapToGrid w:val="0"/>
          <w:kern w:val="0"/>
          <w:sz w:val="32"/>
          <w:szCs w:val="32"/>
          <w:highlight w:val="none"/>
          <w:u w:val="none"/>
        </w:rPr>
        <w:t>%</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四类海水占</w:t>
      </w:r>
      <w:r>
        <w:rPr>
          <w:rFonts w:hint="eastAsia" w:ascii="仿宋_GB2312"/>
          <w:snapToGrid w:val="0"/>
          <w:kern w:val="0"/>
          <w:sz w:val="32"/>
          <w:szCs w:val="32"/>
          <w:highlight w:val="none"/>
          <w:u w:val="none"/>
          <w:lang w:val="en-US" w:eastAsia="zh-CN"/>
        </w:rPr>
        <w:t>1.4</w:t>
      </w:r>
      <w:r>
        <w:rPr>
          <w:rFonts w:hint="eastAsia" w:ascii="仿宋_GB2312"/>
          <w:snapToGrid w:val="0"/>
          <w:kern w:val="0"/>
          <w:sz w:val="32"/>
          <w:szCs w:val="32"/>
          <w:highlight w:val="none"/>
          <w:u w:val="none"/>
        </w:rPr>
        <w:t>%</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劣四类海水占</w:t>
      </w:r>
      <w:r>
        <w:rPr>
          <w:rFonts w:hint="eastAsia" w:ascii="仿宋_GB2312"/>
          <w:snapToGrid w:val="0"/>
          <w:kern w:val="0"/>
          <w:sz w:val="32"/>
          <w:szCs w:val="32"/>
          <w:highlight w:val="none"/>
          <w:u w:val="none"/>
          <w:lang w:val="en-US" w:eastAsia="zh-CN"/>
        </w:rPr>
        <w:t>5.4</w:t>
      </w:r>
      <w:r>
        <w:rPr>
          <w:rFonts w:hint="eastAsia" w:ascii="仿宋_GB2312"/>
          <w:snapToGrid w:val="0"/>
          <w:kern w:val="0"/>
          <w:sz w:val="32"/>
          <w:szCs w:val="32"/>
          <w:highlight w:val="none"/>
          <w:u w:val="none"/>
        </w:rPr>
        <w:t>%。</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全省平均灰霾天气日数</w:t>
      </w:r>
      <w:r>
        <w:rPr>
          <w:rFonts w:hint="eastAsia" w:ascii="仿宋_GB2312"/>
          <w:snapToGrid w:val="0"/>
          <w:kern w:val="0"/>
          <w:sz w:val="32"/>
          <w:szCs w:val="32"/>
          <w:highlight w:val="none"/>
          <w:u w:val="none"/>
          <w:lang w:val="en-US" w:eastAsia="zh-CN"/>
        </w:rPr>
        <w:t>15.0</w:t>
      </w:r>
      <w:r>
        <w:rPr>
          <w:rFonts w:hint="eastAsia" w:ascii="仿宋_GB2312"/>
          <w:snapToGrid w:val="0"/>
          <w:kern w:val="0"/>
          <w:sz w:val="32"/>
          <w:szCs w:val="32"/>
          <w:highlight w:val="none"/>
          <w:u w:val="none"/>
        </w:rPr>
        <w:t>天，比上年</w:t>
      </w:r>
      <w:r>
        <w:rPr>
          <w:rFonts w:hint="eastAsia" w:ascii="仿宋_GB2312"/>
          <w:snapToGrid w:val="0"/>
          <w:kern w:val="0"/>
          <w:sz w:val="32"/>
          <w:szCs w:val="32"/>
          <w:highlight w:val="none"/>
          <w:u w:val="none"/>
          <w:lang w:eastAsia="zh-CN"/>
        </w:rPr>
        <w:t>多</w:t>
      </w:r>
      <w:r>
        <w:rPr>
          <w:rFonts w:hint="eastAsia" w:ascii="仿宋_GB2312"/>
          <w:snapToGrid w:val="0"/>
          <w:kern w:val="0"/>
          <w:sz w:val="32"/>
          <w:szCs w:val="32"/>
          <w:highlight w:val="none"/>
          <w:u w:val="none"/>
          <w:lang w:val="en-US" w:eastAsia="zh-CN"/>
        </w:rPr>
        <w:t>1.7</w:t>
      </w:r>
      <w:r>
        <w:rPr>
          <w:rFonts w:hint="eastAsia" w:ascii="仿宋_GB2312"/>
          <w:snapToGrid w:val="0"/>
          <w:kern w:val="0"/>
          <w:sz w:val="32"/>
          <w:szCs w:val="32"/>
          <w:highlight w:val="none"/>
          <w:u w:val="none"/>
        </w:rPr>
        <w:t>天；全年日照时数</w:t>
      </w:r>
      <w:r>
        <w:rPr>
          <w:rFonts w:hint="eastAsia" w:ascii="仿宋_GB2312"/>
          <w:snapToGrid w:val="0"/>
          <w:kern w:val="0"/>
          <w:sz w:val="32"/>
          <w:szCs w:val="32"/>
          <w:highlight w:val="none"/>
          <w:u w:val="none"/>
          <w:lang w:val="en-US" w:eastAsia="zh-CN"/>
        </w:rPr>
        <w:t>2058.8</w:t>
      </w:r>
      <w:r>
        <w:rPr>
          <w:rFonts w:hint="eastAsia" w:ascii="仿宋_GB2312"/>
          <w:snapToGrid w:val="0"/>
          <w:kern w:val="0"/>
          <w:sz w:val="32"/>
          <w:szCs w:val="32"/>
          <w:highlight w:val="none"/>
          <w:u w:val="none"/>
        </w:rPr>
        <w:t>小时，</w:t>
      </w:r>
      <w:r>
        <w:rPr>
          <w:rFonts w:hint="eastAsia" w:ascii="仿宋_GB2312"/>
          <w:snapToGrid w:val="0"/>
          <w:kern w:val="0"/>
          <w:sz w:val="32"/>
          <w:szCs w:val="32"/>
          <w:highlight w:val="none"/>
          <w:u w:val="none"/>
          <w:lang w:eastAsia="zh-CN"/>
        </w:rPr>
        <w:t>较常年偏多</w:t>
      </w:r>
      <w:r>
        <w:rPr>
          <w:rFonts w:hint="eastAsia" w:ascii="仿宋_GB2312"/>
          <w:snapToGrid w:val="0"/>
          <w:kern w:val="0"/>
          <w:sz w:val="32"/>
          <w:szCs w:val="32"/>
          <w:highlight w:val="none"/>
          <w:u w:val="none"/>
          <w:lang w:val="en-US" w:eastAsia="zh-CN"/>
        </w:rPr>
        <w:t>17.0%</w:t>
      </w:r>
      <w:r>
        <w:rPr>
          <w:rFonts w:hint="eastAsia" w:ascii="仿宋_GB2312"/>
          <w:snapToGrid w:val="0"/>
          <w:kern w:val="0"/>
          <w:sz w:val="32"/>
          <w:szCs w:val="32"/>
          <w:highlight w:val="none"/>
          <w:u w:val="none"/>
        </w:rPr>
        <w:t>。全省21个地级以上城市二氧化硫（SO</w:t>
      </w:r>
      <w:r>
        <w:rPr>
          <w:rFonts w:hint="eastAsia" w:ascii="仿宋_GB2312"/>
          <w:snapToGrid w:val="0"/>
          <w:kern w:val="0"/>
          <w:sz w:val="32"/>
          <w:szCs w:val="32"/>
          <w:highlight w:val="none"/>
          <w:u w:val="none"/>
          <w:vertAlign w:val="subscript"/>
        </w:rPr>
        <w:t>2</w:t>
      </w:r>
      <w:r>
        <w:rPr>
          <w:rFonts w:hint="eastAsia" w:ascii="仿宋_GB2312"/>
          <w:snapToGrid w:val="0"/>
          <w:kern w:val="0"/>
          <w:sz w:val="32"/>
          <w:szCs w:val="32"/>
          <w:highlight w:val="none"/>
          <w:u w:val="none"/>
        </w:rPr>
        <w:t>）、二氧化氮（NO</w:t>
      </w:r>
      <w:r>
        <w:rPr>
          <w:rFonts w:hint="eastAsia" w:ascii="仿宋_GB2312"/>
          <w:snapToGrid w:val="0"/>
          <w:kern w:val="0"/>
          <w:sz w:val="32"/>
          <w:szCs w:val="32"/>
          <w:highlight w:val="none"/>
          <w:u w:val="none"/>
          <w:vertAlign w:val="subscript"/>
        </w:rPr>
        <w:t>2</w:t>
      </w:r>
      <w:r>
        <w:rPr>
          <w:rFonts w:hint="eastAsia" w:ascii="仿宋_GB2312"/>
          <w:snapToGrid w:val="0"/>
          <w:kern w:val="0"/>
          <w:sz w:val="32"/>
          <w:szCs w:val="32"/>
          <w:highlight w:val="none"/>
          <w:u w:val="none"/>
        </w:rPr>
        <w:t>）、可吸入颗粒物（PM</w:t>
      </w:r>
      <w:r>
        <w:rPr>
          <w:rFonts w:hint="eastAsia" w:ascii="仿宋_GB2312"/>
          <w:snapToGrid w:val="0"/>
          <w:kern w:val="0"/>
          <w:sz w:val="32"/>
          <w:szCs w:val="32"/>
          <w:highlight w:val="none"/>
          <w:u w:val="none"/>
          <w:vertAlign w:val="subscript"/>
        </w:rPr>
        <w:t>10</w:t>
      </w:r>
      <w:r>
        <w:rPr>
          <w:rFonts w:hint="eastAsia" w:ascii="仿宋_GB2312"/>
          <w:snapToGrid w:val="0"/>
          <w:kern w:val="0"/>
          <w:sz w:val="32"/>
          <w:szCs w:val="32"/>
          <w:highlight w:val="none"/>
          <w:u w:val="none"/>
        </w:rPr>
        <w:t>）、细颗粒物（PM</w:t>
      </w:r>
      <w:r>
        <w:rPr>
          <w:rFonts w:hint="eastAsia" w:ascii="仿宋_GB2312"/>
          <w:snapToGrid w:val="0"/>
          <w:kern w:val="0"/>
          <w:sz w:val="32"/>
          <w:szCs w:val="32"/>
          <w:highlight w:val="none"/>
          <w:u w:val="none"/>
          <w:vertAlign w:val="subscript"/>
        </w:rPr>
        <w:t>2.5</w:t>
      </w:r>
      <w:r>
        <w:rPr>
          <w:rFonts w:hint="eastAsia" w:ascii="仿宋_GB2312"/>
          <w:snapToGrid w:val="0"/>
          <w:kern w:val="0"/>
          <w:sz w:val="32"/>
          <w:szCs w:val="32"/>
          <w:highlight w:val="none"/>
          <w:u w:val="none"/>
        </w:rPr>
        <w:t>）、臭氧（O</w:t>
      </w:r>
      <w:r>
        <w:rPr>
          <w:rFonts w:hint="eastAsia" w:ascii="仿宋_GB2312"/>
          <w:snapToGrid w:val="0"/>
          <w:kern w:val="0"/>
          <w:sz w:val="32"/>
          <w:szCs w:val="32"/>
          <w:highlight w:val="none"/>
          <w:u w:val="none"/>
          <w:vertAlign w:val="subscript"/>
          <w:lang w:val="en-US" w:eastAsia="zh-CN"/>
        </w:rPr>
        <w:t>3</w:t>
      </w:r>
      <w:r>
        <w:rPr>
          <w:rFonts w:hint="eastAsia" w:ascii="仿宋_GB2312"/>
          <w:snapToGrid w:val="0"/>
          <w:kern w:val="0"/>
          <w:sz w:val="32"/>
          <w:szCs w:val="32"/>
          <w:highlight w:val="none"/>
          <w:u w:val="none"/>
        </w:rPr>
        <w:t>日最大8小时均值第90百分位数）、一氧化碳（CO日均值第95百分位数）年</w:t>
      </w:r>
      <w:r>
        <w:rPr>
          <w:rFonts w:hint="eastAsia" w:ascii="仿宋_GB2312"/>
          <w:snapToGrid w:val="0"/>
          <w:kern w:val="0"/>
          <w:sz w:val="32"/>
          <w:szCs w:val="32"/>
          <w:highlight w:val="none"/>
          <w:u w:val="none"/>
          <w:lang w:eastAsia="zh-CN"/>
        </w:rPr>
        <w:t>平均</w:t>
      </w:r>
      <w:r>
        <w:rPr>
          <w:rFonts w:hint="eastAsia" w:ascii="仿宋_GB2312"/>
          <w:snapToGrid w:val="0"/>
          <w:kern w:val="0"/>
          <w:sz w:val="32"/>
          <w:szCs w:val="32"/>
          <w:highlight w:val="none"/>
          <w:u w:val="none"/>
        </w:rPr>
        <w:t>浓度分别为</w:t>
      </w:r>
      <w:r>
        <w:rPr>
          <w:rFonts w:hint="eastAsia" w:ascii="仿宋_GB2312"/>
          <w:snapToGrid w:val="0"/>
          <w:kern w:val="0"/>
          <w:sz w:val="32"/>
          <w:szCs w:val="32"/>
          <w:highlight w:val="none"/>
          <w:u w:val="none"/>
          <w:lang w:val="en-US" w:eastAsia="zh-CN"/>
        </w:rPr>
        <w:t>8</w:t>
      </w:r>
      <w:r>
        <w:rPr>
          <w:rFonts w:hint="eastAsia" w:ascii="仿宋_GB2312"/>
          <w:snapToGrid w:val="0"/>
          <w:kern w:val="0"/>
          <w:sz w:val="32"/>
          <w:szCs w:val="32"/>
          <w:highlight w:val="none"/>
          <w:u w:val="none"/>
        </w:rPr>
        <w:t>微克/立方米、</w:t>
      </w:r>
      <w:r>
        <w:rPr>
          <w:rFonts w:hint="eastAsia" w:ascii="仿宋_GB2312"/>
          <w:snapToGrid w:val="0"/>
          <w:kern w:val="0"/>
          <w:sz w:val="32"/>
          <w:szCs w:val="32"/>
          <w:highlight w:val="none"/>
          <w:u w:val="none"/>
          <w:lang w:val="en-US" w:eastAsia="zh-CN"/>
        </w:rPr>
        <w:t>22</w:t>
      </w:r>
      <w:r>
        <w:rPr>
          <w:rFonts w:hint="eastAsia" w:ascii="仿宋_GB2312"/>
          <w:snapToGrid w:val="0"/>
          <w:kern w:val="0"/>
          <w:sz w:val="32"/>
          <w:szCs w:val="32"/>
          <w:highlight w:val="none"/>
          <w:u w:val="none"/>
        </w:rPr>
        <w:t>微克/立方米、</w:t>
      </w:r>
      <w:r>
        <w:rPr>
          <w:rFonts w:hint="eastAsia" w:ascii="仿宋_GB2312"/>
          <w:snapToGrid w:val="0"/>
          <w:kern w:val="0"/>
          <w:sz w:val="32"/>
          <w:szCs w:val="32"/>
          <w:highlight w:val="none"/>
          <w:u w:val="none"/>
          <w:lang w:val="en-US" w:eastAsia="zh-CN"/>
        </w:rPr>
        <w:t>40</w:t>
      </w:r>
      <w:r>
        <w:rPr>
          <w:rFonts w:hint="eastAsia" w:ascii="仿宋_GB2312"/>
          <w:snapToGrid w:val="0"/>
          <w:kern w:val="0"/>
          <w:sz w:val="32"/>
          <w:szCs w:val="32"/>
          <w:highlight w:val="none"/>
          <w:u w:val="none"/>
        </w:rPr>
        <w:t>微克/立方米、</w:t>
      </w:r>
      <w:r>
        <w:rPr>
          <w:rFonts w:hint="eastAsia" w:ascii="仿宋_GB2312"/>
          <w:snapToGrid w:val="0"/>
          <w:kern w:val="0"/>
          <w:sz w:val="32"/>
          <w:szCs w:val="32"/>
          <w:highlight w:val="none"/>
          <w:u w:val="none"/>
          <w:lang w:val="en-US" w:eastAsia="zh-CN"/>
        </w:rPr>
        <w:t>22</w:t>
      </w:r>
      <w:r>
        <w:rPr>
          <w:rFonts w:hint="eastAsia" w:ascii="仿宋_GB2312"/>
          <w:snapToGrid w:val="0"/>
          <w:kern w:val="0"/>
          <w:sz w:val="32"/>
          <w:szCs w:val="32"/>
          <w:highlight w:val="none"/>
          <w:u w:val="none"/>
        </w:rPr>
        <w:t>微克/立方米、</w:t>
      </w:r>
      <w:r>
        <w:rPr>
          <w:rFonts w:hint="eastAsia" w:ascii="仿宋_GB2312"/>
          <w:snapToGrid w:val="0"/>
          <w:kern w:val="0"/>
          <w:sz w:val="32"/>
          <w:szCs w:val="32"/>
          <w:highlight w:val="none"/>
          <w:u w:val="none"/>
          <w:lang w:val="en-US" w:eastAsia="zh-CN"/>
        </w:rPr>
        <w:t>144</w:t>
      </w:r>
      <w:r>
        <w:rPr>
          <w:rFonts w:hint="eastAsia" w:ascii="仿宋_GB2312"/>
          <w:snapToGrid w:val="0"/>
          <w:kern w:val="0"/>
          <w:sz w:val="32"/>
          <w:szCs w:val="32"/>
          <w:highlight w:val="none"/>
          <w:u w:val="none"/>
        </w:rPr>
        <w:t>微克/立方米、</w:t>
      </w:r>
      <w:r>
        <w:rPr>
          <w:rFonts w:hint="eastAsia" w:ascii="仿宋_GB2312"/>
          <w:snapToGrid w:val="0"/>
          <w:kern w:val="0"/>
          <w:sz w:val="32"/>
          <w:szCs w:val="32"/>
          <w:highlight w:val="none"/>
          <w:u w:val="none"/>
          <w:lang w:val="en-US" w:eastAsia="zh-CN"/>
        </w:rPr>
        <w:t>0.9</w:t>
      </w:r>
      <w:r>
        <w:rPr>
          <w:rFonts w:hint="eastAsia" w:ascii="仿宋_GB2312"/>
          <w:snapToGrid w:val="0"/>
          <w:kern w:val="0"/>
          <w:sz w:val="32"/>
          <w:szCs w:val="32"/>
          <w:highlight w:val="none"/>
          <w:u w:val="none"/>
        </w:rPr>
        <w:t>毫克/立方米。</w:t>
      </w:r>
      <w:r>
        <w:rPr>
          <w:rFonts w:hint="eastAsia" w:ascii="仿宋_GB2312"/>
          <w:snapToGrid w:val="0"/>
          <w:kern w:val="0"/>
          <w:sz w:val="32"/>
          <w:szCs w:val="32"/>
          <w:highlight w:val="none"/>
          <w:u w:val="none"/>
          <w:lang w:val="en-US" w:eastAsia="zh-CN"/>
        </w:rPr>
        <w:t>21</w:t>
      </w:r>
      <w:r>
        <w:rPr>
          <w:rFonts w:hint="eastAsia" w:ascii="仿宋_GB2312"/>
          <w:snapToGrid w:val="0"/>
          <w:kern w:val="0"/>
          <w:sz w:val="32"/>
          <w:szCs w:val="32"/>
          <w:highlight w:val="none"/>
          <w:u w:val="none"/>
        </w:rPr>
        <w:t>个城市二氧化硫（SO</w:t>
      </w:r>
      <w:r>
        <w:rPr>
          <w:rFonts w:hint="eastAsia" w:ascii="仿宋_GB2312"/>
          <w:snapToGrid w:val="0"/>
          <w:kern w:val="0"/>
          <w:sz w:val="32"/>
          <w:szCs w:val="32"/>
          <w:highlight w:val="none"/>
          <w:u w:val="none"/>
          <w:vertAlign w:val="subscript"/>
        </w:rPr>
        <w:t>2</w:t>
      </w:r>
      <w:r>
        <w:rPr>
          <w:rFonts w:hint="eastAsia" w:ascii="仿宋_GB2312"/>
          <w:snapToGrid w:val="0"/>
          <w:kern w:val="0"/>
          <w:sz w:val="32"/>
          <w:szCs w:val="32"/>
          <w:highlight w:val="none"/>
          <w:u w:val="none"/>
        </w:rPr>
        <w:t>）年均值达到一级标准；</w:t>
      </w:r>
      <w:r>
        <w:rPr>
          <w:rFonts w:hint="eastAsia" w:ascii="仿宋_GB2312"/>
          <w:snapToGrid w:val="0"/>
          <w:kern w:val="0"/>
          <w:sz w:val="32"/>
          <w:szCs w:val="32"/>
          <w:highlight w:val="none"/>
          <w:u w:val="none"/>
          <w:lang w:val="en-US" w:eastAsia="zh-CN"/>
        </w:rPr>
        <w:t>21</w:t>
      </w:r>
      <w:r>
        <w:rPr>
          <w:rFonts w:hint="eastAsia" w:ascii="仿宋_GB2312"/>
          <w:snapToGrid w:val="0"/>
          <w:kern w:val="0"/>
          <w:sz w:val="32"/>
          <w:szCs w:val="32"/>
          <w:highlight w:val="none"/>
          <w:u w:val="none"/>
        </w:rPr>
        <w:t>个城市二氧化氮（NO</w:t>
      </w:r>
      <w:r>
        <w:rPr>
          <w:rFonts w:hint="eastAsia" w:ascii="仿宋_GB2312"/>
          <w:snapToGrid w:val="0"/>
          <w:kern w:val="0"/>
          <w:sz w:val="32"/>
          <w:szCs w:val="32"/>
          <w:highlight w:val="none"/>
          <w:u w:val="none"/>
          <w:vertAlign w:val="subscript"/>
          <w:lang w:val="en-US" w:eastAsia="zh-CN"/>
        </w:rPr>
        <w:t>2</w:t>
      </w:r>
      <w:r>
        <w:rPr>
          <w:rFonts w:hint="eastAsia" w:ascii="仿宋_GB2312"/>
          <w:snapToGrid w:val="0"/>
          <w:kern w:val="0"/>
          <w:sz w:val="32"/>
          <w:szCs w:val="32"/>
          <w:highlight w:val="none"/>
          <w:u w:val="none"/>
        </w:rPr>
        <w:t>）年均值达到</w:t>
      </w:r>
      <w:r>
        <w:rPr>
          <w:rFonts w:hint="eastAsia" w:ascii="仿宋_GB2312"/>
          <w:snapToGrid w:val="0"/>
          <w:kern w:val="0"/>
          <w:sz w:val="32"/>
          <w:szCs w:val="32"/>
          <w:highlight w:val="none"/>
          <w:u w:val="none"/>
          <w:lang w:eastAsia="zh-CN"/>
        </w:rPr>
        <w:t>二</w:t>
      </w:r>
      <w:r>
        <w:rPr>
          <w:rFonts w:hint="eastAsia" w:ascii="仿宋_GB2312"/>
          <w:snapToGrid w:val="0"/>
          <w:kern w:val="0"/>
          <w:sz w:val="32"/>
          <w:szCs w:val="32"/>
          <w:highlight w:val="none"/>
          <w:u w:val="none"/>
        </w:rPr>
        <w:t>级标准；</w:t>
      </w:r>
      <w:r>
        <w:rPr>
          <w:rFonts w:hint="eastAsia" w:ascii="仿宋_GB2312"/>
          <w:snapToGrid w:val="0"/>
          <w:kern w:val="0"/>
          <w:sz w:val="32"/>
          <w:szCs w:val="32"/>
          <w:highlight w:val="none"/>
          <w:u w:val="none"/>
          <w:lang w:val="en-US" w:eastAsia="zh-CN"/>
        </w:rPr>
        <w:t>21</w:t>
      </w:r>
      <w:r>
        <w:rPr>
          <w:rFonts w:hint="eastAsia" w:ascii="仿宋_GB2312"/>
          <w:snapToGrid w:val="0"/>
          <w:kern w:val="0"/>
          <w:sz w:val="32"/>
          <w:szCs w:val="32"/>
          <w:highlight w:val="none"/>
          <w:u w:val="none"/>
        </w:rPr>
        <w:t>个城市可吸入颗粒物（PM</w:t>
      </w:r>
      <w:r>
        <w:rPr>
          <w:rFonts w:hint="eastAsia" w:ascii="仿宋_GB2312"/>
          <w:snapToGrid w:val="0"/>
          <w:kern w:val="0"/>
          <w:sz w:val="32"/>
          <w:szCs w:val="32"/>
          <w:highlight w:val="none"/>
          <w:u w:val="none"/>
          <w:vertAlign w:val="subscript"/>
          <w:lang w:val="en-US" w:eastAsia="zh-CN"/>
        </w:rPr>
        <w:t>10</w:t>
      </w:r>
      <w:r>
        <w:rPr>
          <w:rFonts w:hint="eastAsia" w:ascii="仿宋_GB2312"/>
          <w:snapToGrid w:val="0"/>
          <w:kern w:val="0"/>
          <w:sz w:val="32"/>
          <w:szCs w:val="32"/>
          <w:highlight w:val="none"/>
          <w:u w:val="none"/>
        </w:rPr>
        <w:t>）年均值达到二级标准；</w:t>
      </w:r>
      <w:r>
        <w:rPr>
          <w:rFonts w:hint="eastAsia" w:ascii="仿宋_GB2312"/>
          <w:snapToGrid w:val="0"/>
          <w:kern w:val="0"/>
          <w:sz w:val="32"/>
          <w:szCs w:val="32"/>
          <w:highlight w:val="none"/>
          <w:u w:val="none"/>
          <w:lang w:val="en-US" w:eastAsia="zh-CN"/>
        </w:rPr>
        <w:t>21</w:t>
      </w:r>
      <w:r>
        <w:rPr>
          <w:rFonts w:hint="eastAsia" w:ascii="仿宋_GB2312"/>
          <w:snapToGrid w:val="0"/>
          <w:kern w:val="0"/>
          <w:sz w:val="32"/>
          <w:szCs w:val="32"/>
          <w:highlight w:val="none"/>
          <w:u w:val="none"/>
        </w:rPr>
        <w:t>个城市细颗粒物（PM</w:t>
      </w:r>
      <w:r>
        <w:rPr>
          <w:rFonts w:hint="eastAsia" w:ascii="仿宋_GB2312"/>
          <w:snapToGrid w:val="0"/>
          <w:kern w:val="0"/>
          <w:sz w:val="32"/>
          <w:szCs w:val="32"/>
          <w:highlight w:val="none"/>
          <w:u w:val="none"/>
          <w:vertAlign w:val="subscript"/>
          <w:lang w:val="en-US" w:eastAsia="zh-CN"/>
        </w:rPr>
        <w:t>2.5</w:t>
      </w:r>
      <w:r>
        <w:rPr>
          <w:rFonts w:hint="eastAsia" w:ascii="仿宋_GB2312"/>
          <w:snapToGrid w:val="0"/>
          <w:kern w:val="0"/>
          <w:sz w:val="32"/>
          <w:szCs w:val="32"/>
          <w:highlight w:val="none"/>
          <w:u w:val="none"/>
        </w:rPr>
        <w:t>）年均值达到二级标准；</w:t>
      </w:r>
      <w:r>
        <w:rPr>
          <w:rFonts w:hint="eastAsia" w:ascii="仿宋_GB2312"/>
          <w:snapToGrid w:val="0"/>
          <w:kern w:val="0"/>
          <w:sz w:val="32"/>
          <w:szCs w:val="32"/>
          <w:highlight w:val="none"/>
          <w:u w:val="none"/>
          <w:lang w:val="en-US" w:eastAsia="zh-CN"/>
        </w:rPr>
        <w:t>18</w:t>
      </w:r>
      <w:r>
        <w:rPr>
          <w:rFonts w:hint="eastAsia" w:ascii="仿宋_GB2312"/>
          <w:snapToGrid w:val="0"/>
          <w:kern w:val="0"/>
          <w:sz w:val="32"/>
          <w:szCs w:val="32"/>
          <w:highlight w:val="none"/>
          <w:u w:val="none"/>
        </w:rPr>
        <w:t>个城市臭氧（O</w:t>
      </w:r>
      <w:r>
        <w:rPr>
          <w:rFonts w:hint="eastAsia" w:ascii="仿宋_GB2312"/>
          <w:snapToGrid w:val="0"/>
          <w:kern w:val="0"/>
          <w:sz w:val="32"/>
          <w:szCs w:val="32"/>
          <w:highlight w:val="none"/>
          <w:u w:val="none"/>
          <w:vertAlign w:val="subscript"/>
          <w:lang w:val="en-US" w:eastAsia="zh-CN"/>
        </w:rPr>
        <w:t>3</w:t>
      </w:r>
      <w:r>
        <w:rPr>
          <w:rFonts w:hint="eastAsia" w:ascii="仿宋_GB2312"/>
          <w:snapToGrid w:val="0"/>
          <w:kern w:val="0"/>
          <w:sz w:val="32"/>
          <w:szCs w:val="32"/>
          <w:highlight w:val="none"/>
          <w:u w:val="none"/>
        </w:rPr>
        <w:t>日最大8小时均值第90百分位数）浓度达到二级标准；</w:t>
      </w:r>
      <w:r>
        <w:rPr>
          <w:rFonts w:hint="eastAsia" w:ascii="仿宋_GB2312"/>
          <w:snapToGrid w:val="0"/>
          <w:kern w:val="0"/>
          <w:sz w:val="32"/>
          <w:szCs w:val="32"/>
          <w:highlight w:val="none"/>
          <w:u w:val="none"/>
          <w:lang w:val="en-US" w:eastAsia="zh-CN"/>
        </w:rPr>
        <w:t>21</w:t>
      </w:r>
      <w:r>
        <w:rPr>
          <w:rFonts w:hint="eastAsia" w:ascii="仿宋_GB2312"/>
          <w:snapToGrid w:val="0"/>
          <w:kern w:val="0"/>
          <w:sz w:val="32"/>
          <w:szCs w:val="32"/>
          <w:highlight w:val="none"/>
          <w:u w:val="none"/>
        </w:rPr>
        <w:t>个城市一氧化碳（CO日均值第95百分位数）浓度达到一级标准。全省21个城市空气质量</w:t>
      </w:r>
      <w:r>
        <w:rPr>
          <w:rFonts w:hint="eastAsia" w:ascii="仿宋_GB2312"/>
          <w:snapToGrid w:val="0"/>
          <w:kern w:val="0"/>
          <w:sz w:val="32"/>
          <w:szCs w:val="32"/>
          <w:highlight w:val="none"/>
          <w:u w:val="none"/>
          <w:lang w:eastAsia="zh-CN"/>
        </w:rPr>
        <w:t>优良天数</w:t>
      </w:r>
      <w:r>
        <w:rPr>
          <w:rFonts w:hint="eastAsia" w:ascii="仿宋_GB2312"/>
          <w:snapToGrid w:val="0"/>
          <w:kern w:val="0"/>
          <w:sz w:val="32"/>
          <w:szCs w:val="32"/>
          <w:highlight w:val="none"/>
          <w:u w:val="none"/>
        </w:rPr>
        <w:t>比例平均为</w:t>
      </w:r>
      <w:r>
        <w:rPr>
          <w:rFonts w:hint="eastAsia" w:ascii="仿宋_GB2312"/>
          <w:snapToGrid w:val="0"/>
          <w:kern w:val="0"/>
          <w:sz w:val="32"/>
          <w:szCs w:val="32"/>
          <w:highlight w:val="none"/>
          <w:u w:val="none"/>
          <w:lang w:val="en-US" w:eastAsia="zh-CN"/>
        </w:rPr>
        <w:t>94.3</w:t>
      </w:r>
      <w:r>
        <w:rPr>
          <w:rFonts w:hint="eastAsia" w:ascii="仿宋_GB2312"/>
          <w:snapToGrid w:val="0"/>
          <w:kern w:val="0"/>
          <w:sz w:val="32"/>
          <w:szCs w:val="32"/>
          <w:highlight w:val="none"/>
          <w:u w:val="none"/>
        </w:rPr>
        <w:t>%</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rPr>
        <w:t>全省城市（县城）新增建成污水处理设施</w:t>
      </w:r>
      <w:r>
        <w:rPr>
          <w:rFonts w:hint="eastAsia" w:ascii="仿宋_GB2312"/>
          <w:snapToGrid w:val="0"/>
          <w:kern w:val="0"/>
          <w:sz w:val="32"/>
          <w:szCs w:val="32"/>
          <w:highlight w:val="none"/>
          <w:u w:val="none"/>
          <w:lang w:val="en-US" w:eastAsia="zh-CN"/>
        </w:rPr>
        <w:t>40</w:t>
      </w:r>
      <w:r>
        <w:rPr>
          <w:rFonts w:hint="eastAsia" w:ascii="仿宋_GB2312"/>
          <w:snapToGrid w:val="0"/>
          <w:kern w:val="0"/>
          <w:sz w:val="32"/>
          <w:szCs w:val="32"/>
          <w:highlight w:val="none"/>
          <w:u w:val="none"/>
        </w:rPr>
        <w:t>座</w:t>
      </w:r>
      <w:r>
        <w:rPr>
          <w:rFonts w:hint="eastAsia" w:ascii="仿宋_GB2312"/>
          <w:snapToGrid w:val="0"/>
          <w:kern w:val="0"/>
          <w:sz w:val="32"/>
          <w:szCs w:val="32"/>
          <w:highlight w:val="none"/>
          <w:u w:val="none"/>
          <w:lang w:eastAsia="zh-CN"/>
        </w:rPr>
        <w:t>，新增</w:t>
      </w:r>
      <w:r>
        <w:rPr>
          <w:rFonts w:hint="eastAsia" w:ascii="仿宋_GB2312"/>
          <w:snapToGrid w:val="0"/>
          <w:kern w:val="0"/>
          <w:sz w:val="32"/>
          <w:szCs w:val="32"/>
          <w:highlight w:val="none"/>
          <w:u w:val="none"/>
        </w:rPr>
        <w:t>处理能力</w:t>
      </w:r>
      <w:r>
        <w:rPr>
          <w:rFonts w:hint="eastAsia" w:ascii="仿宋_GB2312"/>
          <w:snapToGrid w:val="0"/>
          <w:kern w:val="0"/>
          <w:sz w:val="32"/>
          <w:szCs w:val="32"/>
          <w:highlight w:val="none"/>
          <w:u w:val="none"/>
          <w:lang w:val="en-US" w:eastAsia="zh-CN"/>
        </w:rPr>
        <w:t>190</w:t>
      </w:r>
      <w:r>
        <w:rPr>
          <w:rFonts w:hint="eastAsia" w:ascii="仿宋_GB2312"/>
          <w:snapToGrid w:val="0"/>
          <w:kern w:val="0"/>
          <w:sz w:val="32"/>
          <w:szCs w:val="32"/>
          <w:highlight w:val="none"/>
          <w:u w:val="none"/>
        </w:rPr>
        <w:t>万吨；城市生活垃圾无害化处理率</w:t>
      </w:r>
      <w:r>
        <w:rPr>
          <w:rFonts w:hint="eastAsia" w:ascii="仿宋_GB2312"/>
          <w:snapToGrid w:val="0"/>
          <w:kern w:val="0"/>
          <w:sz w:val="32"/>
          <w:szCs w:val="32"/>
          <w:highlight w:val="none"/>
          <w:u w:val="none"/>
          <w:lang w:val="en-US" w:eastAsia="zh-CN"/>
        </w:rPr>
        <w:t>99.95</w:t>
      </w:r>
      <w:r>
        <w:rPr>
          <w:rFonts w:hint="eastAsia" w:ascii="仿宋_GB2312"/>
          <w:snapToGrid w:val="0"/>
          <w:kern w:val="0"/>
          <w:sz w:val="32"/>
          <w:szCs w:val="32"/>
          <w:highlight w:val="none"/>
          <w:u w:val="none"/>
        </w:rPr>
        <w:t>%。</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全年农作物受灾面积</w:t>
      </w:r>
      <w:r>
        <w:rPr>
          <w:rFonts w:hint="eastAsia" w:ascii="仿宋_GB2312"/>
          <w:snapToGrid w:val="0"/>
          <w:kern w:val="0"/>
          <w:sz w:val="32"/>
          <w:szCs w:val="32"/>
          <w:highlight w:val="none"/>
          <w:u w:val="none"/>
          <w:lang w:val="en-US" w:eastAsia="zh-CN"/>
        </w:rPr>
        <w:t>77.24</w:t>
      </w:r>
      <w:r>
        <w:rPr>
          <w:rFonts w:hint="eastAsia" w:ascii="仿宋_GB2312"/>
          <w:snapToGrid w:val="0"/>
          <w:kern w:val="0"/>
          <w:sz w:val="32"/>
          <w:szCs w:val="32"/>
          <w:highlight w:val="none"/>
          <w:u w:val="none"/>
        </w:rPr>
        <w:t>千公顷，洪涝造成直接经济损失</w:t>
      </w:r>
      <w:r>
        <w:rPr>
          <w:rFonts w:hint="eastAsia" w:ascii="仿宋_GB2312"/>
          <w:snapToGrid w:val="0"/>
          <w:kern w:val="0"/>
          <w:sz w:val="32"/>
          <w:szCs w:val="32"/>
          <w:highlight w:val="none"/>
          <w:u w:val="none"/>
          <w:lang w:val="en-US" w:eastAsia="zh-CN"/>
        </w:rPr>
        <w:t>8.31</w:t>
      </w:r>
      <w:r>
        <w:rPr>
          <w:rFonts w:hint="eastAsia" w:ascii="仿宋_GB2312"/>
          <w:snapToGrid w:val="0"/>
          <w:kern w:val="0"/>
          <w:sz w:val="32"/>
          <w:szCs w:val="32"/>
          <w:highlight w:val="none"/>
          <w:u w:val="none"/>
        </w:rPr>
        <w:t>亿元。全省近岸海域监测到赤潮</w:t>
      </w:r>
      <w:r>
        <w:rPr>
          <w:rFonts w:hint="eastAsia" w:ascii="仿宋_GB2312"/>
          <w:snapToGrid w:val="0"/>
          <w:kern w:val="0"/>
          <w:sz w:val="32"/>
          <w:szCs w:val="32"/>
          <w:highlight w:val="none"/>
          <w:u w:val="none"/>
          <w:lang w:val="en-US" w:eastAsia="zh-CN"/>
        </w:rPr>
        <w:t>14</w:t>
      </w:r>
      <w:r>
        <w:rPr>
          <w:rFonts w:hint="eastAsia" w:ascii="仿宋_GB2312"/>
          <w:snapToGrid w:val="0"/>
          <w:kern w:val="0"/>
          <w:sz w:val="32"/>
          <w:szCs w:val="32"/>
          <w:highlight w:val="none"/>
          <w:u w:val="none"/>
        </w:rPr>
        <w:t>次，</w:t>
      </w:r>
      <w:r>
        <w:rPr>
          <w:rFonts w:hint="eastAsia" w:ascii="仿宋_GB2312"/>
          <w:snapToGrid w:val="0"/>
          <w:kern w:val="0"/>
          <w:sz w:val="32"/>
          <w:szCs w:val="32"/>
          <w:highlight w:val="none"/>
          <w:u w:val="none"/>
          <w:lang w:eastAsia="zh-CN"/>
        </w:rPr>
        <w:t>赤潮</w:t>
      </w:r>
      <w:r>
        <w:rPr>
          <w:rFonts w:hint="eastAsia" w:ascii="仿宋_GB2312"/>
          <w:snapToGrid w:val="0"/>
          <w:kern w:val="0"/>
          <w:sz w:val="32"/>
          <w:szCs w:val="32"/>
          <w:highlight w:val="none"/>
          <w:u w:val="none"/>
        </w:rPr>
        <w:t>面积累计约</w:t>
      </w:r>
      <w:r>
        <w:rPr>
          <w:rFonts w:hint="eastAsia" w:ascii="仿宋_GB2312"/>
          <w:snapToGrid w:val="0"/>
          <w:kern w:val="0"/>
          <w:sz w:val="32"/>
          <w:szCs w:val="32"/>
          <w:highlight w:val="none"/>
          <w:u w:val="none"/>
          <w:lang w:val="en-US" w:eastAsia="zh-CN"/>
        </w:rPr>
        <w:t>194.3</w:t>
      </w:r>
      <w:r>
        <w:rPr>
          <w:rFonts w:hint="eastAsia" w:ascii="仿宋_GB2312"/>
          <w:snapToGrid w:val="0"/>
          <w:kern w:val="0"/>
          <w:sz w:val="32"/>
          <w:szCs w:val="32"/>
          <w:highlight w:val="none"/>
          <w:u w:val="none"/>
        </w:rPr>
        <w:t>平方公里。发生各类地质灾害</w:t>
      </w:r>
      <w:r>
        <w:rPr>
          <w:rFonts w:hint="eastAsia" w:ascii="仿宋_GB2312"/>
          <w:snapToGrid w:val="0"/>
          <w:kern w:val="0"/>
          <w:sz w:val="32"/>
          <w:szCs w:val="32"/>
          <w:highlight w:val="none"/>
          <w:u w:val="none"/>
          <w:lang w:val="en-US" w:eastAsia="zh-CN"/>
        </w:rPr>
        <w:t>3</w:t>
      </w:r>
      <w:r>
        <w:rPr>
          <w:rFonts w:hint="eastAsia" w:ascii="仿宋_GB2312"/>
          <w:snapToGrid w:val="0"/>
          <w:kern w:val="0"/>
          <w:sz w:val="32"/>
          <w:szCs w:val="32"/>
          <w:highlight w:val="none"/>
          <w:u w:val="none"/>
        </w:rPr>
        <w:t>起，</w:t>
      </w:r>
      <w:r>
        <w:rPr>
          <w:rFonts w:hint="eastAsia" w:ascii="仿宋_GB2312"/>
          <w:snapToGrid w:val="0"/>
          <w:kern w:val="0"/>
          <w:sz w:val="32"/>
          <w:szCs w:val="32"/>
          <w:highlight w:val="none"/>
          <w:u w:val="none"/>
          <w:lang w:eastAsia="zh-CN"/>
        </w:rPr>
        <w:t>未造成人员伤亡</w:t>
      </w:r>
      <w:r>
        <w:rPr>
          <w:rFonts w:hint="eastAsia" w:ascii="仿宋_GB2312"/>
          <w:snapToGrid w:val="0"/>
          <w:kern w:val="0"/>
          <w:sz w:val="32"/>
          <w:szCs w:val="32"/>
          <w:highlight w:val="none"/>
          <w:u w:val="none"/>
        </w:rPr>
        <w:t>，直接经济损失</w:t>
      </w:r>
      <w:r>
        <w:rPr>
          <w:rFonts w:hint="eastAsia" w:ascii="仿宋_GB2312"/>
          <w:snapToGrid w:val="0"/>
          <w:kern w:val="0"/>
          <w:sz w:val="32"/>
          <w:szCs w:val="32"/>
          <w:highlight w:val="none"/>
          <w:u w:val="none"/>
          <w:lang w:eastAsia="zh-CN"/>
        </w:rPr>
        <w:t>约</w:t>
      </w:r>
      <w:r>
        <w:rPr>
          <w:rFonts w:hint="eastAsia" w:ascii="仿宋_GB2312"/>
          <w:snapToGrid w:val="0"/>
          <w:kern w:val="0"/>
          <w:sz w:val="32"/>
          <w:szCs w:val="32"/>
          <w:highlight w:val="none"/>
          <w:u w:val="none"/>
          <w:lang w:val="en-US" w:eastAsia="zh-CN"/>
        </w:rPr>
        <w:t>12</w:t>
      </w:r>
      <w:r>
        <w:rPr>
          <w:rFonts w:hint="eastAsia" w:ascii="仿宋_GB2312"/>
          <w:snapToGrid w:val="0"/>
          <w:kern w:val="0"/>
          <w:sz w:val="32"/>
          <w:szCs w:val="32"/>
          <w:highlight w:val="none"/>
          <w:u w:val="none"/>
        </w:rPr>
        <w:t>万元。</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lang w:val="en-US" w:eastAsia="zh-CN"/>
        </w:rPr>
        <w:t>全年完成人工造林1.33万公顷，当年新封山育林6.72万公顷，退化林修复2.34万公顷，人工更新2.44万公顷，中幼林抚育12.39万公顷。全省森林覆盖率58.74%。</w:t>
      </w:r>
      <w:r>
        <w:rPr>
          <w:rFonts w:hint="eastAsia" w:ascii="仿宋_GB2312"/>
          <w:snapToGrid w:val="0"/>
          <w:kern w:val="0"/>
          <w:sz w:val="32"/>
          <w:szCs w:val="32"/>
          <w:highlight w:val="none"/>
          <w:u w:val="none"/>
        </w:rPr>
        <w:t>全省有国家级自然保护区</w:t>
      </w:r>
      <w:r>
        <w:rPr>
          <w:rFonts w:hint="eastAsia" w:ascii="仿宋_GB2312"/>
          <w:snapToGrid w:val="0"/>
          <w:kern w:val="0"/>
          <w:sz w:val="32"/>
          <w:szCs w:val="32"/>
          <w:highlight w:val="none"/>
          <w:u w:val="none"/>
          <w:lang w:val="en-US" w:eastAsia="zh-CN"/>
        </w:rPr>
        <w:t>15</w:t>
      </w:r>
      <w:r>
        <w:rPr>
          <w:rFonts w:hint="eastAsia" w:ascii="仿宋_GB2312"/>
          <w:snapToGrid w:val="0"/>
          <w:kern w:val="0"/>
          <w:sz w:val="32"/>
          <w:szCs w:val="32"/>
          <w:highlight w:val="none"/>
          <w:u w:val="none"/>
        </w:rPr>
        <w:t>个，国家级自然保护区面积</w:t>
      </w:r>
      <w:r>
        <w:rPr>
          <w:rFonts w:hint="eastAsia" w:ascii="仿宋_GB2312"/>
          <w:snapToGrid w:val="0"/>
          <w:kern w:val="0"/>
          <w:sz w:val="32"/>
          <w:szCs w:val="32"/>
          <w:highlight w:val="none"/>
          <w:u w:val="none"/>
          <w:lang w:val="en-US" w:eastAsia="zh-CN"/>
        </w:rPr>
        <w:t>33.66</w:t>
      </w:r>
      <w:r>
        <w:rPr>
          <w:rFonts w:hint="eastAsia" w:ascii="仿宋_GB2312"/>
          <w:snapToGrid w:val="0"/>
          <w:kern w:val="0"/>
          <w:sz w:val="32"/>
          <w:szCs w:val="32"/>
          <w:highlight w:val="none"/>
          <w:u w:val="none"/>
        </w:rPr>
        <w:t>万公顷；国家</w:t>
      </w:r>
      <w:r>
        <w:rPr>
          <w:rFonts w:hint="eastAsia" w:ascii="仿宋_GB2312"/>
          <w:snapToGrid w:val="0"/>
          <w:kern w:val="0"/>
          <w:sz w:val="32"/>
          <w:szCs w:val="32"/>
          <w:highlight w:val="none"/>
          <w:u w:val="none"/>
          <w:lang w:eastAsia="zh-CN"/>
        </w:rPr>
        <w:t>级</w:t>
      </w:r>
      <w:r>
        <w:rPr>
          <w:rFonts w:hint="eastAsia" w:ascii="仿宋_GB2312"/>
          <w:snapToGrid w:val="0"/>
          <w:kern w:val="0"/>
          <w:sz w:val="32"/>
          <w:szCs w:val="32"/>
          <w:highlight w:val="none"/>
          <w:u w:val="none"/>
        </w:rPr>
        <w:t>地质公园</w:t>
      </w:r>
      <w:r>
        <w:rPr>
          <w:rFonts w:hint="eastAsia" w:ascii="仿宋_GB2312"/>
          <w:snapToGrid w:val="0"/>
          <w:kern w:val="0"/>
          <w:sz w:val="32"/>
          <w:szCs w:val="32"/>
          <w:highlight w:val="none"/>
          <w:u w:val="none"/>
          <w:lang w:val="en-US" w:eastAsia="zh-CN"/>
        </w:rPr>
        <w:t>11</w:t>
      </w:r>
      <w:r>
        <w:rPr>
          <w:rFonts w:hint="eastAsia" w:ascii="仿宋_GB2312"/>
          <w:snapToGrid w:val="0"/>
          <w:kern w:val="0"/>
          <w:sz w:val="32"/>
          <w:szCs w:val="32"/>
          <w:highlight w:val="none"/>
          <w:u w:val="none"/>
        </w:rPr>
        <w:t>个，面积</w:t>
      </w:r>
      <w:r>
        <w:rPr>
          <w:rFonts w:hint="eastAsia" w:ascii="仿宋_GB2312"/>
          <w:snapToGrid w:val="0"/>
          <w:kern w:val="0"/>
          <w:sz w:val="32"/>
          <w:szCs w:val="32"/>
          <w:highlight w:val="none"/>
          <w:u w:val="none"/>
          <w:lang w:val="en-US" w:eastAsia="zh-CN"/>
        </w:rPr>
        <w:t>10.96</w:t>
      </w:r>
      <w:r>
        <w:rPr>
          <w:rFonts w:hint="eastAsia" w:ascii="仿宋_GB2312"/>
          <w:snapToGrid w:val="0"/>
          <w:kern w:val="0"/>
          <w:sz w:val="32"/>
          <w:szCs w:val="32"/>
          <w:highlight w:val="none"/>
          <w:u w:val="none"/>
        </w:rPr>
        <w:t>万公顷；省级以上地质遗迹</w:t>
      </w:r>
      <w:r>
        <w:rPr>
          <w:rFonts w:hint="eastAsia" w:ascii="仿宋_GB2312"/>
          <w:snapToGrid w:val="0"/>
          <w:kern w:val="0"/>
          <w:sz w:val="32"/>
          <w:szCs w:val="32"/>
          <w:highlight w:val="none"/>
          <w:u w:val="none"/>
          <w:lang w:eastAsia="zh-CN"/>
        </w:rPr>
        <w:t>类自然</w:t>
      </w:r>
      <w:r>
        <w:rPr>
          <w:rFonts w:hint="eastAsia" w:ascii="仿宋_GB2312"/>
          <w:snapToGrid w:val="0"/>
          <w:kern w:val="0"/>
          <w:sz w:val="32"/>
          <w:szCs w:val="32"/>
          <w:highlight w:val="none"/>
          <w:u w:val="none"/>
        </w:rPr>
        <w:t>保护区</w:t>
      </w:r>
      <w:r>
        <w:rPr>
          <w:rFonts w:hint="eastAsia" w:ascii="仿宋_GB2312"/>
          <w:snapToGrid w:val="0"/>
          <w:kern w:val="0"/>
          <w:sz w:val="32"/>
          <w:szCs w:val="32"/>
          <w:highlight w:val="none"/>
          <w:u w:val="none"/>
          <w:lang w:val="en-US" w:eastAsia="zh-CN"/>
        </w:rPr>
        <w:t>6</w:t>
      </w:r>
      <w:r>
        <w:rPr>
          <w:rFonts w:hint="eastAsia" w:ascii="仿宋_GB2312"/>
          <w:snapToGrid w:val="0"/>
          <w:kern w:val="0"/>
          <w:sz w:val="32"/>
          <w:szCs w:val="32"/>
          <w:highlight w:val="none"/>
          <w:u w:val="none"/>
        </w:rPr>
        <w:t>个，面积</w:t>
      </w:r>
      <w:r>
        <w:rPr>
          <w:rFonts w:hint="eastAsia" w:ascii="仿宋_GB2312"/>
          <w:snapToGrid w:val="0"/>
          <w:kern w:val="0"/>
          <w:sz w:val="32"/>
          <w:szCs w:val="32"/>
          <w:highlight w:val="none"/>
          <w:u w:val="none"/>
          <w:lang w:val="en-US" w:eastAsia="zh-CN"/>
        </w:rPr>
        <w:t>3.72</w:t>
      </w:r>
      <w:r>
        <w:rPr>
          <w:rFonts w:hint="eastAsia" w:ascii="仿宋_GB2312"/>
          <w:snapToGrid w:val="0"/>
          <w:kern w:val="0"/>
          <w:sz w:val="32"/>
          <w:szCs w:val="32"/>
          <w:highlight w:val="none"/>
          <w:u w:val="none"/>
        </w:rPr>
        <w:t>万公顷。</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both"/>
        <w:textAlignment w:val="auto"/>
        <w:outlineLvl w:val="9"/>
        <w:rPr>
          <w:rFonts w:hint="eastAsia" w:ascii="仿宋_GB2312"/>
          <w:snapToGrid w:val="0"/>
          <w:kern w:val="0"/>
          <w:sz w:val="32"/>
          <w:szCs w:val="32"/>
          <w:highlight w:val="none"/>
          <w:u w:val="none"/>
        </w:rPr>
      </w:pPr>
      <w:r>
        <w:rPr>
          <w:rFonts w:hint="eastAsia" w:ascii="仿宋_GB2312"/>
          <w:snapToGrid w:val="0"/>
          <w:kern w:val="0"/>
          <w:sz w:val="32"/>
          <w:szCs w:val="32"/>
          <w:highlight w:val="none"/>
          <w:u w:val="none"/>
        </w:rPr>
        <w:t>全年发生生产安全事故</w:t>
      </w:r>
      <w:r>
        <w:rPr>
          <w:rFonts w:hint="eastAsia" w:ascii="仿宋_GB2312"/>
          <w:snapToGrid w:val="0"/>
          <w:kern w:val="0"/>
          <w:sz w:val="32"/>
          <w:szCs w:val="32"/>
          <w:highlight w:val="none"/>
          <w:u w:val="none"/>
          <w:lang w:val="en-US" w:eastAsia="zh-CN"/>
        </w:rPr>
        <w:t>3124</w:t>
      </w:r>
      <w:r>
        <w:rPr>
          <w:rFonts w:hint="eastAsia" w:ascii="仿宋_GB2312"/>
          <w:snapToGrid w:val="0"/>
          <w:kern w:val="0"/>
          <w:sz w:val="32"/>
          <w:szCs w:val="32"/>
          <w:highlight w:val="none"/>
          <w:u w:val="none"/>
        </w:rPr>
        <w:t>起，死亡</w:t>
      </w:r>
      <w:r>
        <w:rPr>
          <w:rFonts w:hint="eastAsia" w:ascii="仿宋_GB2312"/>
          <w:snapToGrid w:val="0"/>
          <w:kern w:val="0"/>
          <w:sz w:val="32"/>
          <w:szCs w:val="32"/>
          <w:highlight w:val="none"/>
          <w:u w:val="none"/>
          <w:lang w:val="en-US" w:eastAsia="zh-CN"/>
        </w:rPr>
        <w:t>2317</w:t>
      </w:r>
      <w:r>
        <w:rPr>
          <w:rFonts w:hint="eastAsia" w:ascii="仿宋_GB2312"/>
          <w:snapToGrid w:val="0"/>
          <w:kern w:val="0"/>
          <w:sz w:val="32"/>
          <w:szCs w:val="32"/>
          <w:highlight w:val="none"/>
          <w:u w:val="none"/>
        </w:rPr>
        <w:t>人，受伤</w:t>
      </w:r>
      <w:r>
        <w:rPr>
          <w:rFonts w:hint="eastAsia" w:ascii="仿宋_GB2312"/>
          <w:snapToGrid w:val="0"/>
          <w:kern w:val="0"/>
          <w:sz w:val="32"/>
          <w:szCs w:val="32"/>
          <w:highlight w:val="none"/>
          <w:u w:val="none"/>
          <w:lang w:val="en-US" w:eastAsia="zh-CN"/>
        </w:rPr>
        <w:t>1843</w:t>
      </w:r>
      <w:r>
        <w:rPr>
          <w:rFonts w:hint="eastAsia" w:ascii="仿宋_GB2312"/>
          <w:snapToGrid w:val="0"/>
          <w:kern w:val="0"/>
          <w:sz w:val="32"/>
          <w:szCs w:val="32"/>
          <w:highlight w:val="none"/>
          <w:u w:val="none"/>
        </w:rPr>
        <w:t>人，直接经济损失</w:t>
      </w:r>
      <w:r>
        <w:rPr>
          <w:rFonts w:hint="eastAsia" w:ascii="仿宋_GB2312"/>
          <w:snapToGrid w:val="0"/>
          <w:kern w:val="0"/>
          <w:sz w:val="32"/>
          <w:szCs w:val="32"/>
          <w:highlight w:val="none"/>
          <w:u w:val="none"/>
          <w:lang w:val="en-US" w:eastAsia="zh-CN"/>
        </w:rPr>
        <w:t>41448.4</w:t>
      </w:r>
      <w:r>
        <w:rPr>
          <w:rFonts w:hint="eastAsia" w:ascii="仿宋_GB2312"/>
          <w:snapToGrid w:val="0"/>
          <w:kern w:val="0"/>
          <w:sz w:val="32"/>
          <w:szCs w:val="32"/>
          <w:highlight w:val="none"/>
          <w:u w:val="none"/>
        </w:rPr>
        <w:t>万元</w:t>
      </w:r>
      <w:r>
        <w:rPr>
          <w:rFonts w:hint="eastAsia" w:ascii="仿宋_GB2312"/>
          <w:snapToGrid w:val="0"/>
          <w:kern w:val="0"/>
          <w:sz w:val="32"/>
          <w:szCs w:val="32"/>
          <w:highlight w:val="none"/>
          <w:u w:val="none"/>
          <w:lang w:eastAsia="zh-CN"/>
        </w:rPr>
        <w:t>；</w:t>
      </w:r>
      <w:r>
        <w:rPr>
          <w:rFonts w:hint="eastAsia" w:ascii="仿宋_GB2312"/>
          <w:snapToGrid w:val="0"/>
          <w:kern w:val="0"/>
          <w:sz w:val="32"/>
          <w:szCs w:val="32"/>
          <w:highlight w:val="none"/>
          <w:u w:val="none"/>
          <w:lang w:val="en-US" w:eastAsia="zh-CN"/>
        </w:rPr>
        <w:t>其中，较大事故26起、死亡93人，重大事故1起、死亡14人，未发生特别重大事故</w:t>
      </w:r>
      <w:r>
        <w:rPr>
          <w:rFonts w:hint="eastAsia" w:ascii="仿宋_GB2312"/>
          <w:snapToGrid w:val="0"/>
          <w:kern w:val="0"/>
          <w:sz w:val="32"/>
          <w:szCs w:val="32"/>
          <w:highlight w:val="none"/>
          <w:u w:val="none"/>
        </w:rPr>
        <w:t>。全年发生道路交通事故</w:t>
      </w:r>
      <w:r>
        <w:rPr>
          <w:rFonts w:hint="eastAsia" w:ascii="仿宋_GB2312"/>
          <w:snapToGrid w:val="0"/>
          <w:kern w:val="0"/>
          <w:sz w:val="32"/>
          <w:szCs w:val="32"/>
          <w:highlight w:val="none"/>
          <w:u w:val="none"/>
          <w:lang w:val="en-US" w:eastAsia="zh-CN"/>
        </w:rPr>
        <w:t>48206</w:t>
      </w:r>
      <w:r>
        <w:rPr>
          <w:rFonts w:hint="eastAsia" w:ascii="仿宋_GB2312"/>
          <w:snapToGrid w:val="0"/>
          <w:kern w:val="0"/>
          <w:sz w:val="32"/>
          <w:szCs w:val="32"/>
          <w:highlight w:val="none"/>
          <w:u w:val="none"/>
        </w:rPr>
        <w:t>起，比上年</w:t>
      </w:r>
      <w:r>
        <w:rPr>
          <w:rFonts w:hint="eastAsia" w:ascii="仿宋_GB2312"/>
          <w:snapToGrid w:val="0"/>
          <w:kern w:val="0"/>
          <w:sz w:val="32"/>
          <w:szCs w:val="32"/>
          <w:highlight w:val="none"/>
          <w:u w:val="none"/>
          <w:lang w:eastAsia="zh-CN"/>
        </w:rPr>
        <w:t>下降</w:t>
      </w:r>
      <w:r>
        <w:rPr>
          <w:rFonts w:hint="eastAsia" w:ascii="仿宋_GB2312"/>
          <w:snapToGrid w:val="0"/>
          <w:kern w:val="0"/>
          <w:sz w:val="32"/>
          <w:szCs w:val="32"/>
          <w:highlight w:val="none"/>
          <w:u w:val="none"/>
          <w:lang w:val="en-US" w:eastAsia="zh-CN"/>
        </w:rPr>
        <w:t>14.3</w:t>
      </w:r>
      <w:r>
        <w:rPr>
          <w:rFonts w:hint="eastAsia" w:ascii="仿宋_GB2312"/>
          <w:snapToGrid w:val="0"/>
          <w:kern w:val="0"/>
          <w:sz w:val="32"/>
          <w:szCs w:val="32"/>
          <w:highlight w:val="none"/>
          <w:u w:val="none"/>
        </w:rPr>
        <w:t>%；死亡</w:t>
      </w:r>
      <w:r>
        <w:rPr>
          <w:rFonts w:hint="eastAsia" w:ascii="仿宋_GB2312"/>
          <w:snapToGrid w:val="0"/>
          <w:kern w:val="0"/>
          <w:sz w:val="32"/>
          <w:szCs w:val="32"/>
          <w:highlight w:val="none"/>
          <w:u w:val="none"/>
          <w:lang w:val="en-US" w:eastAsia="zh-CN"/>
        </w:rPr>
        <w:t>5371</w:t>
      </w:r>
      <w:r>
        <w:rPr>
          <w:rFonts w:hint="eastAsia" w:ascii="仿宋_GB2312"/>
          <w:snapToGrid w:val="0"/>
          <w:kern w:val="0"/>
          <w:sz w:val="32"/>
          <w:szCs w:val="32"/>
          <w:highlight w:val="none"/>
          <w:u w:val="none"/>
        </w:rPr>
        <w:t>人，</w:t>
      </w:r>
      <w:r>
        <w:rPr>
          <w:rFonts w:hint="eastAsia" w:ascii="仿宋_GB2312"/>
          <w:snapToGrid w:val="0"/>
          <w:kern w:val="0"/>
          <w:sz w:val="32"/>
          <w:szCs w:val="32"/>
          <w:highlight w:val="none"/>
          <w:u w:val="none"/>
          <w:lang w:eastAsia="zh-CN"/>
        </w:rPr>
        <w:t>下降</w:t>
      </w:r>
      <w:r>
        <w:rPr>
          <w:rFonts w:hint="eastAsia" w:ascii="仿宋_GB2312"/>
          <w:snapToGrid w:val="0"/>
          <w:kern w:val="0"/>
          <w:sz w:val="32"/>
          <w:szCs w:val="32"/>
          <w:highlight w:val="none"/>
          <w:u w:val="none"/>
          <w:lang w:val="en-US" w:eastAsia="zh-CN"/>
        </w:rPr>
        <w:t>16.3</w:t>
      </w:r>
      <w:r>
        <w:rPr>
          <w:rFonts w:hint="eastAsia" w:ascii="仿宋_GB2312"/>
          <w:snapToGrid w:val="0"/>
          <w:kern w:val="0"/>
          <w:sz w:val="32"/>
          <w:szCs w:val="32"/>
          <w:highlight w:val="none"/>
          <w:u w:val="none"/>
        </w:rPr>
        <w:t>%；受伤</w:t>
      </w:r>
      <w:r>
        <w:rPr>
          <w:rFonts w:hint="eastAsia" w:ascii="仿宋_GB2312"/>
          <w:snapToGrid w:val="0"/>
          <w:kern w:val="0"/>
          <w:sz w:val="32"/>
          <w:szCs w:val="32"/>
          <w:highlight w:val="none"/>
          <w:u w:val="none"/>
          <w:lang w:val="en-US" w:eastAsia="zh-CN"/>
        </w:rPr>
        <w:t>46652</w:t>
      </w:r>
      <w:r>
        <w:rPr>
          <w:rFonts w:hint="eastAsia" w:ascii="仿宋_GB2312"/>
          <w:snapToGrid w:val="0"/>
          <w:kern w:val="0"/>
          <w:sz w:val="32"/>
          <w:szCs w:val="32"/>
          <w:highlight w:val="none"/>
          <w:u w:val="none"/>
        </w:rPr>
        <w:t>人，</w:t>
      </w:r>
      <w:r>
        <w:rPr>
          <w:rFonts w:hint="eastAsia" w:ascii="仿宋_GB2312"/>
          <w:snapToGrid w:val="0"/>
          <w:kern w:val="0"/>
          <w:sz w:val="32"/>
          <w:szCs w:val="32"/>
          <w:highlight w:val="none"/>
          <w:u w:val="none"/>
          <w:lang w:eastAsia="zh-CN"/>
        </w:rPr>
        <w:t>下降</w:t>
      </w:r>
      <w:r>
        <w:rPr>
          <w:rFonts w:hint="eastAsia" w:ascii="仿宋_GB2312"/>
          <w:snapToGrid w:val="0"/>
          <w:kern w:val="0"/>
          <w:sz w:val="32"/>
          <w:szCs w:val="32"/>
          <w:highlight w:val="none"/>
          <w:u w:val="none"/>
          <w:lang w:val="en-US" w:eastAsia="zh-CN"/>
        </w:rPr>
        <w:t>16.8</w:t>
      </w:r>
      <w:r>
        <w:rPr>
          <w:rFonts w:hint="eastAsia" w:ascii="仿宋_GB2312"/>
          <w:snapToGrid w:val="0"/>
          <w:kern w:val="0"/>
          <w:sz w:val="32"/>
          <w:szCs w:val="32"/>
          <w:highlight w:val="none"/>
          <w:u w:val="none"/>
        </w:rPr>
        <w:t>%；直接经济损失</w:t>
      </w:r>
      <w:r>
        <w:rPr>
          <w:rFonts w:hint="eastAsia" w:ascii="仿宋_GB2312"/>
          <w:snapToGrid w:val="0"/>
          <w:kern w:val="0"/>
          <w:sz w:val="32"/>
          <w:szCs w:val="32"/>
          <w:highlight w:val="none"/>
          <w:u w:val="none"/>
          <w:lang w:val="en-US" w:eastAsia="zh-CN"/>
        </w:rPr>
        <w:t>10534.48</w:t>
      </w:r>
      <w:r>
        <w:rPr>
          <w:rFonts w:hint="eastAsia" w:ascii="仿宋_GB2312"/>
          <w:snapToGrid w:val="0"/>
          <w:kern w:val="0"/>
          <w:sz w:val="32"/>
          <w:szCs w:val="32"/>
          <w:highlight w:val="none"/>
          <w:u w:val="none"/>
        </w:rPr>
        <w:t>万元，</w:t>
      </w:r>
      <w:r>
        <w:rPr>
          <w:rFonts w:hint="eastAsia" w:ascii="仿宋_GB2312"/>
          <w:snapToGrid w:val="0"/>
          <w:kern w:val="0"/>
          <w:sz w:val="32"/>
          <w:szCs w:val="32"/>
          <w:highlight w:val="none"/>
          <w:u w:val="none"/>
          <w:lang w:eastAsia="zh-CN"/>
        </w:rPr>
        <w:t>下降</w:t>
      </w:r>
      <w:r>
        <w:rPr>
          <w:rFonts w:hint="eastAsia" w:ascii="仿宋_GB2312"/>
          <w:snapToGrid w:val="0"/>
          <w:kern w:val="0"/>
          <w:sz w:val="32"/>
          <w:szCs w:val="32"/>
          <w:highlight w:val="none"/>
          <w:u w:val="none"/>
          <w:lang w:val="en-US" w:eastAsia="zh-CN"/>
        </w:rPr>
        <w:t>21.6</w:t>
      </w:r>
      <w:r>
        <w:rPr>
          <w:rFonts w:hint="eastAsia" w:ascii="仿宋_GB2312"/>
          <w:snapToGrid w:val="0"/>
          <w:kern w:val="0"/>
          <w:sz w:val="32"/>
          <w:szCs w:val="32"/>
          <w:highlight w:val="none"/>
          <w:u w:val="none"/>
        </w:rPr>
        <w:t>%。道路交通万车事故死亡人数为</w:t>
      </w:r>
      <w:r>
        <w:rPr>
          <w:rFonts w:hint="eastAsia" w:ascii="仿宋_GB2312"/>
          <w:snapToGrid w:val="0"/>
          <w:kern w:val="0"/>
          <w:sz w:val="32"/>
          <w:szCs w:val="32"/>
          <w:highlight w:val="none"/>
          <w:u w:val="none"/>
          <w:lang w:val="en-US" w:eastAsia="zh-CN"/>
        </w:rPr>
        <w:t>1.47</w:t>
      </w:r>
      <w:r>
        <w:rPr>
          <w:rFonts w:hint="eastAsia" w:ascii="仿宋_GB2312"/>
          <w:snapToGrid w:val="0"/>
          <w:kern w:val="0"/>
          <w:sz w:val="32"/>
          <w:szCs w:val="32"/>
          <w:highlight w:val="none"/>
          <w:u w:val="none"/>
        </w:rPr>
        <w:t>人。</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70" w:firstLineChars="200"/>
        <w:jc w:val="both"/>
        <w:textAlignment w:val="auto"/>
        <w:outlineLvl w:val="9"/>
        <w:rPr>
          <w:rFonts w:hint="eastAsia" w:ascii="仿宋_GB2312"/>
          <w:snapToGrid w:val="0"/>
          <w:kern w:val="0"/>
          <w:sz w:val="32"/>
          <w:szCs w:val="32"/>
          <w:highlight w:val="none"/>
          <w:u w:val="none"/>
        </w:rPr>
      </w:pP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50" w:firstLineChars="200"/>
        <w:jc w:val="both"/>
        <w:textAlignment w:val="auto"/>
        <w:outlineLvl w:val="9"/>
        <w:rPr>
          <w:rFonts w:hint="eastAsia" w:ascii="宋体" w:hAnsi="宋体" w:eastAsia="宋体" w:cs="宋体"/>
          <w:b/>
          <w:bCs/>
          <w:snapToGrid w:val="0"/>
          <w:kern w:val="0"/>
          <w:sz w:val="21"/>
          <w:szCs w:val="21"/>
          <w:highlight w:val="none"/>
        </w:rPr>
      </w:pPr>
      <w:r>
        <w:rPr>
          <w:rFonts w:hint="eastAsia" w:ascii="宋体" w:hAnsi="宋体" w:eastAsia="宋体" w:cs="宋体"/>
          <w:b/>
          <w:bCs/>
          <w:snapToGrid w:val="0"/>
          <w:kern w:val="0"/>
          <w:sz w:val="21"/>
          <w:szCs w:val="21"/>
          <w:highlight w:val="none"/>
          <w:lang w:eastAsia="zh-CN"/>
        </w:rPr>
        <w:t>注</w:t>
      </w:r>
      <w:r>
        <w:rPr>
          <w:rFonts w:hint="eastAsia" w:ascii="宋体" w:hAnsi="宋体" w:eastAsia="宋体" w:cs="宋体"/>
          <w:b/>
          <w:bCs/>
          <w:snapToGrid w:val="0"/>
          <w:kern w:val="0"/>
          <w:sz w:val="21"/>
          <w:szCs w:val="21"/>
          <w:highlight w:val="none"/>
        </w:rPr>
        <w:t>：</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本公报中202</w:t>
      </w: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年数据为初步统计数。</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地区生产总值、三次产业及相关行业增加值绝对数按</w:t>
      </w:r>
      <w:r>
        <w:rPr>
          <w:rFonts w:hint="eastAsia" w:ascii="宋体" w:hAnsi="宋体" w:eastAsia="宋体" w:cs="宋体"/>
          <w:snapToGrid w:val="0"/>
          <w:color w:val="auto"/>
          <w:kern w:val="0"/>
          <w:sz w:val="21"/>
          <w:szCs w:val="21"/>
          <w:highlight w:val="none"/>
          <w:lang w:eastAsia="zh-CN"/>
        </w:rPr>
        <w:t>当年价格</w:t>
      </w:r>
      <w:r>
        <w:rPr>
          <w:rFonts w:hint="eastAsia" w:ascii="宋体" w:hAnsi="宋体" w:eastAsia="宋体" w:cs="宋体"/>
          <w:snapToGrid w:val="0"/>
          <w:color w:val="auto"/>
          <w:kern w:val="0"/>
          <w:sz w:val="21"/>
          <w:szCs w:val="21"/>
          <w:highlight w:val="none"/>
        </w:rPr>
        <w:t>计算，增长速度按</w:t>
      </w:r>
      <w:r>
        <w:rPr>
          <w:rFonts w:hint="eastAsia" w:ascii="宋体" w:hAnsi="宋体" w:eastAsia="宋体" w:cs="宋体"/>
          <w:snapToGrid w:val="0"/>
          <w:color w:val="auto"/>
          <w:kern w:val="0"/>
          <w:sz w:val="21"/>
          <w:szCs w:val="21"/>
          <w:highlight w:val="none"/>
          <w:lang w:eastAsia="zh-CN"/>
        </w:rPr>
        <w:t>不变价格</w:t>
      </w:r>
      <w:r>
        <w:rPr>
          <w:rFonts w:hint="eastAsia" w:ascii="宋体" w:hAnsi="宋体" w:eastAsia="宋体" w:cs="宋体"/>
          <w:snapToGrid w:val="0"/>
          <w:color w:val="auto"/>
          <w:kern w:val="0"/>
          <w:sz w:val="21"/>
          <w:szCs w:val="21"/>
          <w:highlight w:val="none"/>
        </w:rPr>
        <w:t>计算；地方一般公共预算收入增长速度按可比口径计算。</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珠三角核心区指广州、深圳、珠海、佛山、惠州、东莞、中山、江门和肇庆</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东翼指汕头、汕尾、潮州和揭阳</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西翼指阳江、湛江和茂名</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北部生态发展区指韶关、河源、梅州、清远和云浮。</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规模以上工业统计口径为年主营业务收入2000万元及以上的工业企业。</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固定资产投资项目统计起点由计划总投资50万元提高到500万元，增速为可比口径。</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限额以上批发和零售业统计标准为：批发业年主营业务收入2000万元及以上；零售业年主营业务收入500万元及以上。</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规模以上服务业范围是：（1）年营业收入2000万元及以上服务业法人单位。包括：交通运输、仓储和邮政业，信息传输、软件和信息技术服务业，水利、环境和公共设施管理业三个门类和卫生行业大类；（2）年营业收入1000万元及以上服务业法人单位。包括：租赁和商务服务业，科学研究和技术服务业，教育三个门类，以及物业管理、房地产中介服务、房地产租赁经营和其他房地产业四个行业小类；（3）年营业收入500万元及以上服务业法人单位。包括：居民服务、修理和其他服务业，文化、体育和娱乐业两个门类，以及社会工作行业大类。</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2012年四季度，国家统计局实施了城乡一体化住户调查改革。2013年起按照新的调查口径对外发布城乡一体的居民人均可支配收入和分城镇、农村居民人均可支配收入数据。由于新老调查方案在调查范围、调查对象、城乡划分标准、样本抽选、计算和汇总方式、指标口径等方面变化较大，改革后新口径数据和旧口径数据存在不可比的差异。</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2015年起，“地方公共财政预算收入”更名为“地方一般公共预算收入”；各项金融机构存款余额中，“单位存款”更名为“非金融企业存款”、“储蓄存款”更名为“住户存款”。</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先进制造业包括高端电子信息制造业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先进装备制造业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石油化工产业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先进轻纺制造业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新材料制造业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生物医药及高性能医疗器械。装备制造业包括金属制品业，通用设备制造业，专用设备制造业，汽车制造业，铁路、船舶、航空航天和其他运输设备制造业，电气机械和器材制造业，计算机、通信和其他电子设备制造业，仪器仪表制造业。</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高技术制造业包括医药制造业，航空、航天器及设备制造业，电子及通信设备制造业，计算机及办公设备制造业，医疗仪器设备及仪器仪表制造业，信息化学品制造业。六大高耗能行业包括石油、煤炭及其他燃料加工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化学原料及化学制品制造业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非金属矿物制品业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黑色金属冶炼及压延加工业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有色金属冶炼及压延加工业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电力热力的生产和供应业。</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基础设施投资包括电力、热力、燃气及水生产和供应业，交通运输、邮政业，电信、广播电视和卫星传输服务业，互联网和相关服务业，水利、环境和公共设施管理业投资。</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战略性新兴服务业包括节能环保产业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新一代信息技术产业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生物产业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高端装备制造产业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新能源产业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新材料产业</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新能源汽车产业等七大产业中的服务业相关行业。</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高技术服务业：按照国家统计局印发的《高技术产业（服务业）分类（2018）》，包括信息服务、电子商务服务、检验检测服务、专业技术服务业的高技术服务、研发与设计服务、科技成果与转化服务、知识产权及相关法律服务、环境监测及治理服务、其他高技术服务等9大类63个行业小类。</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软件和信息技术服务业包括软件开发、集成电路设计、信息系统集成和物联网技术服务、运行维护服务、信息处理和存储支持服务、信息技术咨询服务、数字内容服务和其他信息技术服务等行业。</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互联网和相关服务业包括互联网接入及相关服务、互联网信息服务、互联网平台、互联网安全服务、互联网数据服务和其他互联网服务等行业。</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邮政行业业务收入不包括邮政储蓄银行直接营业收入。</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新增投产</w:t>
      </w:r>
      <w:r>
        <w:rPr>
          <w:rFonts w:hint="eastAsia" w:ascii="宋体" w:hAnsi="宋体" w:eastAsia="宋体" w:cs="宋体"/>
          <w:snapToGrid w:val="0"/>
          <w:color w:val="auto"/>
          <w:kern w:val="0"/>
          <w:sz w:val="21"/>
          <w:szCs w:val="21"/>
          <w:highlight w:val="none"/>
          <w:lang w:eastAsia="zh-CN"/>
        </w:rPr>
        <w:t>骨干</w:t>
      </w:r>
      <w:r>
        <w:rPr>
          <w:rFonts w:hint="eastAsia" w:ascii="宋体" w:hAnsi="宋体" w:eastAsia="宋体" w:cs="宋体"/>
          <w:snapToGrid w:val="0"/>
          <w:color w:val="auto"/>
          <w:kern w:val="0"/>
          <w:sz w:val="21"/>
          <w:szCs w:val="21"/>
          <w:highlight w:val="none"/>
        </w:rPr>
        <w:t>电源装机包含核电、煤电、气电、风电和光伏发电。</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货物贸易、吸收外资采用人民币计价。对外投资和对外承包工程由于技术原因仍主要沿用美元计价。</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全省</w:t>
      </w:r>
      <w:r>
        <w:rPr>
          <w:rFonts w:hint="eastAsia" w:ascii="宋体" w:hAnsi="宋体" w:eastAsia="宋体" w:cs="宋体"/>
          <w:snapToGrid w:val="0"/>
          <w:color w:val="auto"/>
          <w:kern w:val="0"/>
          <w:sz w:val="21"/>
          <w:szCs w:val="21"/>
          <w:highlight w:val="none"/>
          <w:lang w:eastAsia="zh-CN"/>
        </w:rPr>
        <w:t>近岸海域海洋观测站点的观测要素包括波浪、表层海流、表层水温、盐度、潮位等海洋观测要素。</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IPTV用户数是指交互式网络电视（IPTV）开通用户数；OTT（Over The Top）用户数是指互联网电视（OTT）服务的累计激活用户数量</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2021年统计口径更改为全国有效用户数</w:t>
      </w:r>
      <w:r>
        <w:rPr>
          <w:rFonts w:hint="eastAsia" w:ascii="宋体" w:hAnsi="宋体" w:eastAsia="宋体" w:cs="宋体"/>
          <w:snapToGrid w:val="0"/>
          <w:color w:val="auto"/>
          <w:kern w:val="0"/>
          <w:sz w:val="21"/>
          <w:szCs w:val="21"/>
          <w:highlight w:val="none"/>
        </w:rPr>
        <w:t>。</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从2019年开始，已实现合并的广播电台、电视台纳入“广播电视台”指标统计，“广播电视台”包括省、市、县（市、区）广播电视台。</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部分卫生行业数据尚未经国家卫生健康委员会审核确认。</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发电量数据为规模以上工业统计口径。</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left="0" w:leftChars="0" w:right="0" w:rightChars="0" w:firstLine="454" w:firstLineChars="202"/>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201</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-2017年</w:t>
      </w:r>
      <w:r>
        <w:rPr>
          <w:rFonts w:hint="eastAsia" w:ascii="宋体" w:hAnsi="宋体" w:eastAsia="宋体" w:cs="宋体"/>
          <w:snapToGrid w:val="0"/>
          <w:color w:val="auto"/>
          <w:kern w:val="0"/>
          <w:sz w:val="21"/>
          <w:szCs w:val="21"/>
          <w:highlight w:val="none"/>
          <w:lang w:eastAsia="zh-CN"/>
        </w:rPr>
        <w:t>粮食</w:t>
      </w:r>
      <w:r>
        <w:rPr>
          <w:rFonts w:hint="eastAsia" w:ascii="宋体" w:hAnsi="宋体" w:eastAsia="宋体" w:cs="宋体"/>
          <w:snapToGrid w:val="0"/>
          <w:color w:val="auto"/>
          <w:kern w:val="0"/>
          <w:sz w:val="21"/>
          <w:szCs w:val="21"/>
          <w:highlight w:val="none"/>
        </w:rPr>
        <w:t>生产数据已根据</w:t>
      </w:r>
      <w:r>
        <w:rPr>
          <w:rFonts w:hint="eastAsia" w:ascii="宋体" w:hAnsi="宋体" w:eastAsia="宋体" w:cs="宋体"/>
          <w:snapToGrid w:val="0"/>
          <w:color w:val="auto"/>
          <w:kern w:val="0"/>
          <w:sz w:val="21"/>
          <w:szCs w:val="21"/>
          <w:highlight w:val="none"/>
          <w:lang w:eastAsia="zh-CN"/>
        </w:rPr>
        <w:t>省第</w:t>
      </w:r>
      <w:r>
        <w:rPr>
          <w:rFonts w:hint="eastAsia" w:ascii="宋体" w:hAnsi="宋体" w:eastAsia="宋体" w:cs="宋体"/>
          <w:snapToGrid w:val="0"/>
          <w:color w:val="auto"/>
          <w:kern w:val="0"/>
          <w:sz w:val="21"/>
          <w:szCs w:val="21"/>
          <w:highlight w:val="none"/>
        </w:rPr>
        <w:t>三</w:t>
      </w:r>
      <w:r>
        <w:rPr>
          <w:rFonts w:hint="eastAsia" w:ascii="宋体" w:hAnsi="宋体" w:eastAsia="宋体" w:cs="宋体"/>
          <w:snapToGrid w:val="0"/>
          <w:color w:val="auto"/>
          <w:kern w:val="0"/>
          <w:sz w:val="21"/>
          <w:szCs w:val="21"/>
          <w:highlight w:val="none"/>
          <w:lang w:eastAsia="zh-CN"/>
        </w:rPr>
        <w:t>次全国</w:t>
      </w:r>
      <w:r>
        <w:rPr>
          <w:rFonts w:hint="eastAsia" w:ascii="宋体" w:hAnsi="宋体" w:eastAsia="宋体" w:cs="宋体"/>
          <w:snapToGrid w:val="0"/>
          <w:color w:val="auto"/>
          <w:kern w:val="0"/>
          <w:sz w:val="21"/>
          <w:szCs w:val="21"/>
          <w:highlight w:val="none"/>
        </w:rPr>
        <w:t>农</w:t>
      </w:r>
      <w:r>
        <w:rPr>
          <w:rFonts w:hint="eastAsia" w:ascii="宋体" w:hAnsi="宋体" w:eastAsia="宋体" w:cs="宋体"/>
          <w:snapToGrid w:val="0"/>
          <w:color w:val="auto"/>
          <w:kern w:val="0"/>
          <w:sz w:val="21"/>
          <w:szCs w:val="21"/>
          <w:highlight w:val="none"/>
          <w:lang w:eastAsia="zh-CN"/>
        </w:rPr>
        <w:t>业</w:t>
      </w:r>
      <w:r>
        <w:rPr>
          <w:rFonts w:hint="eastAsia" w:ascii="宋体" w:hAnsi="宋体" w:eastAsia="宋体" w:cs="宋体"/>
          <w:snapToGrid w:val="0"/>
          <w:color w:val="auto"/>
          <w:kern w:val="0"/>
          <w:sz w:val="21"/>
          <w:szCs w:val="21"/>
          <w:highlight w:val="none"/>
        </w:rPr>
        <w:t>普</w:t>
      </w:r>
      <w:r>
        <w:rPr>
          <w:rFonts w:hint="eastAsia" w:ascii="宋体" w:hAnsi="宋体" w:eastAsia="宋体" w:cs="宋体"/>
          <w:snapToGrid w:val="0"/>
          <w:color w:val="auto"/>
          <w:kern w:val="0"/>
          <w:sz w:val="21"/>
          <w:szCs w:val="21"/>
          <w:highlight w:val="none"/>
          <w:lang w:eastAsia="zh-CN"/>
        </w:rPr>
        <w:t>查</w:t>
      </w:r>
      <w:r>
        <w:rPr>
          <w:rFonts w:hint="eastAsia" w:ascii="宋体" w:hAnsi="宋体" w:eastAsia="宋体" w:cs="宋体"/>
          <w:snapToGrid w:val="0"/>
          <w:color w:val="auto"/>
          <w:kern w:val="0"/>
          <w:sz w:val="21"/>
          <w:szCs w:val="21"/>
          <w:highlight w:val="none"/>
        </w:rPr>
        <w:t>结果进行修订。</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right="0" w:rightChars="0" w:firstLine="450" w:firstLineChars="200"/>
        <w:jc w:val="both"/>
        <w:textAlignment w:val="auto"/>
        <w:outlineLvl w:val="9"/>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26.</w:t>
      </w:r>
      <w:r>
        <w:rPr>
          <w:rFonts w:hint="default" w:ascii="宋体" w:hAnsi="宋体" w:eastAsia="宋体" w:cs="宋体"/>
          <w:snapToGrid w:val="0"/>
          <w:color w:val="auto"/>
          <w:kern w:val="0"/>
          <w:sz w:val="21"/>
          <w:szCs w:val="21"/>
          <w:highlight w:val="none"/>
          <w:lang w:val="en-US" w:eastAsia="zh-CN"/>
        </w:rPr>
        <w:t>根据教育部要求，广东开放大学开放教育学生往年计入成人本专科学生，</w:t>
      </w:r>
      <w:r>
        <w:rPr>
          <w:rFonts w:hint="eastAsia" w:ascii="宋体" w:hAnsi="宋体" w:eastAsia="宋体" w:cs="宋体"/>
          <w:snapToGrid w:val="0"/>
          <w:color w:val="auto"/>
          <w:kern w:val="0"/>
          <w:sz w:val="21"/>
          <w:szCs w:val="21"/>
          <w:highlight w:val="none"/>
          <w:lang w:val="en-US" w:eastAsia="zh-CN"/>
        </w:rPr>
        <w:t>自</w:t>
      </w:r>
      <w:r>
        <w:rPr>
          <w:rFonts w:hint="default" w:ascii="宋体" w:hAnsi="宋体" w:eastAsia="宋体" w:cs="宋体"/>
          <w:snapToGrid w:val="0"/>
          <w:color w:val="auto"/>
          <w:kern w:val="0"/>
          <w:sz w:val="21"/>
          <w:szCs w:val="21"/>
          <w:highlight w:val="none"/>
          <w:lang w:val="en-US" w:eastAsia="zh-CN"/>
        </w:rPr>
        <w:t>2021年起计入网络本专科学生。</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50" w:firstLineChars="200"/>
        <w:jc w:val="both"/>
        <w:textAlignment w:val="auto"/>
        <w:outlineLvl w:val="9"/>
        <w:rPr>
          <w:rFonts w:hint="eastAsia" w:ascii="宋体" w:hAnsi="宋体" w:eastAsia="宋体" w:cs="宋体"/>
          <w:snapToGrid w:val="0"/>
          <w:kern w:val="0"/>
          <w:sz w:val="21"/>
          <w:szCs w:val="21"/>
          <w:highlight w:val="none"/>
        </w:rPr>
      </w:pP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50" w:firstLineChars="200"/>
        <w:jc w:val="both"/>
        <w:textAlignment w:val="auto"/>
        <w:outlineLvl w:val="9"/>
        <w:rPr>
          <w:rFonts w:hint="eastAsia" w:ascii="宋体" w:hAnsi="宋体" w:eastAsia="宋体" w:cs="宋体"/>
          <w:b/>
          <w:bCs/>
          <w:snapToGrid w:val="0"/>
          <w:kern w:val="0"/>
          <w:sz w:val="21"/>
          <w:szCs w:val="21"/>
          <w:highlight w:val="none"/>
        </w:rPr>
      </w:pPr>
      <w:r>
        <w:rPr>
          <w:rFonts w:hint="eastAsia" w:ascii="宋体" w:hAnsi="宋体" w:eastAsia="宋体" w:cs="宋体"/>
          <w:b/>
          <w:bCs/>
          <w:snapToGrid w:val="0"/>
          <w:kern w:val="0"/>
          <w:sz w:val="21"/>
          <w:szCs w:val="21"/>
          <w:highlight w:val="none"/>
        </w:rPr>
        <w:t>资料来源：</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50" w:firstLineChars="200"/>
        <w:jc w:val="both"/>
        <w:textAlignment w:val="auto"/>
        <w:outlineLvl w:val="9"/>
        <w:rPr>
          <w:rFonts w:hint="eastAsia"/>
          <w:highlight w:val="none"/>
          <w:lang w:val="en-US" w:eastAsia="zh-CN"/>
        </w:rPr>
      </w:pPr>
      <w:r>
        <w:rPr>
          <w:rFonts w:hint="eastAsia" w:ascii="宋体" w:hAnsi="宋体" w:eastAsia="宋体" w:cs="宋体"/>
          <w:snapToGrid w:val="0"/>
          <w:kern w:val="0"/>
          <w:sz w:val="21"/>
          <w:szCs w:val="21"/>
          <w:highlight w:val="none"/>
        </w:rPr>
        <w:t>本公报中城镇新增就业、登记失业率、社会保障数据来自省人力资源社会保障厅和医疗保障局；财政数据来自省财政厅；新增投产</w:t>
      </w:r>
      <w:r>
        <w:rPr>
          <w:rFonts w:hint="eastAsia" w:ascii="宋体" w:hAnsi="宋体" w:eastAsia="宋体" w:cs="宋体"/>
          <w:snapToGrid w:val="0"/>
          <w:color w:val="auto"/>
          <w:kern w:val="0"/>
          <w:sz w:val="21"/>
          <w:szCs w:val="21"/>
          <w:highlight w:val="none"/>
          <w:lang w:eastAsia="zh-CN"/>
        </w:rPr>
        <w:t>骨干</w:t>
      </w:r>
      <w:r>
        <w:rPr>
          <w:rFonts w:hint="eastAsia" w:ascii="宋体" w:hAnsi="宋体" w:eastAsia="宋体" w:cs="宋体"/>
          <w:snapToGrid w:val="0"/>
          <w:color w:val="auto"/>
          <w:kern w:val="0"/>
          <w:sz w:val="21"/>
          <w:szCs w:val="21"/>
          <w:highlight w:val="none"/>
        </w:rPr>
        <w:t>电</w:t>
      </w:r>
      <w:r>
        <w:rPr>
          <w:rFonts w:hint="eastAsia" w:ascii="宋体" w:hAnsi="宋体" w:eastAsia="宋体" w:cs="宋体"/>
          <w:snapToGrid w:val="0"/>
          <w:kern w:val="0"/>
          <w:sz w:val="21"/>
          <w:szCs w:val="21"/>
          <w:highlight w:val="none"/>
        </w:rPr>
        <w:t>源装机</w:t>
      </w:r>
      <w:r>
        <w:rPr>
          <w:rFonts w:hint="eastAsia" w:ascii="宋体" w:hAnsi="宋体" w:eastAsia="宋体" w:cs="宋体"/>
          <w:snapToGrid w:val="0"/>
          <w:kern w:val="0"/>
          <w:sz w:val="21"/>
          <w:szCs w:val="21"/>
          <w:highlight w:val="none"/>
          <w:lang w:eastAsia="zh-CN"/>
        </w:rPr>
        <w:t>来自省能源局；</w:t>
      </w:r>
      <w:r>
        <w:rPr>
          <w:rFonts w:hint="eastAsia" w:ascii="宋体" w:hAnsi="宋体" w:eastAsia="宋体" w:cs="宋体"/>
          <w:snapToGrid w:val="0"/>
          <w:kern w:val="0"/>
          <w:sz w:val="21"/>
          <w:szCs w:val="21"/>
          <w:highlight w:val="none"/>
        </w:rPr>
        <w:t>国家工程研究中心、企业技术中心数据来自省发展改革委；省级企业技术中心数据来自省工业和信息化厅；新建公路、港口万吨级码头泊位新增吞吐能力、公路运输、水运、港口货物吞吐量数据来自省交通运输厅；城市污水处理数据来自省住房城乡建设厅；货物进出口数据来自海关总署广东分署；外商直接投资、对外直接投资、对外承包工程、对外劳务合作等数据来自省商务厅；快递业务量数据来自省邮政管理局；国际互联网用户、电话用户总量、新建5G移动通信基站等数据来自省通信管理局；货币金融数据来自人民银行广州分行；上市公司数据来自广东证监局、深圳证监局；银行业利润、保险业数据来自广东银保监局；技术合同数据来自省科技厅；教育数据来自省教育厅；专利、质量检验数据来自省市场监管局；气象数据来自省气象局；地震数据来自省地震局；测绘数据、各类地质灾害数据来自省自然资源厅；农机总动力数据、水产品产量数据来自省农业农村厅；广播、电视数据来自省广播电视局；电影、报纸、期刊、图书数据来自省委宣传部；档案数据来自省档案局；体育数据来自省体育局；卫生数据来自省卫生健康委；低保人数、社会服务业机构、福利彩票、社会组织数据来自省民政厅；林业、自然保护区</w:t>
      </w:r>
      <w:r>
        <w:rPr>
          <w:rFonts w:hint="eastAsia" w:ascii="宋体" w:hAnsi="宋体" w:eastAsia="宋体"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地质遗迹</w:t>
      </w:r>
      <w:r>
        <w:rPr>
          <w:rFonts w:hint="eastAsia" w:ascii="宋体" w:hAnsi="宋体" w:eastAsia="宋体" w:cs="宋体"/>
          <w:snapToGrid w:val="0"/>
          <w:kern w:val="0"/>
          <w:sz w:val="21"/>
          <w:szCs w:val="21"/>
          <w:highlight w:val="none"/>
          <w:lang w:eastAsia="zh-CN"/>
        </w:rPr>
        <w:t>类自然</w:t>
      </w:r>
      <w:r>
        <w:rPr>
          <w:rFonts w:hint="eastAsia" w:ascii="宋体" w:hAnsi="宋体" w:eastAsia="宋体" w:cs="宋体"/>
          <w:snapToGrid w:val="0"/>
          <w:kern w:val="0"/>
          <w:sz w:val="21"/>
          <w:szCs w:val="21"/>
          <w:highlight w:val="none"/>
        </w:rPr>
        <w:t>保护区数据来自省林业局；志愿者数据来自团省委；环境监测、海洋数据来自省生态环境厅；水资源数据来自省水利厅；安全生产、农作物受灾面积、洪涝和干旱造成直接经济损失数据来自省应急管理厅；道路交通事故数据来自省公安厅；其他数据来自省统计局和国家统计局广东调查总队。</w:t>
      </w:r>
    </w:p>
    <w:p>
      <w:pPr>
        <w:rPr>
          <w:highlight w:val="none"/>
        </w:rPr>
      </w:pPr>
    </w:p>
    <w:sectPr>
      <w:headerReference r:id="rId4" w:type="first"/>
      <w:footerReference r:id="rId5" w:type="default"/>
      <w:headerReference r:id="rId3" w:type="even"/>
      <w:footerReference r:id="rId6" w:type="even"/>
      <w:pgSz w:w="11907" w:h="16840"/>
      <w:pgMar w:top="2098" w:right="1474" w:bottom="1985" w:left="1588" w:header="851" w:footer="1588" w:gutter="0"/>
      <w:pgBorders w:offsetFrom="page">
        <w:top w:val="none" w:sz="0" w:space="0"/>
        <w:left w:val="none" w:sz="0" w:space="0"/>
        <w:bottom w:val="none" w:sz="0" w:space="0"/>
        <w:right w:val="none" w:sz="0" w:space="0"/>
      </w:pgBorders>
      <w:cols w:space="720" w:num="1"/>
      <w:titlePg/>
      <w:docGrid w:type="linesAndChars" w:linePitch="579" w:charSpace="32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eastAsia"/>
        <w:sz w:val="28"/>
      </w:rPr>
    </w:pPr>
    <w:r>
      <w:rPr>
        <w:rStyle w:val="9"/>
        <w:rFonts w:hint="eastAsia"/>
        <w:sz w:val="28"/>
      </w:rPr>
      <w:t>—</w:t>
    </w:r>
    <w:r>
      <w:rPr>
        <w:sz w:val="28"/>
      </w:rPr>
      <w:fldChar w:fldCharType="begin"/>
    </w:r>
    <w:r>
      <w:rPr>
        <w:rStyle w:val="9"/>
        <w:sz w:val="28"/>
      </w:rPr>
      <w:instrText xml:space="preserve"> PAGE </w:instrText>
    </w:r>
    <w:r>
      <w:rPr>
        <w:sz w:val="28"/>
      </w:rPr>
      <w:fldChar w:fldCharType="separate"/>
    </w:r>
    <w:r>
      <w:rPr>
        <w:rStyle w:val="9"/>
        <w:sz w:val="28"/>
      </w:rPr>
      <w:t>33</w:t>
    </w:r>
    <w:r>
      <w:rPr>
        <w:sz w:val="28"/>
      </w:rPr>
      <w:fldChar w:fldCharType="end"/>
    </w:r>
    <w:r>
      <w:rPr>
        <w:rStyle w:val="9"/>
        <w:rFonts w:hint="eastAsia"/>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1120"/>
      <w:rPr>
        <w:rFonts w:hint="eastAsia"/>
        <w:sz w:val="28"/>
      </w:rPr>
    </w:pPr>
    <w:r>
      <w:rPr>
        <w:rStyle w:val="9"/>
        <w:rFonts w:hint="eastAsia"/>
        <w:sz w:val="28"/>
      </w:rPr>
      <w:t>—</w:t>
    </w:r>
    <w:r>
      <w:rPr>
        <w:sz w:val="28"/>
      </w:rPr>
      <w:fldChar w:fldCharType="begin"/>
    </w:r>
    <w:r>
      <w:rPr>
        <w:rStyle w:val="9"/>
        <w:sz w:val="28"/>
      </w:rPr>
      <w:instrText xml:space="preserve"> PAGE </w:instrText>
    </w:r>
    <w:r>
      <w:rPr>
        <w:sz w:val="28"/>
      </w:rPr>
      <w:fldChar w:fldCharType="separate"/>
    </w:r>
    <w:r>
      <w:rPr>
        <w:rStyle w:val="9"/>
        <w:sz w:val="28"/>
      </w:rPr>
      <w:t>32</w:t>
    </w:r>
    <w:r>
      <w:rPr>
        <w:sz w:val="28"/>
      </w:rPr>
      <w:fldChar w:fldCharType="end"/>
    </w:r>
    <w:r>
      <w:rPr>
        <w:rStyle w:val="9"/>
        <w:rFonts w:hint="eastAsia"/>
        <w:sz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35B638"/>
    <w:multiLevelType w:val="singleLevel"/>
    <w:tmpl w:val="6035B638"/>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CD339C"/>
    <w:rsid w:val="004C3AB6"/>
    <w:rsid w:val="0428564C"/>
    <w:rsid w:val="09DD4F0F"/>
    <w:rsid w:val="0A8218F2"/>
    <w:rsid w:val="0C4B6C1A"/>
    <w:rsid w:val="10CD7ED2"/>
    <w:rsid w:val="126D320B"/>
    <w:rsid w:val="132550A9"/>
    <w:rsid w:val="134A625E"/>
    <w:rsid w:val="14067348"/>
    <w:rsid w:val="16E14F2E"/>
    <w:rsid w:val="174318F5"/>
    <w:rsid w:val="1BB25635"/>
    <w:rsid w:val="1C1E78F3"/>
    <w:rsid w:val="1D48191E"/>
    <w:rsid w:val="1E245679"/>
    <w:rsid w:val="1ECD339C"/>
    <w:rsid w:val="1F1739CA"/>
    <w:rsid w:val="207457C4"/>
    <w:rsid w:val="20923BC8"/>
    <w:rsid w:val="261F70F0"/>
    <w:rsid w:val="29530895"/>
    <w:rsid w:val="29AA215F"/>
    <w:rsid w:val="2A53550B"/>
    <w:rsid w:val="2A7638E7"/>
    <w:rsid w:val="2D0C2883"/>
    <w:rsid w:val="2DA66F27"/>
    <w:rsid w:val="2E2A684C"/>
    <w:rsid w:val="2EE552B4"/>
    <w:rsid w:val="35AA217A"/>
    <w:rsid w:val="36FC72EB"/>
    <w:rsid w:val="378746BF"/>
    <w:rsid w:val="3A9D4F10"/>
    <w:rsid w:val="3CD83264"/>
    <w:rsid w:val="3E4D3AEA"/>
    <w:rsid w:val="3EB82C93"/>
    <w:rsid w:val="3F940405"/>
    <w:rsid w:val="3FE33DCF"/>
    <w:rsid w:val="410841D1"/>
    <w:rsid w:val="45163473"/>
    <w:rsid w:val="480C72ED"/>
    <w:rsid w:val="48300F96"/>
    <w:rsid w:val="4C310758"/>
    <w:rsid w:val="4D271EB1"/>
    <w:rsid w:val="4E402D6B"/>
    <w:rsid w:val="4F013F59"/>
    <w:rsid w:val="51606617"/>
    <w:rsid w:val="51A965C9"/>
    <w:rsid w:val="52946021"/>
    <w:rsid w:val="548954D6"/>
    <w:rsid w:val="549132A2"/>
    <w:rsid w:val="54B2742C"/>
    <w:rsid w:val="55884438"/>
    <w:rsid w:val="56590F73"/>
    <w:rsid w:val="56DE10A9"/>
    <w:rsid w:val="58012B04"/>
    <w:rsid w:val="58911F60"/>
    <w:rsid w:val="58A55E31"/>
    <w:rsid w:val="5AA80953"/>
    <w:rsid w:val="5CF07FEF"/>
    <w:rsid w:val="5DE85911"/>
    <w:rsid w:val="5F2E2F0D"/>
    <w:rsid w:val="614C5E29"/>
    <w:rsid w:val="618916A1"/>
    <w:rsid w:val="61936EF0"/>
    <w:rsid w:val="631F53AE"/>
    <w:rsid w:val="699F7079"/>
    <w:rsid w:val="6ACA6765"/>
    <w:rsid w:val="6D030740"/>
    <w:rsid w:val="6EA61B22"/>
    <w:rsid w:val="6FCC2A86"/>
    <w:rsid w:val="70EB7AAF"/>
    <w:rsid w:val="722B2E98"/>
    <w:rsid w:val="72500450"/>
    <w:rsid w:val="740E4E33"/>
    <w:rsid w:val="7602030D"/>
    <w:rsid w:val="764D4FCA"/>
    <w:rsid w:val="78BC49DD"/>
    <w:rsid w:val="791E2949"/>
    <w:rsid w:val="7B162181"/>
    <w:rsid w:val="7BA23909"/>
    <w:rsid w:val="7BCE0084"/>
    <w:rsid w:val="7D223A56"/>
    <w:rsid w:val="7D6B31BC"/>
    <w:rsid w:val="7F2370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lang w:val="en-US" w:eastAsia="zh-CN" w:bidi="ar-SA"/>
    </w:rPr>
  </w:style>
  <w:style w:type="paragraph" w:styleId="2">
    <w:name w:val="heading 3"/>
    <w:basedOn w:val="1"/>
    <w:next w:val="3"/>
    <w:unhideWhenUsed/>
    <w:qFormat/>
    <w:uiPriority w:val="0"/>
    <w:pPr>
      <w:keepNext/>
      <w:keepLines/>
      <w:spacing w:before="260" w:after="260" w:line="413" w:lineRule="auto"/>
      <w:outlineLvl w:val="2"/>
    </w:pPr>
    <w:rPr>
      <w:rFonts w:eastAsia="宋体"/>
      <w:b/>
      <w:sz w:val="32"/>
    </w:rPr>
  </w:style>
  <w:style w:type="character" w:default="1" w:styleId="7">
    <w:name w:val="Default Paragraph Font"/>
    <w:link w:val="8"/>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rPr>
  </w:style>
  <w:style w:type="paragraph" w:customStyle="1" w:styleId="8">
    <w:name w:val=" Char Char Char Char Char Char Char"/>
    <w:basedOn w:val="1"/>
    <w:link w:val="7"/>
    <w:qFormat/>
    <w:uiPriority w:val="0"/>
  </w:style>
  <w:style w:type="character" w:styleId="9">
    <w:name w:val="page number"/>
    <w:basedOn w:val="7"/>
    <w:qFormat/>
    <w:uiPriority w:val="0"/>
  </w:style>
  <w:style w:type="character" w:customStyle="1" w:styleId="11">
    <w:name w:val="font11"/>
    <w:basedOn w:val="7"/>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省统计局</Company>
  <Pages>1</Pages>
  <Words>0</Words>
  <Characters>0</Characters>
  <Lines>0</Lines>
  <Paragraphs>0</Paragraphs>
  <TotalTime>0</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2022-02-21T02:37:00Z</dcterms:created>
  <dc:creator>李嘉(拟稿)</dc:creator>
  <cp:lastModifiedBy>秘书科:编号</cp:lastModifiedBy>
  <cp:lastPrinted>2022-02-24T01:47:00Z</cp:lastPrinted>
  <dcterms:modified xsi:type="dcterms:W3CDTF">2022-03-02T02:13:14Z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4AB897E1B4EC4945936F6B11B929D06D</vt:lpwstr>
  </property>
</Properties>
</file>