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jc w:val="center"/>
        <w:tblLayout w:type="fixed"/>
        <w:tblCellMar>
          <w:top w:w="0" w:type="dxa"/>
          <w:left w:w="0" w:type="dxa"/>
          <w:bottom w:w="0" w:type="dxa"/>
          <w:right w:w="57" w:type="dxa"/>
        </w:tblCellMar>
      </w:tblPr>
      <w:tblGrid>
        <w:gridCol w:w="8119"/>
      </w:tblGrid>
      <w:tr>
        <w:tblPrEx>
          <w:tblCellMar>
            <w:top w:w="0" w:type="dxa"/>
            <w:left w:w="0" w:type="dxa"/>
            <w:bottom w:w="0" w:type="dxa"/>
            <w:right w:w="57" w:type="dxa"/>
          </w:tblCellMar>
        </w:tblPrEx>
        <w:trPr>
          <w:trHeight w:val="799" w:hRule="atLeast"/>
          <w:jc w:val="center"/>
        </w:trPr>
        <w:tc>
          <w:tcPr>
            <w:tcW w:w="8119" w:type="dxa"/>
            <w:noWrap w:val="0"/>
            <w:tcFitText/>
            <w:vAlign w:val="center"/>
          </w:tcPr>
          <w:p>
            <w:pPr>
              <w:pStyle w:val="3"/>
              <w:spacing w:line="920" w:lineRule="exact"/>
              <w:rPr>
                <w:rFonts w:hint="eastAsia" w:eastAsia="方正小标宋简体"/>
                <w:b w:val="0"/>
                <w:spacing w:val="0"/>
                <w:w w:val="60"/>
                <w:kern w:val="0"/>
                <w:position w:val="0"/>
                <w:sz w:val="84"/>
                <w:szCs w:val="84"/>
              </w:rPr>
            </w:pPr>
            <w:bookmarkStart w:id="3" w:name="_GoBack"/>
            <w:bookmarkEnd w:id="3"/>
            <w:bookmarkStart w:id="0" w:name="红头标题"/>
            <w:r>
              <w:rPr>
                <w:rFonts w:hint="eastAsia" w:eastAsia="方正小标宋简体"/>
                <w:b w:val="0"/>
                <w:spacing w:val="275"/>
                <w:w w:val="63"/>
                <w:kern w:val="0"/>
                <w:position w:val="0"/>
                <w:sz w:val="84"/>
                <w:szCs w:val="84"/>
              </w:rPr>
              <w:t>云浮市生态环境</w:t>
            </w:r>
            <w:r>
              <w:rPr>
                <w:rFonts w:hint="eastAsia" w:eastAsia="方正小标宋简体"/>
                <w:b w:val="0"/>
                <w:spacing w:val="0"/>
                <w:w w:val="63"/>
                <w:kern w:val="0"/>
                <w:position w:val="0"/>
                <w:sz w:val="84"/>
                <w:szCs w:val="84"/>
              </w:rPr>
              <w:t>局</w:t>
            </w:r>
            <w:bookmarkEnd w:id="0"/>
          </w:p>
        </w:tc>
      </w:tr>
    </w:tbl>
    <w:p>
      <w:pPr>
        <w:jc w:val="right"/>
        <w:rPr>
          <w:rFonts w:hint="eastAsia"/>
          <w:szCs w:val="21"/>
        </w:rPr>
      </w:pPr>
      <w:r>
        <w:rPr>
          <w:color w:val="FF0000"/>
          <w:sz w:val="20"/>
          <w:szCs w:val="32"/>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175895</wp:posOffset>
                </wp:positionV>
                <wp:extent cx="5764530" cy="0"/>
                <wp:effectExtent l="0" t="28575" r="11430" b="32385"/>
                <wp:wrapNone/>
                <wp:docPr id="6" name="直接连接符 6"/>
                <wp:cNvGraphicFramePr/>
                <a:graphic xmlns:a="http://schemas.openxmlformats.org/drawingml/2006/main">
                  <a:graphicData uri="http://schemas.microsoft.com/office/word/2010/wordprocessingShape">
                    <wps:wsp>
                      <wps:cNvSpPr/>
                      <wps:spPr>
                        <a:xfrm>
                          <a:off x="0" y="0"/>
                          <a:ext cx="576453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5pt;margin-top:13.85pt;height:0pt;width:453.9pt;z-index:251659264;mso-width-relative:page;mso-height-relative:page;" filled="f" stroked="t" coordsize="21600,21600" o:gfxdata="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2KCNvtEAAAAHAQAADwAAAAAAAAABACAAAAAiAAAAZHJzL2Rvd25yZXYueG1sUEsBAhQA&#10;FAAAAAgAh07iQHxUnC35AQAA6wMAAA4AAAAAAAAAAQAgAAAAIAEAAGRycy9lMm9Eb2MueG1sUEsF&#10;BgAAAAAGAAYAWQEAAIsFAAAAAA==&#10;">
                <v:path arrowok="t"/>
                <v:fill on="f" focussize="0,0"/>
                <v:stroke weight="4.5pt" color="#FF0000" linestyle="thickThin"/>
                <v:imagedata o:title=""/>
                <o:lock v:ext="edit" grouping="f" rotation="f" text="f" aspectratio="f"/>
              </v:line>
            </w:pict>
          </mc:Fallback>
        </mc:AlternateContent>
      </w:r>
    </w:p>
    <w:p>
      <w:pPr>
        <w:spacing w:line="600" w:lineRule="exact"/>
        <w:ind w:firstLine="631"/>
        <w:jc w:val="right"/>
        <w:rPr>
          <w:rFonts w:hint="eastAsia"/>
          <w:szCs w:val="32"/>
        </w:rPr>
      </w:pPr>
      <w:bookmarkStart w:id="1" w:name="正文"/>
      <w:r>
        <w:rPr>
          <w:rFonts w:hint="eastAsia"/>
          <w:szCs w:val="32"/>
        </w:rPr>
        <w:t>云环审〔2022〕6号</w:t>
      </w:r>
    </w:p>
    <w:p>
      <w:pPr>
        <w:pStyle w:val="2"/>
        <w:adjustRightInd w:val="0"/>
        <w:spacing w:line="600" w:lineRule="exact"/>
        <w:ind w:left="0" w:right="0"/>
        <w:rPr>
          <w:rFonts w:hint="eastAsia"/>
          <w:lang w:eastAsia="zh-CN"/>
        </w:rPr>
      </w:pPr>
    </w:p>
    <w:p>
      <w:pPr>
        <w:pStyle w:val="2"/>
        <w:adjustRightInd w:val="0"/>
        <w:spacing w:line="600" w:lineRule="exact"/>
        <w:ind w:left="0" w:right="0"/>
        <w:rPr>
          <w:rFonts w:hint="eastAsia"/>
        </w:rPr>
      </w:pPr>
      <w:r>
        <w:rPr>
          <w:rFonts w:hint="eastAsia"/>
        </w:rPr>
        <w:t>关于广东恒安纸业新建年产24万吨高档生活用纸项目环境影响报告书的批复</w:t>
      </w:r>
    </w:p>
    <w:p>
      <w:pPr>
        <w:pStyle w:val="8"/>
        <w:adjustRightInd w:val="0"/>
        <w:spacing w:line="600" w:lineRule="exact"/>
        <w:rPr>
          <w:rFonts w:hint="eastAsia" w:ascii="方正小标宋简体" w:eastAsia="方正小标宋简体"/>
          <w:sz w:val="31"/>
          <w:szCs w:val="31"/>
        </w:rPr>
      </w:pPr>
    </w:p>
    <w:p>
      <w:pPr>
        <w:pStyle w:val="8"/>
        <w:adjustRightInd w:val="0"/>
        <w:spacing w:line="600" w:lineRule="exact"/>
        <w:jc w:val="both"/>
        <w:rPr>
          <w:rFonts w:hint="eastAsia"/>
        </w:rPr>
      </w:pPr>
      <w:r>
        <w:rPr>
          <w:rFonts w:hint="eastAsia"/>
        </w:rPr>
        <w:t>广东恒安纸业有限公司（统一社会信用代码：91445300MA54G3A17R）：</w:t>
      </w:r>
    </w:p>
    <w:p>
      <w:pPr>
        <w:pStyle w:val="8"/>
        <w:adjustRightInd w:val="0"/>
        <w:spacing w:line="600" w:lineRule="exact"/>
        <w:ind w:firstLine="631"/>
        <w:jc w:val="both"/>
        <w:rPr>
          <w:rFonts w:hint="eastAsia"/>
        </w:rPr>
      </w:pPr>
      <w:r>
        <w:rPr>
          <w:rFonts w:hint="eastAsia"/>
        </w:rPr>
        <w:t>你公司报批的广东恒安纸业新建年产24万吨高档生活用纸项目环境影响报告书（以下简称</w:t>
      </w:r>
      <w:r>
        <w:rPr>
          <w:rFonts w:ascii="Times New Roman" w:hAnsi="Times New Roman" w:cs="Times New Roman"/>
        </w:rPr>
        <w:t>“</w:t>
      </w:r>
      <w:r>
        <w:rPr>
          <w:rFonts w:hint="eastAsia"/>
        </w:rPr>
        <w:t>报告书</w:t>
      </w:r>
      <w:r>
        <w:rPr>
          <w:rFonts w:ascii="Times New Roman" w:hAnsi="Times New Roman" w:cs="Times New Roman"/>
        </w:rPr>
        <w:t>”</w:t>
      </w:r>
      <w:r>
        <w:rPr>
          <w:rFonts w:hint="eastAsia"/>
        </w:rPr>
        <w:t>）等材料收悉。经研究，批复如下：</w:t>
      </w:r>
    </w:p>
    <w:p>
      <w:pPr>
        <w:pStyle w:val="8"/>
        <w:adjustRightInd w:val="0"/>
        <w:spacing w:line="600" w:lineRule="exact"/>
        <w:ind w:firstLine="631"/>
        <w:jc w:val="both"/>
        <w:rPr>
          <w:rFonts w:hint="eastAsia"/>
        </w:rPr>
      </w:pPr>
      <w:r>
        <w:rPr>
          <w:rFonts w:hint="eastAsia"/>
        </w:rPr>
        <w:t>一、广东恒安纸业新建年产24万吨高档生活用纸项目(项目代码：2020-445381-22-03-025460)位于广东省云浮市罗定市双东街道产业大道8号，中心地理坐标为北纬22.787241°，东经111.641994°。占地面积243054.31m</w:t>
      </w:r>
      <w:r>
        <w:rPr>
          <w:rFonts w:hint="eastAsia"/>
          <w:vertAlign w:val="superscript"/>
        </w:rPr>
        <w:t>2</w:t>
      </w:r>
      <w:r>
        <w:rPr>
          <w:rFonts w:hint="eastAsia"/>
        </w:rPr>
        <w:t>，建筑面积159499.84m</w:t>
      </w:r>
      <w:r>
        <w:rPr>
          <w:rFonts w:hint="eastAsia"/>
          <w:vertAlign w:val="superscript"/>
        </w:rPr>
        <w:t>2</w:t>
      </w:r>
      <w:r>
        <w:rPr>
          <w:rFonts w:hint="eastAsia"/>
        </w:rPr>
        <w:t>，总投资187855.92万元，环保投资2900万元，占总投资1.54%。项目以针叶木浆和阔叶木浆为原料生产高档生活原纸，生产规模为24万t/a，分两期建设，每期12万t/a。</w:t>
      </w:r>
    </w:p>
    <w:p>
      <w:pPr>
        <w:pStyle w:val="8"/>
        <w:adjustRightInd w:val="0"/>
        <w:spacing w:line="600" w:lineRule="exact"/>
        <w:ind w:firstLine="631"/>
        <w:jc w:val="both"/>
        <w:rPr>
          <w:rFonts w:hint="eastAsia"/>
        </w:rPr>
      </w:pPr>
      <w:r>
        <w:rPr>
          <w:rFonts w:hint="eastAsia"/>
        </w:rPr>
        <w:t>二、</w:t>
      </w:r>
      <w:r>
        <w:rPr>
          <w:rFonts w:hint="eastAsia"/>
          <w:spacing w:val="-6"/>
        </w:rPr>
        <w:t>根据报告书的评价结论、云浮市生态环境局罗定分局的初审意见和广东省环境科学研究院的技术评估意见</w:t>
      </w:r>
      <w:r>
        <w:rPr>
          <w:rFonts w:hint="eastAsia"/>
        </w:rPr>
        <w:t>，在全面落实报告书提出的各项污染防治和环境风险防范措施，并确保各类污染物稳定达标排放且符合总量控制要求的前提下，项目按照报告书中所列性质、规模、地点、采用的生产工艺和防治污染、防止生态破坏的措施进行建设，从生态环境保护角度可行。项目建设和运营中还应重点做好以下工作：</w:t>
      </w:r>
    </w:p>
    <w:p>
      <w:pPr>
        <w:pStyle w:val="8"/>
        <w:adjustRightInd w:val="0"/>
        <w:spacing w:line="600" w:lineRule="exact"/>
        <w:ind w:firstLine="631"/>
        <w:jc w:val="both"/>
        <w:rPr>
          <w:rFonts w:hint="eastAsia"/>
        </w:rPr>
      </w:pPr>
      <w:r>
        <w:rPr>
          <w:rFonts w:hint="eastAsia"/>
        </w:rPr>
        <w:t>（一）严格落实大气污染防治措施。项目造纸车间和深加工车间联合厂房产生的粉尘排放执行广东省《大气污染物排放限值》（</w:t>
      </w:r>
      <w:r>
        <w:rPr>
          <w:rFonts w:ascii="Times New Roman" w:hAnsi="Times New Roman" w:cs="Times New Roman"/>
        </w:rPr>
        <w:t>DB 44/27</w:t>
      </w:r>
      <w:r>
        <w:rPr>
          <w:rFonts w:hint="eastAsia" w:ascii="宋体" w:eastAsia="宋体"/>
        </w:rPr>
        <w:t>-</w:t>
      </w:r>
      <w:r>
        <w:rPr>
          <w:rFonts w:ascii="Times New Roman" w:hAnsi="Times New Roman" w:cs="Times New Roman"/>
        </w:rPr>
        <w:t>2001</w:t>
      </w:r>
      <w:r>
        <w:rPr>
          <w:rFonts w:hint="eastAsia"/>
        </w:rPr>
        <w:t>）第二时段二级标准，食堂油烟废气排放执行《饮食业油烟排放标准（试行）》（GB 18483-2001）标准，氨、硫化氢排放及臭气浓度执行《恶臭污染物排放标准》（</w:t>
      </w:r>
      <w:r>
        <w:rPr>
          <w:rFonts w:ascii="Times New Roman" w:hAnsi="Times New Roman" w:cs="Times New Roman"/>
        </w:rPr>
        <w:t>GB 14554</w:t>
      </w:r>
      <w:r>
        <w:rPr>
          <w:rFonts w:hint="eastAsia" w:ascii="宋体" w:eastAsia="宋体"/>
        </w:rPr>
        <w:t>-</w:t>
      </w:r>
      <w:r>
        <w:rPr>
          <w:rFonts w:ascii="Times New Roman" w:hAnsi="Times New Roman" w:cs="Times New Roman"/>
        </w:rPr>
        <w:t>93</w:t>
      </w:r>
      <w:r>
        <w:rPr>
          <w:rFonts w:hint="eastAsia"/>
        </w:rPr>
        <w:t>）相应标准值。各排气筒高度应不低于报告书建议值。</w:t>
      </w:r>
    </w:p>
    <w:p>
      <w:pPr>
        <w:pStyle w:val="8"/>
        <w:adjustRightInd w:val="0"/>
        <w:spacing w:line="600" w:lineRule="exact"/>
        <w:ind w:firstLine="631"/>
        <w:jc w:val="both"/>
        <w:rPr>
          <w:rFonts w:hint="eastAsia"/>
        </w:rPr>
      </w:pPr>
      <w:r>
        <w:rPr>
          <w:rFonts w:hint="eastAsia"/>
        </w:rPr>
        <w:t>无组织排放废气中，颗粒物等污染物厂区周界执行（</w:t>
      </w:r>
      <w:r>
        <w:rPr>
          <w:rFonts w:ascii="Times New Roman" w:hAnsi="Times New Roman" w:cs="Times New Roman"/>
        </w:rPr>
        <w:t>DB 44/27</w:t>
      </w:r>
      <w:r>
        <w:rPr>
          <w:rFonts w:hint="eastAsia" w:ascii="宋体" w:eastAsia="宋体"/>
        </w:rPr>
        <w:t>-</w:t>
      </w:r>
      <w:r>
        <w:rPr>
          <w:rFonts w:ascii="Times New Roman" w:hAnsi="Times New Roman" w:cs="Times New Roman"/>
        </w:rPr>
        <w:t>2001</w:t>
      </w:r>
      <w:r>
        <w:rPr>
          <w:rFonts w:hint="eastAsia"/>
        </w:rPr>
        <w:t>） 第二时段相应要求；氨、硫化氢及臭气浓度厂界执行（</w:t>
      </w:r>
      <w:r>
        <w:rPr>
          <w:rFonts w:ascii="Times New Roman" w:hAnsi="Times New Roman" w:cs="Times New Roman"/>
        </w:rPr>
        <w:t>GB 14554</w:t>
      </w:r>
      <w:r>
        <w:rPr>
          <w:rFonts w:hint="eastAsia" w:ascii="宋体" w:eastAsia="宋体"/>
        </w:rPr>
        <w:t>-</w:t>
      </w:r>
      <w:r>
        <w:rPr>
          <w:rFonts w:ascii="Times New Roman" w:hAnsi="Times New Roman" w:cs="Times New Roman"/>
        </w:rPr>
        <w:t>93</w:t>
      </w:r>
      <w:r>
        <w:rPr>
          <w:rFonts w:hint="eastAsia"/>
        </w:rPr>
        <w:t>）相应标准值。</w:t>
      </w:r>
    </w:p>
    <w:p>
      <w:pPr>
        <w:pStyle w:val="8"/>
        <w:adjustRightInd w:val="0"/>
        <w:spacing w:line="600" w:lineRule="exact"/>
        <w:ind w:firstLine="631"/>
        <w:jc w:val="both"/>
        <w:rPr>
          <w:rFonts w:hint="eastAsia"/>
        </w:rPr>
      </w:pPr>
      <w:r>
        <w:rPr>
          <w:rFonts w:hint="eastAsia"/>
        </w:rPr>
        <w:t>（二）严格落实全厂水污染防治措施。项目生产废水经自建污水处理设施处理达到《制浆造纸工业水污染物排放标准》（GB 3544-2008）表2新建企业水污染物排放限值-造纸企业标准及广东省《水污染物排放限值》（DB44/26-2001）第二时段一级标准中较严值，处理达标后的尾水经双东工业园污水处理厂排污口排入围底河。项目二期建设前需论证围底河有足够环境容量及安全余量后，方可动工建设；生活污水经三级化粪池预处理达到（DB44/26-2001）中第二时段三级标准后，通过市政污水管网排入罗定市第三生活污水处理厂集中处理，尾水排放标准执行《城镇污水处理厂污染物排放标准》（GB18918-2002）水污染物排放一级A标准和（DB44/26-2001）中第二时段一级标准较严值，处理后的达标尾水经罗定市第三污水处理厂的排污口排放至罗定江。你公司应配合有关单位加快上述污水处理厂纳污管网建设工作，确保你公司废水按要求排入上述污水处理厂。项目中水回用严格按报告要求执行。</w:t>
      </w:r>
    </w:p>
    <w:p>
      <w:pPr>
        <w:pStyle w:val="8"/>
        <w:adjustRightInd w:val="0"/>
        <w:spacing w:line="600" w:lineRule="exact"/>
        <w:ind w:firstLine="631"/>
        <w:jc w:val="both"/>
        <w:rPr>
          <w:rFonts w:hint="eastAsia"/>
        </w:rPr>
      </w:pPr>
      <w:r>
        <w:rPr>
          <w:rFonts w:hint="eastAsia"/>
        </w:rPr>
        <w:t>完善全厂初期雨水收集处理和监测、排放系统，以及防渗区域划分，并采取严格防渗措施，防止污染土壤、地下水环境。</w:t>
      </w:r>
    </w:p>
    <w:p>
      <w:pPr>
        <w:pStyle w:val="8"/>
        <w:adjustRightInd w:val="0"/>
        <w:spacing w:line="600" w:lineRule="exact"/>
        <w:ind w:firstLine="631"/>
        <w:jc w:val="both"/>
        <w:rPr>
          <w:rFonts w:hint="eastAsia"/>
        </w:rPr>
      </w:pPr>
      <w:r>
        <w:rPr>
          <w:rFonts w:hint="eastAsia"/>
        </w:rPr>
        <w:t>本项目建成运行后，生产废水化学需氧量和氨氮分别应控制在81.75吨/年、8.18吨/年以内。根据罗定分局《关于&lt;广东恒安纸业新建年产24万吨高档生活用纸项目环境影响报告书&gt;的初审意见》，上述污染物总量指标从罗定市减排项目罗定互益染厂有限公司形成的“可替代总量指标”中安排。在上述减排措施完成后，方可投入生产。</w:t>
      </w:r>
    </w:p>
    <w:p>
      <w:pPr>
        <w:pStyle w:val="8"/>
        <w:adjustRightInd w:val="0"/>
        <w:spacing w:line="600" w:lineRule="exact"/>
        <w:ind w:firstLine="631"/>
        <w:jc w:val="both"/>
        <w:rPr>
          <w:rFonts w:hint="eastAsia"/>
        </w:rPr>
      </w:pPr>
      <w:r>
        <w:rPr>
          <w:rFonts w:hint="eastAsia"/>
        </w:rPr>
        <w:t>（三）严格落实噪声污染防治措施。选用低噪音设备，并采取有效的隔声、降噪等措施，确保厂界噪声符合《工业企业厂界环境噪声排放标准》（GB 12348-2008）相应声环境功能区排放限值。</w:t>
      </w:r>
    </w:p>
    <w:p>
      <w:pPr>
        <w:pStyle w:val="8"/>
        <w:adjustRightInd w:val="0"/>
        <w:spacing w:line="600" w:lineRule="exact"/>
        <w:ind w:firstLine="607"/>
        <w:jc w:val="both"/>
        <w:rPr>
          <w:rFonts w:hint="eastAsia"/>
        </w:rPr>
      </w:pPr>
      <w:r>
        <w:rPr>
          <w:rFonts w:hint="eastAsia"/>
        </w:rPr>
        <w:t>（四）严格落实固体废物分类处理处置要求。废润滑油、废油品容器、废含油抹布添加剂废包装桶等危险废物委托有资质单位处理处置，湿法除尘系统收集的粉尘等一般工业固体废物依法依规处理处置，生活垃圾由环卫部门收集处理。</w:t>
      </w:r>
    </w:p>
    <w:p>
      <w:pPr>
        <w:pStyle w:val="8"/>
        <w:adjustRightInd w:val="0"/>
        <w:spacing w:line="600" w:lineRule="exact"/>
        <w:ind w:firstLine="607"/>
        <w:jc w:val="both"/>
        <w:rPr>
          <w:rFonts w:hint="eastAsia"/>
          <w:sz w:val="21"/>
          <w:szCs w:val="21"/>
        </w:rPr>
      </w:pPr>
      <w:r>
        <w:rPr>
          <w:rFonts w:hint="eastAsia"/>
        </w:rPr>
        <w:t>（五）完善并严格落实环境风险防范措施和应急预案，建立健全环境风险事故防范应急体系。加强污染防治设施的管理和维护，设置足够容积的废水事故应急池，切实防范环境污染事故发生。</w:t>
      </w:r>
    </w:p>
    <w:p>
      <w:pPr>
        <w:pStyle w:val="8"/>
        <w:adjustRightInd w:val="0"/>
        <w:spacing w:line="600" w:lineRule="exact"/>
        <w:ind w:firstLine="631"/>
        <w:jc w:val="both"/>
        <w:rPr>
          <w:rFonts w:hint="eastAsia"/>
        </w:rPr>
      </w:pPr>
      <w:r>
        <w:rPr>
          <w:rFonts w:hint="eastAsia"/>
        </w:rPr>
        <w:t>（六）加强施工期环境管理，防止工程施工造成环境污染或生态破坏。合理安排施工时间，施工噪声执行《建筑施工场界环境噪声排放标准》（GB 12523-2011）。</w:t>
      </w:r>
    </w:p>
    <w:p>
      <w:pPr>
        <w:pStyle w:val="8"/>
        <w:adjustRightInd w:val="0"/>
        <w:spacing w:line="600" w:lineRule="exact"/>
        <w:ind w:firstLine="631"/>
        <w:jc w:val="both"/>
        <w:rPr>
          <w:rFonts w:hint="eastAsia"/>
        </w:rPr>
      </w:pPr>
      <w:r>
        <w:rPr>
          <w:rFonts w:hint="eastAsia"/>
        </w:rPr>
        <w:t>（七）按照国家和省的有关规定规范设置排污口，并安装主要污染物在线监控系统，按当地生态环境部门的要求实施联网监控。</w:t>
      </w:r>
    </w:p>
    <w:p>
      <w:pPr>
        <w:pStyle w:val="8"/>
        <w:adjustRightInd w:val="0"/>
        <w:spacing w:line="600" w:lineRule="exact"/>
        <w:ind w:firstLine="631"/>
        <w:jc w:val="both"/>
        <w:rPr>
          <w:rFonts w:hint="eastAsia"/>
        </w:rPr>
      </w:pPr>
      <w:r>
        <w:rPr>
          <w:rFonts w:hint="eastAsia"/>
        </w:rPr>
        <w:t>（八）在项目施工和运营过程中，建立畅通的公众参与平台，及时解决公众合理的环境诉求。定期发布企业环境信息，主动接受社会监督。</w:t>
      </w:r>
    </w:p>
    <w:p>
      <w:pPr>
        <w:pStyle w:val="8"/>
        <w:adjustRightInd w:val="0"/>
        <w:spacing w:line="600" w:lineRule="exact"/>
        <w:ind w:firstLine="640" w:firstLineChars="200"/>
        <w:jc w:val="both"/>
        <w:rPr>
          <w:rFonts w:hint="eastAsia"/>
        </w:rPr>
      </w:pPr>
      <w:r>
        <w:rPr>
          <w:rFonts w:hint="eastAsia"/>
        </w:rPr>
        <w:t>三、项目环保投资应纳入工程投资概算并予以落实。</w:t>
      </w:r>
    </w:p>
    <w:p>
      <w:pPr>
        <w:pStyle w:val="8"/>
        <w:adjustRightInd w:val="0"/>
        <w:spacing w:line="600" w:lineRule="exact"/>
        <w:ind w:firstLine="631"/>
        <w:jc w:val="both"/>
        <w:rPr>
          <w:rFonts w:hint="eastAsia"/>
        </w:rPr>
      </w:pPr>
      <w:r>
        <w:rPr>
          <w:rFonts w:hint="eastAsia"/>
        </w:rPr>
        <w:t>四、报告书经批准后，建设项目的性质、规模、地点、采用的生产工艺或者防治污染、防止生态破坏的措施发生重大变动的，建设单位应当重新报批建设项目的环境影响评价文件。</w:t>
      </w:r>
    </w:p>
    <w:p>
      <w:pPr>
        <w:pStyle w:val="8"/>
        <w:adjustRightInd w:val="0"/>
        <w:spacing w:line="600" w:lineRule="exact"/>
        <w:ind w:firstLine="631"/>
        <w:jc w:val="both"/>
        <w:rPr>
          <w:rFonts w:hint="eastAsia"/>
        </w:rPr>
      </w:pPr>
      <w:r>
        <w:rPr>
          <w:rFonts w:hint="eastAsia"/>
        </w:rPr>
        <w:t>五、项目建设应严格执行配套建设的环境保护设施与主体工程同时设计、同时施工、同时投产使用的环境保护“三同时”制度，并按规定接受生态环境部门日常监督检查。</w:t>
      </w:r>
    </w:p>
    <w:p>
      <w:pPr>
        <w:pStyle w:val="8"/>
        <w:adjustRightInd w:val="0"/>
        <w:spacing w:line="600" w:lineRule="exact"/>
        <w:ind w:firstLine="631"/>
        <w:jc w:val="both"/>
        <w:rPr>
          <w:rFonts w:hint="eastAsia"/>
          <w:sz w:val="20"/>
          <w:szCs w:val="20"/>
        </w:rPr>
      </w:pPr>
      <w:r>
        <w:rPr>
          <w:rFonts w:hint="eastAsia"/>
        </w:rPr>
        <w:t xml:space="preserve">六、你公司应在收到本批复后 </w:t>
      </w:r>
      <w:r>
        <w:rPr>
          <w:rFonts w:ascii="Times New Roman" w:hAnsi="Times New Roman" w:cs="Times New Roman"/>
        </w:rPr>
        <w:t xml:space="preserve">20 </w:t>
      </w:r>
      <w:r>
        <w:rPr>
          <w:rFonts w:hint="eastAsia"/>
        </w:rPr>
        <w:t>个工作日内，将批准后的报告书送云浮市生态环境局罗定分局。</w:t>
      </w:r>
    </w:p>
    <w:p>
      <w:pPr>
        <w:pStyle w:val="8"/>
        <w:adjustRightInd w:val="0"/>
        <w:spacing w:line="600" w:lineRule="exact"/>
        <w:rPr>
          <w:rFonts w:hint="eastAsia" w:ascii="黑体" w:hAnsi="黑体" w:eastAsia="黑体"/>
        </w:rPr>
      </w:pPr>
    </w:p>
    <w:p>
      <w:pPr>
        <w:pStyle w:val="8"/>
        <w:adjustRightInd w:val="0"/>
        <w:spacing w:line="600" w:lineRule="exact"/>
        <w:rPr>
          <w:rFonts w:hint="eastAsia" w:ascii="黑体" w:hAnsi="黑体" w:eastAsia="黑体"/>
        </w:rPr>
      </w:pPr>
    </w:p>
    <w:p>
      <w:pPr>
        <w:pStyle w:val="8"/>
        <w:adjustRightInd w:val="0"/>
        <w:spacing w:line="600" w:lineRule="exact"/>
        <w:jc w:val="right"/>
        <w:rPr>
          <w:rFonts w:hint="eastAsia"/>
        </w:rPr>
      </w:pPr>
      <w:r>
        <w:rPr>
          <w:rFonts w:hint="eastAsia"/>
        </w:rPr>
        <w:t xml:space="preserve">云浮市生态环境局    </w:t>
      </w:r>
    </w:p>
    <w:p>
      <w:pPr>
        <w:pStyle w:val="8"/>
        <w:adjustRightInd w:val="0"/>
        <w:spacing w:line="600" w:lineRule="exact"/>
        <w:jc w:val="right"/>
        <w:rPr>
          <w:rFonts w:hint="eastAsia"/>
        </w:rPr>
      </w:pPr>
      <w:r>
        <w:rPr>
          <w:rFonts w:hint="eastAsia"/>
        </w:rPr>
        <w:t xml:space="preserve">2022年2月16日    </w:t>
      </w:r>
    </w:p>
    <w:p>
      <w:pPr>
        <w:pStyle w:val="8"/>
        <w:spacing w:before="230"/>
        <w:ind w:left="146"/>
        <w:rPr>
          <w:rFonts w:hint="eastAsia" w:ascii="黑体" w:hAnsi="黑体" w:eastAsia="黑体"/>
        </w:rPr>
      </w:pPr>
    </w:p>
    <w:p>
      <w:pPr>
        <w:pStyle w:val="8"/>
        <w:spacing w:line="600" w:lineRule="atLeast"/>
        <w:rPr>
          <w:rFonts w:hint="eastAsia"/>
        </w:rPr>
      </w:pPr>
      <w:r>
        <w:rPr>
          <w:rFonts w:hint="eastAsia" w:ascii="黑体" w:hAnsi="黑体" w:eastAsia="黑体"/>
        </w:rPr>
        <w:t>公开方式：</w:t>
      </w:r>
      <w:r>
        <w:rPr>
          <w:rFonts w:hint="eastAsia"/>
        </w:rPr>
        <w:t>主动公开</w:t>
      </w:r>
    </w:p>
    <w:p>
      <w:pPr>
        <w:pStyle w:val="8"/>
        <w:rPr>
          <w:rFonts w:hint="eastAsia"/>
          <w:sz w:val="20"/>
          <w:szCs w:val="20"/>
        </w:rPr>
      </w:pPr>
    </w:p>
    <w:tbl>
      <w:tblPr>
        <w:tblStyle w:val="5"/>
        <w:tblW w:w="0" w:type="auto"/>
        <w:tblInd w:w="0" w:type="dxa"/>
        <w:tblLayout w:type="fixed"/>
        <w:tblCellMar>
          <w:top w:w="0" w:type="dxa"/>
          <w:left w:w="108" w:type="dxa"/>
          <w:bottom w:w="0" w:type="dxa"/>
          <w:right w:w="108" w:type="dxa"/>
        </w:tblCellMar>
      </w:tblPr>
      <w:tblGrid>
        <w:gridCol w:w="9065"/>
      </w:tblGrid>
      <w:tr>
        <w:tblPrEx>
          <w:tblCellMar>
            <w:top w:w="0" w:type="dxa"/>
            <w:left w:w="108" w:type="dxa"/>
            <w:bottom w:w="0" w:type="dxa"/>
            <w:right w:w="108" w:type="dxa"/>
          </w:tblCellMar>
        </w:tblPrEx>
        <w:tc>
          <w:tcPr>
            <w:tcW w:w="9065" w:type="dxa"/>
            <w:tcBorders>
              <w:top w:val="single" w:color="000000" w:sz="4" w:space="0"/>
              <w:left w:val="nil"/>
              <w:bottom w:val="single" w:color="000000" w:sz="4" w:space="0"/>
              <w:right w:val="nil"/>
            </w:tcBorders>
            <w:noWrap w:val="0"/>
            <w:vAlign w:val="top"/>
          </w:tcPr>
          <w:p>
            <w:pPr>
              <w:pStyle w:val="9"/>
              <w:autoSpaceDN w:val="0"/>
              <w:spacing w:line="600" w:lineRule="atLeast"/>
              <w:ind w:left="840" w:hanging="840"/>
              <w:rPr>
                <w:sz w:val="28"/>
                <w:szCs w:val="28"/>
              </w:rPr>
            </w:pPr>
            <w:r>
              <w:rPr>
                <w:rFonts w:hint="eastAsia"/>
                <w:sz w:val="28"/>
                <w:szCs w:val="28"/>
              </w:rPr>
              <w:t>抄送：市发展改革局、市工业和信息化局、市自然资源局、市住房城乡建设局，云浮市生态环境局罗定分局，广东华南环保产业技术研究院有限公司。</w:t>
            </w:r>
          </w:p>
        </w:tc>
      </w:tr>
      <w:tr>
        <w:tblPrEx>
          <w:tblCellMar>
            <w:top w:w="0" w:type="dxa"/>
            <w:left w:w="108" w:type="dxa"/>
            <w:bottom w:w="0" w:type="dxa"/>
            <w:right w:w="108" w:type="dxa"/>
          </w:tblCellMar>
        </w:tblPrEx>
        <w:tc>
          <w:tcPr>
            <w:tcW w:w="9065" w:type="dxa"/>
            <w:tcBorders>
              <w:top w:val="single" w:color="000000" w:sz="4" w:space="0"/>
              <w:left w:val="nil"/>
              <w:bottom w:val="single" w:color="000000" w:sz="4" w:space="0"/>
              <w:right w:val="nil"/>
            </w:tcBorders>
            <w:noWrap w:val="0"/>
            <w:vAlign w:val="top"/>
          </w:tcPr>
          <w:p>
            <w:pPr>
              <w:pStyle w:val="9"/>
              <w:autoSpaceDN w:val="0"/>
              <w:spacing w:line="600" w:lineRule="atLeast"/>
              <w:rPr>
                <w:sz w:val="28"/>
                <w:szCs w:val="28"/>
              </w:rPr>
            </w:pPr>
            <w:r>
              <w:rPr>
                <w:rFonts w:hint="eastAsia"/>
                <w:sz w:val="28"/>
                <w:szCs w:val="28"/>
              </w:rPr>
              <w:t>云浮市生态环境局办公室                       2022年2月16日印发</w:t>
            </w:r>
          </w:p>
        </w:tc>
        <w:bookmarkStart w:id="2" w:name="广东省生态环境厅关于广东微容电子科技有限公司年产6000亿片多层陶瓷电容器改扩建"/>
      </w:tr>
      <w:bookmarkEnd w:id="1"/>
      <w:bookmarkEnd w:id="2"/>
    </w:tbl>
    <w:p>
      <w:pPr>
        <w:pStyle w:val="3"/>
        <w:adjustRightInd w:val="0"/>
        <w:snapToGrid w:val="0"/>
        <w:spacing w:line="20" w:lineRule="exact"/>
        <w:ind w:right="510"/>
        <w:jc w:val="right"/>
        <w:rPr>
          <w:rFonts w:hint="eastAsia"/>
        </w:rPr>
      </w:pPr>
    </w:p>
    <w:p/>
    <w:sectPr>
      <w:footerReference r:id="rId5" w:type="first"/>
      <w:footerReference r:id="rId3" w:type="default"/>
      <w:footerReference r:id="rId4" w:type="even"/>
      <w:pgSz w:w="11907" w:h="16840"/>
      <w:pgMar w:top="1985" w:right="1531" w:bottom="1985" w:left="1531"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Fonts w:ascii="宋体" w:hAnsi="宋体" w:eastAsia="宋体"/>
        <w:sz w:val="28"/>
        <w:szCs w:val="28"/>
      </w:rPr>
    </w:pPr>
    <w:r>
      <w:rPr>
        <w:rStyle w:val="7"/>
        <w:rFonts w:ascii="宋体" w:hAnsi="宋体" w:eastAsia="宋体"/>
        <w:sz w:val="28"/>
        <w:szCs w:val="28"/>
      </w:rPr>
      <w:fldChar w:fldCharType="begin"/>
    </w:r>
    <w:r>
      <w:rPr>
        <w:rStyle w:val="7"/>
        <w:rFonts w:ascii="宋体" w:hAnsi="宋体" w:eastAsia="宋体"/>
        <w:sz w:val="28"/>
        <w:szCs w:val="28"/>
      </w:rPr>
      <w:instrText xml:space="preserve">PAGE  </w:instrText>
    </w:r>
    <w:r>
      <w:rPr>
        <w:rStyle w:val="7"/>
        <w:rFonts w:ascii="宋体" w:hAnsi="宋体" w:eastAsia="宋体"/>
        <w:sz w:val="28"/>
        <w:szCs w:val="28"/>
      </w:rPr>
      <w:fldChar w:fldCharType="separate"/>
    </w:r>
    <w:r>
      <w:rPr>
        <w:rStyle w:val="7"/>
        <w:rFonts w:ascii="宋体" w:hAnsi="宋体" w:eastAsia="宋体"/>
        <w:sz w:val="28"/>
        <w:szCs w:val="28"/>
      </w:rPr>
      <w:t>- 5 -</w:t>
    </w:r>
    <w:r>
      <w:rPr>
        <w:rStyle w:val="7"/>
        <w:rFonts w:ascii="宋体" w:hAnsi="宋体" w:eastAsia="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-149225</wp:posOffset>
              </wp:positionV>
              <wp:extent cx="5755005" cy="0"/>
              <wp:effectExtent l="0" t="28575" r="5715" b="32385"/>
              <wp:wrapNone/>
              <wp:docPr id="7" name="直接连接符 7"/>
              <wp:cNvGraphicFramePr/>
              <a:graphic xmlns:a="http://schemas.openxmlformats.org/drawingml/2006/main">
                <a:graphicData uri="http://schemas.microsoft.com/office/word/2010/wordprocessingShape">
                  <wps:wsp>
                    <wps:cNvSpPr/>
                    <wps:spPr>
                      <a:xfrm>
                        <a:off x="0" y="0"/>
                        <a:ext cx="5755005"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05pt;margin-top:-11.75pt;height:0pt;width:453.15pt;z-index:251659264;mso-width-relative:page;mso-height-relative:page;" filled="f" stroked="t" coordsize="21600,21600" o:gfxdata="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LZzMPWAAAACQEAAA8AAAAAAAAAAQAgAAAAIgAAAGRycy9kb3ducmV2Lnht&#10;bFBLAQIUABQAAAAIAIdO4kDclcsv+wEAAOsDAAAOAAAAAAAAAAEAIAAAACUBAABkcnMvZTJvRG9j&#10;LnhtbFBLBQYAAAAABgAGAFkBAACSBQAAAAA=&#10;">
              <v:path arrowok="t"/>
              <v:fill on="f" focussize="0,0"/>
              <v:stroke weight="4.5pt" color="#FF0000" linestyle="thinThick"/>
              <v:imagedata o:title=""/>
              <o:lock v:ext="edit" grouping="f" rotation="f" text="f" aspectratio="f"/>
            </v:lin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dit="forms" w:formatting="1" w:enforcement="1" w:cryptProviderType="rsaFull" w:cryptAlgorithmClass="hash" w:cryptAlgorithmType="typeAny" w:cryptAlgorithmSid="4" w:cryptSpinCount="0" w:hash="OfLwtQo4rvhq3BlW5lDvM1rQQ+Q=" w:salt="JoIs8WMzuJHP1++rGvGsfQ=="/>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7D2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autoSpaceDE w:val="0"/>
      <w:autoSpaceDN w:val="0"/>
      <w:ind w:left="267" w:right="416"/>
      <w:jc w:val="center"/>
      <w:outlineLvl w:val="0"/>
    </w:pPr>
    <w:rPr>
      <w:rFonts w:ascii="方正小标宋简体" w:hAnsi="方正小标宋简体" w:eastAsia="方正小标宋简体" w:cs="方正小标宋简体"/>
      <w:kern w:val="0"/>
      <w:sz w:val="44"/>
      <w:szCs w:val="44"/>
      <w:lang w:eastAsia="en-US"/>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uiPriority w:val="0"/>
    <w:pPr>
      <w:jc w:val="center"/>
    </w:pPr>
    <w:rPr>
      <w:b/>
      <w:color w:val="FF0000"/>
      <w:w w:val="90"/>
      <w:position w:val="4"/>
      <w:sz w:val="96"/>
      <w:szCs w:val="60"/>
    </w:rPr>
  </w:style>
  <w:style w:type="paragraph" w:styleId="4">
    <w:name w:val="footer"/>
    <w:basedOn w:val="1"/>
    <w:uiPriority w:val="0"/>
    <w:pPr>
      <w:tabs>
        <w:tab w:val="center" w:pos="4153"/>
        <w:tab w:val="right" w:pos="8306"/>
      </w:tabs>
      <w:snapToGrid w:val="0"/>
      <w:jc w:val="left"/>
    </w:pPr>
    <w:rPr>
      <w:sz w:val="18"/>
      <w:szCs w:val="18"/>
    </w:rPr>
  </w:style>
  <w:style w:type="character" w:styleId="7">
    <w:name w:val="page number"/>
    <w:basedOn w:val="6"/>
    <w:uiPriority w:val="0"/>
  </w:style>
  <w:style w:type="paragraph" w:customStyle="1" w:styleId="8">
    <w:name w:val="p15"/>
    <w:basedOn w:val="1"/>
    <w:qFormat/>
    <w:uiPriority w:val="0"/>
    <w:pPr>
      <w:widowControl/>
      <w:jc w:val="left"/>
    </w:pPr>
    <w:rPr>
      <w:rFonts w:ascii="仿宋_GB2312" w:hAnsi="宋体" w:cs="宋体"/>
      <w:kern w:val="0"/>
      <w:szCs w:val="32"/>
    </w:rPr>
  </w:style>
  <w:style w:type="paragraph" w:customStyle="1" w:styleId="9">
    <w:name w:val="p0"/>
    <w:basedOn w:val="1"/>
    <w:uiPriority w:val="0"/>
    <w:pPr>
      <w:widowControl/>
      <w:jc w:val="left"/>
    </w:pPr>
    <w:rPr>
      <w:rFonts w:ascii="仿宋_GB2312" w:hAnsi="宋体" w:cs="宋体"/>
      <w:kern w:val="0"/>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2022-02-18T01:18:02Z</dcterms:created>
  <dc:creator>1218-pc</dc:creator>
  <cp:lastModifiedBy>洪</cp:lastModifiedBy>
  <dcterms:modified xsi:type="dcterms:W3CDTF">2022-02-18T01:19:30Z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4CB9265E1CA44C25A6DC1D4D11E8F026</vt:lpwstr>
  </property>
</Properties>
</file>