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57" w:type="dxa"/>
        </w:tblCellMar>
      </w:tblPr>
      <w:tblGrid>
        <w:gridCol w:w="8119"/>
      </w:tblGrid>
      <w:tr>
        <w:tblPrEx>
          <w:tblCellMar>
            <w:top w:w="0" w:type="dxa"/>
            <w:left w:w="0" w:type="dxa"/>
            <w:bottom w:w="0" w:type="dxa"/>
            <w:right w:w="57" w:type="dxa"/>
          </w:tblCellMar>
        </w:tblPrEx>
        <w:trPr>
          <w:trHeight w:val="799" w:hRule="atLeast"/>
          <w:jc w:val="center"/>
        </w:trPr>
        <w:tc>
          <w:tcPr>
            <w:tcW w:w="8119" w:type="dxa"/>
            <w:noWrap w:val="0"/>
            <w:vAlign w:val="center"/>
          </w:tcPr>
          <w:p>
            <w:pPr>
              <w:pStyle w:val="2"/>
              <w:jc w:val="distribute"/>
              <w:rPr>
                <w:rFonts w:hint="eastAsia" w:ascii="方正小标宋简体" w:hAnsi="方正小标宋简体" w:eastAsia="方正小标宋简体"/>
                <w:b w:val="0"/>
                <w:w w:val="114"/>
                <w:kern w:val="0"/>
                <w:position w:val="-30"/>
                <w:sz w:val="84"/>
                <w:szCs w:val="84"/>
              </w:rPr>
            </w:pPr>
            <w:bookmarkStart w:id="0" w:name="红头标题"/>
            <w:r>
              <w:rPr>
                <w:rFonts w:hint="eastAsia" w:ascii="方正小标宋简体" w:hAnsi="方正小标宋简体" w:eastAsia="方正小标宋简体"/>
                <w:b w:val="0"/>
                <w:w w:val="114"/>
                <w:kern w:val="0"/>
                <w:position w:val="-30"/>
                <w:sz w:val="84"/>
                <w:szCs w:val="84"/>
              </w:rPr>
              <w:t>云浮市生态环境局</w:t>
            </w:r>
            <w:bookmarkEnd w:id="0"/>
          </w:p>
        </w:tc>
      </w:tr>
    </w:tbl>
    <w:p>
      <w:pPr>
        <w:jc w:val="right"/>
        <w:rPr>
          <w:rFonts w:hint="eastAsia"/>
          <w:szCs w:val="21"/>
        </w:rPr>
      </w:pPr>
      <w:r>
        <w:rPr>
          <w:color w:val="FF0000"/>
          <w:sz w:val="20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18415</wp:posOffset>
                </wp:positionH>
                <wp:positionV relativeFrom="paragraph">
                  <wp:posOffset>175895</wp:posOffset>
                </wp:positionV>
                <wp:extent cx="5764530" cy="0"/>
                <wp:effectExtent l="0" t="28575" r="11430" b="32385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4530" cy="0"/>
                        </a:xfrm>
                        <a:prstGeom prst="line">
                          <a:avLst/>
                        </a:prstGeom>
                        <a:ln w="57150" cap="flat" cmpd="thickThin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.45pt;margin-top:13.85pt;height:0pt;width:453.9pt;z-index:251659264;mso-width-relative:page;mso-height-relative:page;" filled="f" stroked="t" coordsize="21600,21600" o:gfxdata="UEsDBAoAAAAAAIdO4kAAAAAAAAAAAAAAAAAEAAAAZHJzL1BLAwQUAAAACACHTuJA2KCNvtEAAAAH&#10;AQAADwAAAGRycy9kb3ducmV2LnhtbE2OS0/DMBCE70j8B2srcaN2giA0jdMDEmfo48DRjbdJ1Hgd&#10;2U7T/nsWcYDTPmY081WbqxvEBUPsPWnIlgoEUuNtT62Gw/798RVETIasGTyhhhtG2NT3d5UprZ9p&#10;i5ddagWHUCyNhi6lsZQyNh06E5d+RGLt5IMzic/QShvMzOFukLlSL9KZnrihMyO+ddicd5PT8FUE&#10;8vP24/T5NNEt5uN5nz8rrR8WmVqDSHhNf2b4wWd0qJnp6CeyUQwa8hUbeRQFCJZXmeLl+PuQdSX/&#10;89ffUEsDBBQAAAAIAIdO4kCTToNu3wEAAJ0DAAAOAAAAZHJzL2Uyb0RvYy54bWytU0uOEzEQ3SNx&#10;B8t70p2BTFArnVkQwgbBSDMcoOJP28I/2Z50cgkugMQOVizZcxuGY1B2Mhk+G4ToRXXZVf2q3qvq&#10;xcXOGrIVMWnvejqdtJQIxzzXbujpm+v1o6eUpAyOg/FO9HQvEr1YPnywGEMnzrzyhotIEMSlbgw9&#10;VTmHrmkSU8JCmvggHAaljxYyHuPQ8AgjolvTnLXteTP6yEP0TKSEt6tDkC4rvpSC5ddSJpGJ6Sn2&#10;lquN1W6KbZYL6IYIQWl2bAP+oQsL2mHRE9QKMpCbqP+AsppFn7zME+Zt46XUTFQOyGba/sbmSkEQ&#10;lQuKk8JJpvT/YNmr7WUkmvd0TokDiyO6ff/l27uP379+QHv7+ROZF5HGkDrMvQqX8XhK6BbGOxlt&#10;eSMXsqvC7k/Cil0mDC9n8/Mns8eoP7uLNfcfhpjyC+EtKU5PjXaFM3SwfZkyFsPUu5RybRwZC+J0&#10;VvAAd0YayOjagCwyzvHttTpOI3mj+VobUz5Mcdg8M5FsAXdhvW7xKcwQ/pe0UmsFSR3yauiwJUoA&#10;f+44yfuAKjlcZ1o6sYJTYgRuf/EQELoM2vxNJpY2Djso4h7kLN7G8z3O5CZEPSgUZFq7LBHcgdrv&#10;cV/Lkv18rkj3f9XyB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Nigjb7RAAAABwEAAA8AAAAAAAAA&#10;AQAgAAAAIgAAAGRycy9kb3ducmV2LnhtbFBLAQIUABQAAAAIAIdO4kCTToNu3wEAAJ0DAAAOAAAA&#10;AAAAAAEAIAAAACABAABkcnMvZTJvRG9jLnhtbFBLBQYAAAAABgAGAFkBAABxBQAAAAA=&#10;">
                <v:path arrowok="t"/>
                <v:fill on="f" focussize="0,0"/>
                <v:stroke weight="4.5pt" color="#FF0000" linestyle="thickThin"/>
                <v:imagedata o:title=""/>
                <o:lock v:ext="edit" grouping="f" rotation="f" text="f" aspectratio="f"/>
              </v:line>
            </w:pict>
          </mc:Fallback>
        </mc:AlternateContent>
      </w:r>
    </w:p>
    <w:p>
      <w:pPr>
        <w:pStyle w:val="6"/>
        <w:ind w:firstLine="640"/>
        <w:jc w:val="right"/>
        <w:rPr>
          <w:rFonts w:hint="eastAsia" w:ascii="仿宋_GB2312" w:hAnsi="仿宋_GB2312" w:eastAsia="仿宋_GB2312"/>
          <w:spacing w:val="-20"/>
          <w:sz w:val="32"/>
          <w:szCs w:val="32"/>
        </w:rPr>
      </w:pPr>
      <w:bookmarkStart w:id="1" w:name="正文"/>
      <w:r>
        <w:rPr>
          <w:rFonts w:hint="eastAsia" w:ascii="仿宋_GB2312" w:hAnsi="仿宋_GB2312" w:eastAsia="仿宋_GB2312"/>
          <w:spacing w:val="-20"/>
          <w:sz w:val="32"/>
          <w:szCs w:val="32"/>
        </w:rPr>
        <w:t>云环审〔2020〕30号</w:t>
      </w:r>
    </w:p>
    <w:p>
      <w:pPr>
        <w:pStyle w:val="6"/>
        <w:adjustRightInd w:val="0"/>
        <w:snapToGrid w:val="0"/>
        <w:spacing w:line="600" w:lineRule="exact"/>
        <w:ind w:firstLine="640"/>
        <w:jc w:val="right"/>
        <w:rPr>
          <w:rFonts w:ascii="方正小标宋简体" w:eastAsia="方正小标宋简体"/>
          <w:spacing w:val="-20"/>
          <w:sz w:val="28"/>
          <w:szCs w:val="28"/>
        </w:rPr>
      </w:pPr>
    </w:p>
    <w:p>
      <w:pPr>
        <w:pStyle w:val="8"/>
        <w:autoSpaceDN w:val="0"/>
        <w:adjustRightInd w:val="0"/>
        <w:snapToGrid w:val="0"/>
        <w:spacing w:line="240" w:lineRule="auto"/>
        <w:ind w:firstLine="0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关于罗定市佳豪金属表面处理有限公司年电镀20亿件陶瓷电子元件、40.2亿件五金配件</w:t>
      </w:r>
    </w:p>
    <w:p>
      <w:pPr>
        <w:pStyle w:val="8"/>
        <w:autoSpaceDN w:val="0"/>
        <w:adjustRightInd w:val="0"/>
        <w:snapToGrid w:val="0"/>
        <w:spacing w:line="240" w:lineRule="auto"/>
        <w:ind w:firstLine="0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建设项目环境影响报告书的批复</w:t>
      </w:r>
    </w:p>
    <w:p>
      <w:pPr>
        <w:pStyle w:val="9"/>
        <w:rPr>
          <w:spacing w:val="-20"/>
          <w:sz w:val="32"/>
          <w:szCs w:val="32"/>
        </w:rPr>
      </w:pPr>
    </w:p>
    <w:p>
      <w:pPr>
        <w:adjustRightInd w:val="0"/>
        <w:snapToGrid w:val="0"/>
        <w:spacing w:line="600" w:lineRule="exact"/>
        <w:rPr>
          <w:rFonts w:hint="eastAsia" w:ascii="仿宋_GB2312" w:hAnsi="仿宋_GB2312"/>
        </w:rPr>
      </w:pPr>
      <w:r>
        <w:rPr>
          <w:rFonts w:hint="eastAsia" w:ascii="仿宋_GB2312" w:hAnsi="仿宋_GB2312"/>
        </w:rPr>
        <w:t>罗定市佳豪金属表面处理有限公司：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仿宋_GB2312" w:hAnsi="仿宋_GB2312"/>
        </w:rPr>
      </w:pPr>
      <w:r>
        <w:rPr>
          <w:rFonts w:hint="eastAsia" w:ascii="仿宋_GB2312" w:hAnsi="仿宋_GB2312"/>
        </w:rPr>
        <w:t>你公司报来的《罗定市佳豪金属表面处理有限公司年电镀20亿件陶瓷电子元件、40.2亿件五金配件建设项目环境影响报告书》（以下简称“报告书”）相关资料收悉。经研究，批复如下：</w:t>
      </w:r>
    </w:p>
    <w:p>
      <w:pPr>
        <w:adjustRightInd w:val="0"/>
        <w:snapToGrid w:val="0"/>
        <w:spacing w:line="600" w:lineRule="exact"/>
        <w:ind w:firstLine="640"/>
        <w:rPr>
          <w:rFonts w:hint="eastAsia" w:ascii="仿宋_GB2312" w:hAnsi="仿宋_GB2312"/>
        </w:rPr>
      </w:pPr>
      <w:r>
        <w:rPr>
          <w:rFonts w:hint="eastAsia" w:ascii="仿宋_GB2312" w:hAnsi="仿宋_GB2312"/>
        </w:rPr>
        <w:t>一、</w:t>
      </w:r>
      <w:r>
        <w:rPr>
          <w:rFonts w:hint="eastAsia" w:ascii="仿宋_GB2312"/>
          <w:szCs w:val="32"/>
        </w:rPr>
        <w:t>罗定市佳豪金属表面处理有限公司年电镀20亿件陶瓷电子元件、40.2亿件五金配件建设项目</w:t>
      </w:r>
      <w:r>
        <w:rPr>
          <w:rFonts w:hint="eastAsia" w:ascii="仿宋_GB2312" w:hAnsi="仿宋_GB2312"/>
        </w:rPr>
        <w:t>（项目代码：</w:t>
      </w:r>
      <w:r>
        <w:rPr>
          <w:rFonts w:hint="eastAsia" w:ascii="仿宋_GB2312" w:hAnsi="仿宋_GB2312"/>
          <w:color w:val="000000"/>
        </w:rPr>
        <w:t>2019-445381-33-03-075688</w:t>
      </w:r>
      <w:r>
        <w:rPr>
          <w:rFonts w:hint="eastAsia" w:ascii="仿宋_GB2312" w:hAnsi="仿宋_GB2312"/>
        </w:rPr>
        <w:t>）</w:t>
      </w:r>
      <w:r>
        <w:rPr>
          <w:rFonts w:hint="eastAsia" w:ascii="仿宋_GB2312"/>
          <w:szCs w:val="32"/>
        </w:rPr>
        <w:t>位于罗定市双东镇罗定市电镀工业生产基地内A06栋第4层，总占地面积1450平方米，中心地理坐标为E111.615525，N22.80877，总投资600万元，其中环保投资80万元。项目拟建设 4条陶瓷电子元件半自动挂镀生产线，4 条五金配件半自动滚镀生产线。产品基材表面积 44.79 万平方米，项目在基材表面电镀多层金属，各镀种电镀总面积 69.264m</w:t>
      </w:r>
      <w:r>
        <w:rPr>
          <w:rFonts w:hint="eastAsia" w:ascii="仿宋_GB2312"/>
          <w:szCs w:val="32"/>
          <w:vertAlign w:val="superscript"/>
        </w:rPr>
        <w:t>2</w:t>
      </w:r>
      <w:r>
        <w:rPr>
          <w:rFonts w:hint="eastAsia" w:ascii="仿宋_GB2312"/>
          <w:szCs w:val="32"/>
        </w:rPr>
        <w:t>/a，约 901.752t/a。</w:t>
      </w:r>
    </w:p>
    <w:p>
      <w:pPr>
        <w:adjustRightInd w:val="0"/>
        <w:snapToGrid w:val="0"/>
        <w:spacing w:line="600" w:lineRule="exact"/>
        <w:rPr>
          <w:rFonts w:hint="eastAsia" w:ascii="仿宋_GB2312" w:hAnsi="仿宋_GB2312"/>
        </w:rPr>
      </w:pPr>
      <w:r>
        <w:rPr>
          <w:rFonts w:hint="eastAsia" w:ascii="仿宋_GB2312" w:hAnsi="仿宋_GB2312"/>
        </w:rPr>
        <w:t xml:space="preserve">    二、广东省环境科学研究院对报告书进行了技术评审，出具的《罗定市佳豪金属表面处理有限公司年电镀20亿件陶瓷电子元件、40.2亿件五金配件建设项目环境影响报告书的技术评估意见》认为，报告书对项目实施后可能造成的环境影响分析、预测和评估符合相关导则和技术规范要求，提出预防或者减轻不良环境影响的对策和措施合理，环境影响评价结论总体可信。你公司应按照报告书内容组织实施。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仿宋_GB2312" w:hAnsi="仿宋_GB2312"/>
        </w:rPr>
      </w:pPr>
      <w:r>
        <w:rPr>
          <w:rFonts w:hint="eastAsia" w:ascii="仿宋_GB2312" w:hAnsi="仿宋_GB2312"/>
        </w:rPr>
        <w:t>三、该项目还应严格执行配套建设的环境保护设施与主体工程同时设计、同时施工、同时投产使用的环境保护“三同时”制度。项目建成后，你公司应当按照国务院生态环境主管部门规定的标准和程序，对配套建设的环境保护设施进行验收。</w:t>
      </w:r>
    </w:p>
    <w:p>
      <w:pPr>
        <w:pStyle w:val="10"/>
        <w:adjustRightInd w:val="0"/>
        <w:snapToGrid w:val="0"/>
        <w:spacing w:line="600" w:lineRule="exact"/>
        <w:rPr>
          <w:rFonts w:hint="eastAsia" w:ascii="仿宋_GB2312" w:eastAsia="仿宋_GB2312"/>
          <w:spacing w:val="-20"/>
          <w:sz w:val="32"/>
          <w:szCs w:val="32"/>
        </w:rPr>
      </w:pPr>
      <w:bookmarkStart w:id="2" w:name="_GoBack"/>
      <w:bookmarkEnd w:id="2"/>
    </w:p>
    <w:p>
      <w:pPr>
        <w:adjustRightInd w:val="0"/>
        <w:snapToGrid w:val="0"/>
        <w:spacing w:line="600" w:lineRule="exact"/>
        <w:rPr>
          <w:rFonts w:hint="eastAsia" w:ascii="仿宋_GB2312" w:hAnsi="仿宋_GB2312"/>
        </w:rPr>
      </w:pPr>
    </w:p>
    <w:p>
      <w:pPr>
        <w:adjustRightInd w:val="0"/>
        <w:snapToGrid w:val="0"/>
        <w:spacing w:line="600" w:lineRule="exact"/>
        <w:jc w:val="right"/>
        <w:rPr>
          <w:rFonts w:ascii="仿宋_GB2312" w:hAnsi="仿宋_GB2312"/>
        </w:rPr>
      </w:pPr>
      <w:r>
        <w:rPr>
          <w:rFonts w:hint="eastAsia" w:ascii="仿宋_GB2312" w:hAnsi="仿宋_GB2312"/>
        </w:rPr>
        <w:t xml:space="preserve">云浮市生态环境局    </w:t>
      </w:r>
    </w:p>
    <w:p>
      <w:pPr>
        <w:adjustRightInd w:val="0"/>
        <w:snapToGrid w:val="0"/>
        <w:spacing w:line="600" w:lineRule="exact"/>
        <w:jc w:val="right"/>
        <w:rPr>
          <w:rFonts w:ascii="仿宋_GB2312" w:hAnsi="仿宋_GB2312"/>
        </w:rPr>
      </w:pPr>
      <w:r>
        <w:rPr>
          <w:rFonts w:hint="eastAsia" w:ascii="仿宋_GB2312" w:hAnsi="仿宋_GB2312"/>
        </w:rPr>
        <w:t xml:space="preserve">2020年9月28日    </w:t>
      </w:r>
    </w:p>
    <w:p>
      <w:pPr>
        <w:pStyle w:val="6"/>
        <w:rPr>
          <w:rFonts w:hint="eastAsia" w:ascii="仿宋_GB2312" w:hAnsi="黑体" w:eastAsia="仿宋_GB2312"/>
          <w:spacing w:val="-20"/>
          <w:sz w:val="32"/>
          <w:szCs w:val="32"/>
        </w:rPr>
      </w:pPr>
    </w:p>
    <w:p>
      <w:pPr>
        <w:pStyle w:val="6"/>
        <w:autoSpaceDN w:val="0"/>
        <w:spacing w:line="360" w:lineRule="auto"/>
        <w:rPr>
          <w:rFonts w:hint="eastAsia" w:ascii="仿宋_GB2312" w:hAnsi="仿宋_GB2312" w:eastAsia="仿宋_GB2312"/>
          <w:spacing w:val="-20"/>
          <w:sz w:val="32"/>
          <w:szCs w:val="32"/>
        </w:rPr>
      </w:pPr>
      <w:r>
        <w:rPr>
          <w:rFonts w:hint="eastAsia" w:ascii="黑体" w:hAnsi="黑体" w:eastAsia="黑体"/>
          <w:spacing w:val="-20"/>
          <w:sz w:val="32"/>
          <w:szCs w:val="32"/>
        </w:rPr>
        <w:t>公开方式：</w:t>
      </w:r>
      <w:r>
        <w:rPr>
          <w:rFonts w:ascii="仿宋_GB2312" w:hAnsi="仿宋_GB2312" w:eastAsia="仿宋_GB2312"/>
          <w:spacing w:val="-20"/>
          <w:sz w:val="32"/>
          <w:szCs w:val="32"/>
        </w:rPr>
        <w:t>主动公开</w:t>
      </w:r>
    </w:p>
    <w:p>
      <w:r>
        <w:rPr>
          <w:rFonts w:ascii="仿宋_GB2312" w:hAnsi="仿宋_GB2312"/>
          <w:spacing w:val="-20"/>
          <w:sz w:val="28"/>
          <w:szCs w:val="32"/>
        </w:rPr>
        <w:t>抄送：云浮市生态环境局</w:t>
      </w:r>
      <w:r>
        <w:rPr>
          <w:rFonts w:hint="eastAsia" w:ascii="仿宋_GB2312" w:hAnsi="仿宋_GB2312"/>
          <w:spacing w:val="-20"/>
          <w:sz w:val="28"/>
          <w:szCs w:val="32"/>
        </w:rPr>
        <w:t>罗定</w:t>
      </w:r>
      <w:r>
        <w:rPr>
          <w:rFonts w:ascii="仿宋_GB2312" w:hAnsi="仿宋_GB2312"/>
          <w:spacing w:val="-20"/>
          <w:sz w:val="28"/>
          <w:szCs w:val="32"/>
        </w:rPr>
        <w:t>分局</w:t>
      </w:r>
      <w:r>
        <w:rPr>
          <w:rFonts w:hint="eastAsia" w:ascii="仿宋_GB2312" w:hAnsi="仿宋_GB2312"/>
          <w:spacing w:val="-20"/>
          <w:sz w:val="28"/>
          <w:szCs w:val="32"/>
        </w:rPr>
        <w:t>，广州俊博环境保护技术服务有限公司</w:t>
      </w:r>
      <w:r>
        <w:rPr>
          <w:rFonts w:ascii="仿宋_GB2312" w:hAnsi="仿宋_GB2312"/>
          <w:spacing w:val="-20"/>
          <w:sz w:val="28"/>
          <w:szCs w:val="32"/>
        </w:rPr>
        <w:t>。</w:t>
      </w:r>
      <w:bookmarkEnd w:id="1"/>
    </w:p>
    <w:p/>
    <w:sectPr>
      <w:footerReference r:id="rId4" w:type="first"/>
      <w:footerReference r:id="rId3" w:type="default"/>
      <w:pgSz w:w="11907" w:h="16840"/>
      <w:pgMar w:top="2098" w:right="1587" w:bottom="1985" w:left="1587" w:header="851" w:footer="992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right" w:yAlign="top"/>
    </w:pPr>
  </w:p>
  <w:p>
    <w:pPr>
      <w:pStyle w:val="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-635</wp:posOffset>
              </wp:positionH>
              <wp:positionV relativeFrom="paragraph">
                <wp:posOffset>-149225</wp:posOffset>
              </wp:positionV>
              <wp:extent cx="5755005" cy="0"/>
              <wp:effectExtent l="0" t="28575" r="5715" b="32385"/>
              <wp:wrapNone/>
              <wp:docPr id="6" name="直接连接符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55005" cy="0"/>
                      </a:xfrm>
                      <a:prstGeom prst="line">
                        <a:avLst/>
                      </a:prstGeom>
                      <a:ln w="57150" cap="flat" cmpd="thinThick">
                        <a:solidFill>
                          <a:srgbClr val="FF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-0.05pt;margin-top:-11.75pt;height:0pt;width:453.15pt;z-index:251658240;mso-width-relative:page;mso-height-relative:page;" filled="f" stroked="t" coordsize="21600,21600" o:gfxdata="UEsDBAoAAAAAAIdO4kAAAAAAAAAAAAAAAAAEAAAAZHJzL1BLAwQUAAAACACHTuJA4tnMw9YAAAAJ&#10;AQAADwAAAGRycy9kb3ducmV2LnhtbE2PwU7DMBBE70j8g7VI3Fo7QVQkjVNBUA9IXFLg7sbbJIq9&#10;jmKnDX+PkZDoabU7o9k3xW6xhp1x8r0jCclaAENqnO6plfD5sV89AfNBkVbGEUr4Rg+78vamULl2&#10;F6rxfAgtiyHkcyWhC2HMOfdNh1b5tRuRonZyk1UhrlPL9aQuMdwangqx4Vb1FD90asSqw2Y4zFbC&#10;2/P78FKFqq5fzZAty9ecVXuU8v4uEVtgAZfwb4Zf/IgOZWQ6upm0Z0bCKonGONKHR2BRz8QmBXb8&#10;u/Cy4NcNyh9QSwMEFAAAAAgAh07iQDOP1GzhAQAAnQMAAA4AAABkcnMvZTJvRG9jLnhtbK1TzW4T&#10;MRC+I/UdLN+b3VTagFbZ9NA0XBBUanmAiX92Lfwn280mL8ELIHGDE0fuvA3tYzB20pSWC0LsYXbs&#10;mf1mvm9m5+dbo8lGhKic7eh0UlMiLHNc2b6j729Wp68oiQksB+2s6OhORHq+OHkxH30rztzgNBeB&#10;IIiN7eg7OqTk26qKbBAG4sR5YTEoXTCQ8Bj6igcYEd3o6qyuZ9XoAvfBMREj3i73Qboo+FIKlt5J&#10;GUUiuqPYWyo2FLvOtlrMoe0D+EGxQxvwD10YUBaLHqGWkIDcBvUHlFEsuOhkmjBnKielYqJwQDbT&#10;+hmb6wG8KFxQnOiPMsX/B8vebq4CUbyjM0osGBzR3afvPz9+uf/xGe3dt69klkUafWwx99pfhcMp&#10;opsZb2Uw+Y1cyLYIuzsKK7aJMLxsXjZNXTeUsIdY9fihDzG9Fs6Q7HRUK5s5QwubNzFhMUx9SMnX&#10;2pIxI04bnCcD3BmpIaFrPLJIg7I3OMsPBSI6rfhKaZ0/jKFfX+hANoC7sFrV+GRmCP8kLddaQhz2&#10;eSW035JBAL+0nKSdR5UsrjPNnRjBKdECtz97CAhtAqX/JhNLa4sdZHH3cmZv7fgOZ3Lrg+oHFGRa&#10;uswR3IHS72Ff85L9fi5Ij3/V4hd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Di2czD1gAAAAkBAAAP&#10;AAAAAAAAAAEAIAAAACIAAABkcnMvZG93bnJldi54bWxQSwECFAAUAAAACACHTuJAM4/UbOEBAACd&#10;AwAADgAAAAAAAAABACAAAAAlAQAAZHJzL2Uyb0RvYy54bWxQSwUGAAAAAAYABgBZAQAAeAUAAAAA&#10;">
              <v:path arrowok="t"/>
              <v:fill on="f" focussize="0,0"/>
              <v:stroke weight="4.5pt" color="#FF0000" linestyle="thinThick"/>
              <v:imagedata o:title=""/>
              <o:lock v:ext="edit" grouping="f" rotation="f" text="f" aspectratio="f"/>
            </v:lin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9233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b/>
      <w:color w:val="FF0000"/>
      <w:w w:val="90"/>
      <w:position w:val="4"/>
      <w:sz w:val="96"/>
      <w:szCs w:val="6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6">
    <w:name w:val="p17"/>
    <w:basedOn w:val="7"/>
    <w:qFormat/>
    <w:uiPriority w:val="0"/>
    <w:pPr>
      <w:widowControl/>
    </w:pPr>
    <w:rPr>
      <w:rFonts w:ascii="Times New Roman" w:hAnsi="Times New Roman" w:eastAsia="宋体" w:cs="Times New Roman"/>
      <w:kern w:val="0"/>
      <w:szCs w:val="21"/>
    </w:rPr>
  </w:style>
  <w:style w:type="paragraph" w:customStyle="1" w:styleId="7">
    <w:name w:val="正文 New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8">
    <w:name w:val="p15"/>
    <w:basedOn w:val="7"/>
    <w:uiPriority w:val="0"/>
    <w:pPr>
      <w:widowControl/>
      <w:spacing w:line="480" w:lineRule="atLeast"/>
      <w:ind w:firstLine="471"/>
    </w:pPr>
    <w:rPr>
      <w:rFonts w:ascii="Times New Roman" w:hAnsi="Times New Roman" w:eastAsia="宋体" w:cs="Times New Roman"/>
      <w:kern w:val="0"/>
      <w:sz w:val="24"/>
      <w:szCs w:val="24"/>
    </w:rPr>
  </w:style>
  <w:style w:type="paragraph" w:customStyle="1" w:styleId="9">
    <w:name w:val="p16"/>
    <w:basedOn w:val="7"/>
    <w:uiPriority w:val="0"/>
    <w:pPr>
      <w:widowControl/>
    </w:pPr>
    <w:rPr>
      <w:rFonts w:ascii="Times New Roman" w:hAnsi="Times New Roman" w:eastAsia="宋体" w:cs="Times New Roman"/>
      <w:kern w:val="0"/>
      <w:szCs w:val="21"/>
    </w:rPr>
  </w:style>
  <w:style w:type="paragraph" w:customStyle="1" w:styleId="10">
    <w:name w:val="p0"/>
    <w:basedOn w:val="7"/>
    <w:uiPriority w:val="0"/>
    <w:pPr>
      <w:widowControl/>
    </w:pPr>
    <w:rPr>
      <w:rFonts w:ascii="Times New Roman" w:hAnsi="Times New Roman" w:eastAsia="宋体" w:cs="Times New Roman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2020-10-21T07:32:15Z</dcterms:created>
  <dc:creator>1218</dc:creator>
  <cp:lastModifiedBy>侯昌成</cp:lastModifiedBy>
  <dcterms:modified xsi:type="dcterms:W3CDTF">2020-10-21T07:32:21Z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