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0" w:type="dxa"/>
          <w:bottom w:w="0" w:type="dxa"/>
          <w:right w:w="57" w:type="dxa"/>
        </w:tblCellMar>
      </w:tblPr>
      <w:tblGrid>
        <w:gridCol w:w="8119"/>
      </w:tblGrid>
      <w:tr>
        <w:tblPrEx>
          <w:tblCellMar>
            <w:top w:w="0" w:type="dxa"/>
            <w:left w:w="0" w:type="dxa"/>
            <w:bottom w:w="0" w:type="dxa"/>
            <w:right w:w="57" w:type="dxa"/>
          </w:tblCellMar>
        </w:tblPrEx>
        <w:trPr>
          <w:trHeight w:val="799" w:hRule="atLeast"/>
          <w:jc w:val="center"/>
        </w:trPr>
        <w:tc>
          <w:tcPr>
            <w:tcW w:w="8119" w:type="dxa"/>
            <w:noWrap w:val="0"/>
            <w:vAlign w:val="center"/>
          </w:tcPr>
          <w:p>
            <w:pPr>
              <w:pStyle w:val="2"/>
              <w:jc w:val="distribute"/>
              <w:rPr>
                <w:rFonts w:hint="eastAsia" w:ascii="方正小标宋简体" w:hAnsi="方正小标宋简体" w:eastAsia="方正小标宋简体"/>
                <w:b w:val="0"/>
                <w:w w:val="114"/>
                <w:kern w:val="0"/>
                <w:position w:val="-30"/>
                <w:sz w:val="84"/>
                <w:szCs w:val="84"/>
              </w:rPr>
            </w:pPr>
            <w:bookmarkStart w:id="0" w:name="红头标题"/>
            <w:r>
              <w:rPr>
                <w:rFonts w:hint="eastAsia" w:ascii="方正小标宋简体" w:hAnsi="方正小标宋简体" w:eastAsia="方正小标宋简体"/>
                <w:b w:val="0"/>
                <w:w w:val="114"/>
                <w:kern w:val="0"/>
                <w:position w:val="-30"/>
                <w:sz w:val="84"/>
                <w:szCs w:val="84"/>
              </w:rPr>
              <w:t>云浮市生态环境局</w:t>
            </w:r>
            <w:bookmarkEnd w:id="0"/>
          </w:p>
        </w:tc>
      </w:tr>
    </w:tbl>
    <w:p>
      <w:pPr>
        <w:jc w:val="right"/>
        <w:rPr>
          <w:rFonts w:hint="eastAsia"/>
          <w:szCs w:val="21"/>
        </w:rPr>
      </w:pPr>
      <w:r>
        <w:rPr>
          <w:color w:val="FF0000"/>
          <w:sz w:val="20"/>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175895</wp:posOffset>
                </wp:positionV>
                <wp:extent cx="5764530" cy="0"/>
                <wp:effectExtent l="0" t="28575" r="11430" b="32385"/>
                <wp:wrapNone/>
                <wp:docPr id="6" name="直接连接符 6"/>
                <wp:cNvGraphicFramePr/>
                <a:graphic xmlns:a="http://schemas.openxmlformats.org/drawingml/2006/main">
                  <a:graphicData uri="http://schemas.microsoft.com/office/word/2010/wordprocessingShape">
                    <wps:wsp>
                      <wps:cNvCnPr/>
                      <wps:spPr>
                        <a:xfrm>
                          <a:off x="0" y="0"/>
                          <a:ext cx="576453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13.85pt;height:0pt;width:453.9pt;z-index:251659264;mso-width-relative:page;mso-height-relative:page;" filled="f" stroked="t" coordsize="21600,21600" o:gfxdata="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KCNvtEAAAAHAQAADwAA&#10;AAAAAAABACAAAAAiAAAAZHJzL2Rvd25yZXYueG1sUEsBAhQAFAAAAAgAh07iQEL3lvHkAQAAqwMA&#10;AA4AAAAAAAAAAQAgAAAAIAEAAGRycy9lMm9Eb2MueG1sUEsFBgAAAAAGAAYAWQEAAHYFAAAAAA==&#10;">
                <v:path arrowok="t"/>
                <v:fill on="f" focussize="0,0"/>
                <v:stroke weight="4.5pt" color="#FF0000" linestyle="thickThin"/>
                <v:imagedata o:title=""/>
                <o:lock v:ext="edit" aspectratio="f"/>
              </v:line>
            </w:pict>
          </mc:Fallback>
        </mc:AlternateContent>
      </w:r>
    </w:p>
    <w:p>
      <w:pPr>
        <w:pStyle w:val="6"/>
        <w:widowControl w:val="0"/>
        <w:adjustRightInd w:val="0"/>
        <w:snapToGrid w:val="0"/>
        <w:spacing w:line="600" w:lineRule="exact"/>
        <w:ind w:firstLine="640"/>
        <w:jc w:val="right"/>
        <w:rPr>
          <w:rFonts w:hint="eastAsia" w:ascii="仿宋_GB2312" w:hAnsi="仿宋" w:eastAsia="仿宋_GB2312"/>
          <w:snapToGrid w:val="0"/>
          <w:spacing w:val="-20"/>
          <w:sz w:val="32"/>
          <w:szCs w:val="32"/>
        </w:rPr>
      </w:pPr>
      <w:bookmarkStart w:id="1" w:name="正文"/>
      <w:r>
        <w:rPr>
          <w:rFonts w:hint="eastAsia" w:ascii="仿宋_GB2312" w:hAnsi="仿宋" w:eastAsia="仿宋_GB2312"/>
          <w:snapToGrid w:val="0"/>
          <w:spacing w:val="-20"/>
          <w:sz w:val="32"/>
          <w:szCs w:val="32"/>
        </w:rPr>
        <w:t>云环建管〔2020〕71号</w:t>
      </w:r>
    </w:p>
    <w:p>
      <w:pPr>
        <w:pStyle w:val="6"/>
        <w:widowControl w:val="0"/>
        <w:adjustRightInd w:val="0"/>
        <w:snapToGrid w:val="0"/>
        <w:spacing w:line="600" w:lineRule="exact"/>
        <w:ind w:firstLine="640"/>
        <w:jc w:val="right"/>
        <w:rPr>
          <w:rFonts w:hint="eastAsia" w:ascii="仿宋_GB2312" w:hAnsi="仿宋" w:eastAsia="仿宋_GB2312"/>
          <w:snapToGrid w:val="0"/>
          <w:spacing w:val="-20"/>
          <w:sz w:val="32"/>
          <w:szCs w:val="32"/>
        </w:rPr>
      </w:pPr>
    </w:p>
    <w:p>
      <w:pPr>
        <w:pStyle w:val="8"/>
        <w:adjustRightInd w:val="0"/>
        <w:snapToGrid w:val="0"/>
        <w:spacing w:line="800" w:lineRule="exact"/>
        <w:jc w:val="center"/>
        <w:rPr>
          <w:rFonts w:hint="eastAsia" w:ascii="方正小标宋简体" w:eastAsia="方正小标宋简体"/>
          <w:snapToGrid w:val="0"/>
          <w:spacing w:val="-20"/>
          <w:kern w:val="0"/>
          <w:sz w:val="44"/>
          <w:szCs w:val="44"/>
        </w:rPr>
      </w:pPr>
      <w:r>
        <w:rPr>
          <w:rFonts w:hint="eastAsia" w:ascii="方正小标宋简体" w:eastAsia="方正小标宋简体"/>
          <w:snapToGrid w:val="0"/>
          <w:spacing w:val="-20"/>
          <w:kern w:val="0"/>
          <w:sz w:val="44"/>
          <w:szCs w:val="44"/>
        </w:rPr>
        <w:t>关于云浮110千伏鑫国泰用户站接入配套间隔工程</w:t>
      </w:r>
    </w:p>
    <w:p>
      <w:pPr>
        <w:pStyle w:val="8"/>
        <w:adjustRightInd w:val="0"/>
        <w:snapToGrid w:val="0"/>
        <w:spacing w:line="800" w:lineRule="exact"/>
        <w:jc w:val="center"/>
        <w:rPr>
          <w:rFonts w:hint="eastAsia" w:ascii="方正小标宋简体" w:eastAsia="方正小标宋简体"/>
          <w:snapToGrid w:val="0"/>
          <w:spacing w:val="-20"/>
          <w:kern w:val="0"/>
          <w:sz w:val="44"/>
          <w:szCs w:val="44"/>
        </w:rPr>
      </w:pPr>
      <w:r>
        <w:rPr>
          <w:rFonts w:hint="eastAsia" w:ascii="方正小标宋简体" w:eastAsia="方正小标宋简体"/>
          <w:snapToGrid w:val="0"/>
          <w:spacing w:val="-20"/>
          <w:kern w:val="0"/>
          <w:sz w:val="44"/>
          <w:szCs w:val="44"/>
        </w:rPr>
        <w:t>环境影响报告表的批复</w:t>
      </w:r>
    </w:p>
    <w:p>
      <w:pPr>
        <w:pStyle w:val="6"/>
        <w:widowControl w:val="0"/>
        <w:adjustRightInd w:val="0"/>
        <w:snapToGrid w:val="0"/>
        <w:spacing w:line="600" w:lineRule="exact"/>
        <w:ind w:firstLine="600" w:firstLineChars="200"/>
        <w:rPr>
          <w:rFonts w:hint="eastAsia" w:ascii="仿宋_GB2312" w:hAnsi="仿宋" w:eastAsia="仿宋_GB2312"/>
          <w:snapToGrid w:val="0"/>
          <w:spacing w:val="-20"/>
          <w:sz w:val="32"/>
          <w:szCs w:val="32"/>
        </w:rPr>
      </w:pPr>
    </w:p>
    <w:p>
      <w:pPr>
        <w:pStyle w:val="8"/>
        <w:adjustRightInd w:val="0"/>
        <w:snapToGrid w:val="0"/>
        <w:spacing w:line="360" w:lineRule="auto"/>
        <w:rPr>
          <w:rFonts w:hint="eastAsia" w:ascii="仿宋_GB2312" w:hAnsi="仿宋_GB2312" w:eastAsia="仿宋_GB2312"/>
          <w:sz w:val="32"/>
          <w:szCs w:val="24"/>
        </w:rPr>
      </w:pPr>
      <w:r>
        <w:rPr>
          <w:rFonts w:hint="eastAsia" w:ascii="仿宋_GB2312" w:hAnsi="仿宋_GB2312" w:eastAsia="仿宋_GB2312"/>
          <w:sz w:val="32"/>
          <w:szCs w:val="24"/>
        </w:rPr>
        <w:t>广东电网有限责任公司云浮供电局：</w:t>
      </w:r>
    </w:p>
    <w:p>
      <w:pPr>
        <w:pStyle w:val="8"/>
        <w:adjustRightInd w:val="0"/>
        <w:snapToGrid w:val="0"/>
        <w:spacing w:line="360" w:lineRule="auto"/>
        <w:rPr>
          <w:rFonts w:hint="eastAsia" w:ascii="仿宋_GB2312" w:hAnsi="仿宋_GB2312" w:eastAsia="仿宋_GB2312"/>
          <w:sz w:val="32"/>
          <w:szCs w:val="24"/>
        </w:rPr>
      </w:pPr>
      <w:r>
        <w:rPr>
          <w:rFonts w:hint="eastAsia" w:ascii="仿宋_GB2312" w:hAnsi="仿宋_GB2312" w:eastAsia="仿宋_GB2312"/>
          <w:sz w:val="32"/>
          <w:szCs w:val="24"/>
        </w:rPr>
        <w:t xml:space="preserve">    你单位报来的《云浮110千伏鑫国泰用户站接入配套间隔工程环境影响报告表》（以下简称“报告表”）等相关资料收悉。经研究，批复如下：</w:t>
      </w:r>
    </w:p>
    <w:p>
      <w:pPr>
        <w:pStyle w:val="9"/>
        <w:adjustRightInd w:val="0"/>
        <w:snapToGrid w:val="0"/>
        <w:spacing w:line="360" w:lineRule="auto"/>
        <w:ind w:firstLine="680" w:firstLineChars="200"/>
        <w:rPr>
          <w:rFonts w:hint="eastAsia" w:ascii="仿宋_GB2312" w:hAnsi="仿宋_GB2312"/>
        </w:rPr>
      </w:pPr>
      <w:r>
        <w:rPr>
          <w:rFonts w:hint="eastAsia" w:ascii="仿宋_GB2312" w:hAnsi="仿宋_GB2312"/>
        </w:rPr>
        <w:t>一、云浮110千伏鑫国泰用户站接入配套间隔工程站址位于云浮市郁南县大湾镇大湾工业园内，中心地理位置坐标为东经 111.632124度，北纬22.831482度。计划总投资99.04万元，环保投资9 万元。本期工程在110kV大湾站备用区域扩建1个110kV出线间隔，无须再另行征地，总体上不改变原变电站总平面布置。拆除现状鑫国泰用户站T接110kV大千线2#（110kV泷大线61#）处的110kV架空线路约1×30m。</w:t>
      </w:r>
    </w:p>
    <w:p>
      <w:pPr>
        <w:pStyle w:val="9"/>
        <w:adjustRightInd w:val="0"/>
        <w:snapToGrid w:val="0"/>
        <w:spacing w:line="360" w:lineRule="auto"/>
        <w:rPr>
          <w:rFonts w:hint="eastAsia" w:ascii="仿宋_GB2312" w:hAnsi="仿宋_GB2312"/>
        </w:rPr>
      </w:pPr>
      <w:r>
        <w:rPr>
          <w:rFonts w:hint="eastAsia" w:ascii="仿宋_GB2312" w:hAnsi="仿宋_GB2312"/>
        </w:rPr>
        <w:t xml:space="preserve">    二、报告表对本项目实施后可能造成的环境影响分析、预测和评估符合相关导则和技术规范要求，提出预防或者减轻不良环境影响的对策和措施合理，环境影响评价结论基本可信。你单位应按照报告表内容组织实施。</w:t>
      </w:r>
    </w:p>
    <w:p>
      <w:pPr>
        <w:pStyle w:val="9"/>
        <w:adjustRightInd w:val="0"/>
        <w:snapToGrid w:val="0"/>
        <w:spacing w:line="360" w:lineRule="auto"/>
        <w:rPr>
          <w:rFonts w:hint="eastAsia" w:ascii="仿宋_GB2312" w:hAnsi="仿宋_GB2312"/>
        </w:rPr>
      </w:pPr>
      <w:r>
        <w:rPr>
          <w:rFonts w:hint="eastAsia" w:ascii="仿宋_GB2312" w:hAnsi="仿宋_GB2312"/>
        </w:rPr>
        <w:t xml:space="preserve">    三、建设项目应严格执行配套建设的环境保护设施与主体工程同时设计、同时施工、同时投产使用的环境保护“三同时”制度。项目建成后，你单位应当按照国务院生态环境主管部门规定的标准和程序，对配套建设的环境保护设施进行验收。</w:t>
      </w:r>
    </w:p>
    <w:p>
      <w:pPr>
        <w:pStyle w:val="10"/>
        <w:adjustRightInd w:val="0"/>
        <w:snapToGrid w:val="0"/>
        <w:spacing w:line="360" w:lineRule="auto"/>
        <w:rPr>
          <w:rFonts w:hint="eastAsia" w:ascii="仿宋_GB2312" w:hAnsi="仿宋_GB2312"/>
        </w:rPr>
      </w:pPr>
    </w:p>
    <w:p>
      <w:pPr>
        <w:pStyle w:val="10"/>
        <w:adjustRightInd w:val="0"/>
        <w:snapToGrid w:val="0"/>
        <w:spacing w:line="360" w:lineRule="auto"/>
        <w:rPr>
          <w:rFonts w:hint="eastAsia" w:ascii="仿宋_GB2312" w:hAnsi="仿宋_GB2312"/>
        </w:rPr>
      </w:pPr>
    </w:p>
    <w:p>
      <w:pPr>
        <w:pStyle w:val="10"/>
        <w:wordWrap w:val="0"/>
        <w:adjustRightInd w:val="0"/>
        <w:snapToGrid w:val="0"/>
        <w:spacing w:line="360" w:lineRule="auto"/>
        <w:jc w:val="right"/>
        <w:rPr>
          <w:rFonts w:ascii="仿宋_GB2312" w:hAnsi="仿宋_GB2312"/>
        </w:rPr>
      </w:pPr>
      <w:r>
        <w:rPr>
          <w:rFonts w:hint="eastAsia" w:ascii="仿宋_GB2312" w:hAnsi="仿宋_GB2312"/>
        </w:rPr>
        <w:t xml:space="preserve">云浮市生态环境局  </w:t>
      </w:r>
    </w:p>
    <w:p>
      <w:pPr>
        <w:pStyle w:val="8"/>
        <w:wordWrap w:val="0"/>
        <w:adjustRightInd w:val="0"/>
        <w:snapToGrid w:val="0"/>
        <w:spacing w:line="360" w:lineRule="auto"/>
        <w:jc w:val="right"/>
        <w:rPr>
          <w:rFonts w:ascii="仿宋_GB2312" w:hAnsi="仿宋_GB2312" w:eastAsia="仿宋_GB2312"/>
          <w:sz w:val="32"/>
          <w:szCs w:val="24"/>
        </w:rPr>
      </w:pPr>
      <w:r>
        <w:rPr>
          <w:rFonts w:hint="eastAsia" w:ascii="仿宋_GB2312" w:hAnsi="仿宋_GB2312" w:eastAsia="仿宋_GB2312"/>
          <w:sz w:val="32"/>
          <w:szCs w:val="24"/>
        </w:rPr>
        <w:t xml:space="preserve">2020年7月28日  </w:t>
      </w:r>
    </w:p>
    <w:p>
      <w:pPr>
        <w:pStyle w:val="8"/>
        <w:adjustRightInd w:val="0"/>
        <w:snapToGrid w:val="0"/>
        <w:spacing w:line="360" w:lineRule="auto"/>
        <w:rPr>
          <w:rFonts w:hint="eastAsia" w:ascii="仿宋_GB2312" w:hAnsi="仿宋_GB2312" w:eastAsia="仿宋_GB2312"/>
          <w:sz w:val="32"/>
          <w:szCs w:val="24"/>
        </w:rPr>
      </w:pPr>
    </w:p>
    <w:p>
      <w:pPr>
        <w:pStyle w:val="6"/>
        <w:widowControl w:val="0"/>
        <w:rPr>
          <w:rFonts w:hint="eastAsia" w:ascii="黑体" w:hAnsi="黑体" w:eastAsia="黑体"/>
          <w:snapToGrid w:val="0"/>
          <w:spacing w:val="-20"/>
          <w:sz w:val="32"/>
          <w:szCs w:val="32"/>
        </w:rPr>
      </w:pPr>
    </w:p>
    <w:p>
      <w:pPr>
        <w:pStyle w:val="6"/>
        <w:widowControl w:val="0"/>
        <w:rPr>
          <w:rFonts w:hint="eastAsia" w:ascii="黑体" w:hAnsi="黑体" w:eastAsia="黑体"/>
          <w:snapToGrid w:val="0"/>
          <w:spacing w:val="-20"/>
          <w:sz w:val="32"/>
          <w:szCs w:val="32"/>
        </w:rPr>
      </w:pPr>
    </w:p>
    <w:p>
      <w:pPr>
        <w:pStyle w:val="6"/>
        <w:widowControl w:val="0"/>
        <w:rPr>
          <w:rFonts w:hint="eastAsia" w:ascii="黑体" w:hAnsi="黑体" w:eastAsia="黑体"/>
          <w:snapToGrid w:val="0"/>
          <w:spacing w:val="-20"/>
          <w:sz w:val="32"/>
          <w:szCs w:val="32"/>
        </w:rPr>
      </w:pPr>
    </w:p>
    <w:p>
      <w:pPr>
        <w:pStyle w:val="6"/>
        <w:widowControl w:val="0"/>
        <w:rPr>
          <w:rFonts w:hint="eastAsia" w:ascii="黑体" w:hAnsi="黑体" w:eastAsia="黑体"/>
          <w:snapToGrid w:val="0"/>
          <w:spacing w:val="-20"/>
          <w:sz w:val="32"/>
          <w:szCs w:val="32"/>
        </w:rPr>
      </w:pPr>
    </w:p>
    <w:p>
      <w:pPr>
        <w:pStyle w:val="6"/>
        <w:widowControl w:val="0"/>
        <w:rPr>
          <w:rFonts w:hint="eastAsia" w:ascii="黑体" w:hAnsi="黑体" w:eastAsia="黑体"/>
          <w:snapToGrid w:val="0"/>
          <w:spacing w:val="-20"/>
          <w:sz w:val="32"/>
          <w:szCs w:val="32"/>
        </w:rPr>
      </w:pPr>
    </w:p>
    <w:p>
      <w:pPr>
        <w:pStyle w:val="6"/>
        <w:widowControl w:val="0"/>
        <w:rPr>
          <w:rFonts w:hint="eastAsia" w:ascii="仿宋" w:hAnsi="仿宋" w:eastAsia="仿宋"/>
          <w:snapToGrid w:val="0"/>
          <w:spacing w:val="-20"/>
          <w:sz w:val="32"/>
          <w:szCs w:val="32"/>
        </w:rPr>
      </w:pPr>
      <w:r>
        <w:rPr>
          <w:rFonts w:hint="eastAsia" w:ascii="黑体" w:hAnsi="黑体" w:eastAsia="黑体"/>
          <w:snapToGrid w:val="0"/>
          <w:spacing w:val="-20"/>
          <w:sz w:val="32"/>
          <w:szCs w:val="32"/>
        </w:rPr>
        <w:t>公开方式：</w:t>
      </w:r>
      <w:r>
        <w:rPr>
          <w:rFonts w:hint="eastAsia" w:ascii="仿宋_GB2312" w:hAnsi="仿宋" w:eastAsia="仿宋_GB2312"/>
          <w:snapToGrid w:val="0"/>
          <w:spacing w:val="-20"/>
          <w:sz w:val="32"/>
          <w:szCs w:val="32"/>
        </w:rPr>
        <w:t>主动公开</w:t>
      </w:r>
    </w:p>
    <w:p>
      <w:r>
        <w:rPr>
          <w:rFonts w:hint="eastAsia" w:ascii="仿宋_GB2312" w:hAnsi="仿宋"/>
          <w:snapToGrid w:val="0"/>
          <w:spacing w:val="-20"/>
          <w:sz w:val="28"/>
          <w:szCs w:val="28"/>
        </w:rPr>
        <w:t>抄送：云浮市生态环境局郁南分局，广东智环创新环境科技有限公司</w:t>
      </w:r>
      <w:bookmarkEnd w:id="1"/>
      <w:r>
        <w:rPr>
          <w:rFonts w:hint="eastAsia" w:ascii="仿宋_GB2312" w:hAnsi="仿宋"/>
          <w:snapToGrid w:val="0"/>
          <w:spacing w:val="-20"/>
          <w:sz w:val="28"/>
          <w:szCs w:val="28"/>
        </w:rPr>
        <w:t>。</w:t>
      </w:r>
      <w:bookmarkStart w:id="2" w:name="_GoBack"/>
      <w:bookmarkEnd w:id="2"/>
    </w:p>
    <w:sectPr>
      <w:footerReference r:id="rId4" w:type="first"/>
      <w:footerReference r:id="rId3" w:type="default"/>
      <w:pgSz w:w="11907" w:h="16840"/>
      <w:pgMar w:top="2211" w:right="1531" w:bottom="1871" w:left="1531" w:header="851" w:footer="992" w:gutter="0"/>
      <w:pgNumType w:fmt="numberInDash"/>
      <w:cols w:space="720" w:num="1"/>
      <w:titlePg/>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rPr>
        <w:rFonts w:hint="eastAsia" w:ascii="宋体" w:hAnsi="宋体" w:eastAsia="宋体"/>
        <w:sz w:val="28"/>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-149225</wp:posOffset>
              </wp:positionV>
              <wp:extent cx="5755005" cy="0"/>
              <wp:effectExtent l="0" t="28575" r="5715" b="32385"/>
              <wp:wrapNone/>
              <wp:docPr id="7" name="直接连接符 7"/>
              <wp:cNvGraphicFramePr/>
              <a:graphic xmlns:a="http://schemas.openxmlformats.org/drawingml/2006/main">
                <a:graphicData uri="http://schemas.microsoft.com/office/word/2010/wordprocessingShape">
                  <wps:wsp>
                    <wps:cNvCnPr/>
                    <wps:spPr>
                      <a:xfrm>
                        <a:off x="0" y="0"/>
                        <a:ext cx="5755005"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11.75pt;height:0pt;width:453.15pt;z-index:251658240;mso-width-relative:page;mso-height-relative:page;" filled="f" stroked="t" coordsize="21600,21600" o:gfxdata="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LZzMPWAAAA&#10;CQEAAA8AAAAAAAAAAQAgAAAAIgAAAGRycy9kb3ducmV2LnhtbFBLAQIUABQAAAAIAIdO4kADB39v&#10;5gEAAKsDAAAOAAAAAAAAAAEAIAAAACUBAABkcnMvZTJvRG9jLnhtbFBLBQYAAAAABgAGAFkBAAB9&#10;BQAAAAA=&#10;">
              <v:path arrowok="t"/>
              <v:fill on="f" focussize="0,0"/>
              <v:stroke weight="4.5pt" color="#FF0000" linestyle="thinThick"/>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4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黑体" w:hAnsi="黑体" w:eastAsia="宋体" w:cs="黑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w w:val="90"/>
      <w:position w:val="4"/>
      <w:sz w:val="96"/>
      <w:szCs w:val="6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p16"/>
    <w:basedOn w:val="7"/>
    <w:qFormat/>
    <w:uiPriority w:val="0"/>
    <w:pPr>
      <w:widowControl/>
    </w:pPr>
    <w:rPr>
      <w:kern w:val="0"/>
      <w:szCs w:val="21"/>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2020-08-11T07:54:01Z</dcterms:created>
  <dc:creator>1218</dc:creator>
  <cp:lastModifiedBy>侯昌成</cp:lastModifiedBy>
  <dcterms:modified xsi:type="dcterms:W3CDTF">2020-08-11T07:54:08Z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