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938593">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hint="eastAsia" w:ascii="方正小标宋简体" w:hAnsi="方正小标宋简体" w:eastAsia="方正小标宋简体" w:cs="方正小标宋简体"/>
          <w:sz w:val="44"/>
          <w:szCs w:val="44"/>
        </w:rPr>
      </w:pPr>
      <w:bookmarkStart w:id="0" w:name="_GoBack"/>
      <w:r>
        <w:rPr>
          <w:rFonts w:hint="eastAsia" w:ascii="方正小标宋简体" w:hAnsi="方正小标宋简体" w:eastAsia="方正小标宋简体" w:cs="方正小标宋简体"/>
          <w:sz w:val="44"/>
          <w:szCs w:val="44"/>
        </w:rPr>
        <w:t>202</w:t>
      </w:r>
      <w:r>
        <w:rPr>
          <w:rFonts w:hint="eastAsia" w:ascii="方正小标宋简体" w:hAnsi="方正小标宋简体" w:eastAsia="方正小标宋简体" w:cs="方正小标宋简体"/>
          <w:sz w:val="44"/>
          <w:szCs w:val="44"/>
          <w:lang w:val="en-US" w:eastAsia="zh-CN"/>
        </w:rPr>
        <w:t>6</w:t>
      </w:r>
      <w:r>
        <w:rPr>
          <w:rFonts w:hint="eastAsia" w:ascii="方正小标宋简体" w:hAnsi="方正小标宋简体" w:eastAsia="方正小标宋简体" w:cs="方正小标宋简体"/>
          <w:sz w:val="44"/>
          <w:szCs w:val="44"/>
        </w:rPr>
        <w:t>年云浮市学生体质健康标准</w:t>
      </w:r>
    </w:p>
    <w:p w14:paraId="7F43E243">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抽测招标需求书</w:t>
      </w:r>
    </w:p>
    <w:bookmarkEnd w:id="0"/>
    <w:p w14:paraId="6007A1F0">
      <w:pPr>
        <w:spacing w:line="360" w:lineRule="auto"/>
        <w:ind w:firstLine="640" w:firstLineChars="200"/>
        <w:rPr>
          <w:rFonts w:hint="eastAsia" w:ascii="仿宋_GB2312" w:hAnsi="仿宋_GB2312" w:eastAsia="仿宋_GB2312" w:cs="仿宋_GB2312"/>
          <w:b w:val="0"/>
          <w:bCs w:val="0"/>
          <w:sz w:val="32"/>
          <w:szCs w:val="32"/>
        </w:rPr>
      </w:pPr>
    </w:p>
    <w:p w14:paraId="08CBD2F7">
      <w:pPr>
        <w:spacing w:line="360" w:lineRule="auto"/>
        <w:ind w:firstLine="640" w:firstLineChars="200"/>
        <w:rPr>
          <w:rFonts w:hint="eastAsia" w:ascii="黑体" w:hAnsi="黑体" w:eastAsia="黑体" w:cs="黑体"/>
          <w:b w:val="0"/>
          <w:bCs w:val="0"/>
          <w:sz w:val="32"/>
          <w:szCs w:val="32"/>
        </w:rPr>
      </w:pPr>
      <w:r>
        <w:rPr>
          <w:rFonts w:hint="eastAsia" w:ascii="黑体" w:hAnsi="黑体" w:eastAsia="黑体" w:cs="黑体"/>
          <w:b w:val="0"/>
          <w:bCs w:val="0"/>
          <w:sz w:val="32"/>
          <w:szCs w:val="32"/>
        </w:rPr>
        <w:t>一、实施依据</w:t>
      </w:r>
    </w:p>
    <w:p w14:paraId="28B78D03">
      <w:pPr>
        <w:spacing w:line="360" w:lineRule="auto"/>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根据国家教育部和体育总局</w:t>
      </w:r>
      <w:r>
        <w:rPr>
          <w:rFonts w:hint="eastAsia" w:ascii="仿宋_GB2312" w:hAnsi="仿宋_GB2312" w:eastAsia="仿宋_GB2312" w:cs="仿宋_GB2312"/>
          <w:b w:val="0"/>
          <w:bCs w:val="0"/>
          <w:sz w:val="32"/>
          <w:szCs w:val="32"/>
          <w:lang w:eastAsia="zh-CN"/>
        </w:rPr>
        <w:t>印发</w:t>
      </w:r>
      <w:r>
        <w:rPr>
          <w:rFonts w:hint="eastAsia" w:ascii="仿宋_GB2312" w:hAnsi="仿宋_GB2312" w:eastAsia="仿宋_GB2312" w:cs="仿宋_GB2312"/>
          <w:b w:val="0"/>
          <w:bCs w:val="0"/>
          <w:sz w:val="32"/>
          <w:szCs w:val="32"/>
        </w:rPr>
        <w:t>的《学生体质健康标准》精神，坚持学校教育树立健康第一的指导思想，提高学生的自我保健能力和体质健康水平，促进学生健康发展。结合我市实际情况，通</w:t>
      </w:r>
      <w:r>
        <w:rPr>
          <w:rFonts w:hint="eastAsia" w:ascii="仿宋_GB2312" w:hAnsi="仿宋_GB2312" w:eastAsia="仿宋_GB2312" w:cs="仿宋_GB2312"/>
          <w:b w:val="0"/>
          <w:bCs w:val="0"/>
          <w:sz w:val="32"/>
          <w:szCs w:val="32"/>
          <w:highlight w:val="none"/>
        </w:rPr>
        <w:t>过第三方服务商，为我市202</w:t>
      </w:r>
      <w:r>
        <w:rPr>
          <w:rFonts w:hint="eastAsia" w:ascii="仿宋_GB2312" w:hAnsi="仿宋_GB2312" w:eastAsia="仿宋_GB2312" w:cs="仿宋_GB2312"/>
          <w:b w:val="0"/>
          <w:bCs w:val="0"/>
          <w:sz w:val="32"/>
          <w:szCs w:val="32"/>
          <w:highlight w:val="none"/>
          <w:lang w:val="en-US" w:eastAsia="zh-CN"/>
        </w:rPr>
        <w:t>6</w:t>
      </w:r>
      <w:r>
        <w:rPr>
          <w:rFonts w:hint="eastAsia" w:ascii="仿宋_GB2312" w:hAnsi="仿宋_GB2312" w:eastAsia="仿宋_GB2312" w:cs="仿宋_GB2312"/>
          <w:b w:val="0"/>
          <w:bCs w:val="0"/>
          <w:sz w:val="32"/>
          <w:szCs w:val="32"/>
          <w:highlight w:val="none"/>
        </w:rPr>
        <w:t>年提供《学生体质健康标准》测试服务，本次抽测</w:t>
      </w:r>
      <w:r>
        <w:rPr>
          <w:rFonts w:hint="eastAsia" w:ascii="仿宋_GB2312" w:hAnsi="仿宋_GB2312" w:eastAsia="仿宋_GB2312" w:cs="仿宋_GB2312"/>
          <w:b w:val="0"/>
          <w:bCs w:val="0"/>
          <w:sz w:val="32"/>
          <w:szCs w:val="32"/>
          <w:highlight w:val="none"/>
          <w:lang w:eastAsia="zh-CN"/>
        </w:rPr>
        <w:t>参照</w:t>
      </w:r>
      <w:r>
        <w:rPr>
          <w:rFonts w:hint="eastAsia" w:ascii="仿宋_GB2312" w:hAnsi="仿宋_GB2312" w:eastAsia="仿宋_GB2312" w:cs="仿宋_GB2312"/>
          <w:b w:val="0"/>
          <w:bCs w:val="0"/>
          <w:sz w:val="32"/>
          <w:szCs w:val="32"/>
          <w:highlight w:val="none"/>
        </w:rPr>
        <w:t>省抽测形式进行，并对</w:t>
      </w:r>
      <w:r>
        <w:rPr>
          <w:rFonts w:hint="eastAsia" w:ascii="仿宋_GB2312" w:hAnsi="仿宋_GB2312" w:eastAsia="仿宋_GB2312" w:cs="仿宋_GB2312"/>
          <w:b w:val="0"/>
          <w:bCs w:val="0"/>
          <w:sz w:val="32"/>
          <w:szCs w:val="32"/>
        </w:rPr>
        <w:t>测试数据进行汇总评定，形成分析报告。</w:t>
      </w:r>
    </w:p>
    <w:p w14:paraId="220A7F2C">
      <w:pPr>
        <w:spacing w:line="360" w:lineRule="auto"/>
        <w:ind w:firstLine="640" w:firstLineChars="200"/>
        <w:rPr>
          <w:rFonts w:hint="eastAsia" w:ascii="黑体" w:hAnsi="黑体" w:eastAsia="黑体" w:cs="黑体"/>
          <w:b w:val="0"/>
          <w:bCs w:val="0"/>
          <w:sz w:val="32"/>
          <w:szCs w:val="32"/>
        </w:rPr>
      </w:pPr>
      <w:r>
        <w:rPr>
          <w:rFonts w:hint="eastAsia" w:ascii="黑体" w:hAnsi="黑体" w:eastAsia="黑体" w:cs="黑体"/>
          <w:b w:val="0"/>
          <w:bCs w:val="0"/>
          <w:sz w:val="32"/>
          <w:szCs w:val="32"/>
        </w:rPr>
        <w:t>二、测试具体要求</w:t>
      </w:r>
    </w:p>
    <w:p w14:paraId="3E63979D">
      <w:pPr>
        <w:spacing w:line="360" w:lineRule="auto"/>
        <w:ind w:firstLine="640" w:firstLineChars="200"/>
        <w:rPr>
          <w:rFonts w:hint="eastAsia" w:ascii="楷体_GB2312" w:hAnsi="楷体_GB2312" w:eastAsia="楷体_GB2312" w:cs="楷体_GB2312"/>
          <w:b w:val="0"/>
          <w:bCs w:val="0"/>
          <w:sz w:val="32"/>
          <w:szCs w:val="32"/>
          <w:lang w:eastAsia="zh-CN"/>
        </w:rPr>
      </w:pPr>
      <w:r>
        <w:rPr>
          <w:rFonts w:hint="eastAsia" w:ascii="楷体_GB2312" w:hAnsi="楷体_GB2312" w:eastAsia="楷体_GB2312" w:cs="楷体_GB2312"/>
          <w:b w:val="0"/>
          <w:bCs w:val="0"/>
          <w:sz w:val="32"/>
          <w:szCs w:val="32"/>
          <w:lang w:eastAsia="zh-CN"/>
        </w:rPr>
        <w:t>（一）</w:t>
      </w:r>
      <w:r>
        <w:rPr>
          <w:rFonts w:hint="eastAsia" w:ascii="楷体_GB2312" w:hAnsi="楷体_GB2312" w:eastAsia="楷体_GB2312" w:cs="楷体_GB2312"/>
          <w:b w:val="0"/>
          <w:bCs w:val="0"/>
          <w:sz w:val="32"/>
          <w:szCs w:val="32"/>
        </w:rPr>
        <w:t>测试</w:t>
      </w:r>
      <w:r>
        <w:rPr>
          <w:rFonts w:hint="eastAsia" w:ascii="楷体_GB2312" w:hAnsi="楷体_GB2312" w:eastAsia="楷体_GB2312" w:cs="楷体_GB2312"/>
          <w:b w:val="0"/>
          <w:bCs w:val="0"/>
          <w:sz w:val="32"/>
          <w:szCs w:val="32"/>
          <w:lang w:eastAsia="zh-CN"/>
        </w:rPr>
        <w:t>内容。</w:t>
      </w:r>
    </w:p>
    <w:p w14:paraId="79C5E248">
      <w:pPr>
        <w:spacing w:line="360" w:lineRule="auto"/>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测试对象、指标和权重按照《国家学生体质健康标准》（2014年修订）要求而定</w:t>
      </w:r>
      <w:r>
        <w:rPr>
          <w:rFonts w:hint="eastAsia" w:ascii="仿宋_GB2312" w:hAnsi="仿宋_GB2312" w:eastAsia="仿宋_GB2312" w:cs="仿宋_GB2312"/>
          <w:b w:val="0"/>
          <w:bCs w:val="0"/>
          <w:sz w:val="32"/>
          <w:szCs w:val="32"/>
          <w:lang w:eastAsia="zh-CN"/>
        </w:rPr>
        <w:t>（含视力检测项目）</w:t>
      </w:r>
      <w:r>
        <w:rPr>
          <w:rFonts w:hint="eastAsia" w:ascii="仿宋_GB2312" w:hAnsi="仿宋_GB2312" w:eastAsia="仿宋_GB2312" w:cs="仿宋_GB2312"/>
          <w:b w:val="0"/>
          <w:bCs w:val="0"/>
          <w:sz w:val="32"/>
          <w:szCs w:val="32"/>
        </w:rPr>
        <w:t>。单项指标评分标准按、《国家学生体质健康标准》（2014年修订）要求执行。</w:t>
      </w:r>
    </w:p>
    <w:p w14:paraId="47AA9D39">
      <w:pPr>
        <w:spacing w:line="360" w:lineRule="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　</w:t>
      </w:r>
      <w:r>
        <w:rPr>
          <w:rFonts w:hint="eastAsia" w:ascii="楷体_GB2312" w:hAnsi="楷体_GB2312" w:eastAsia="楷体_GB2312" w:cs="楷体_GB2312"/>
          <w:b w:val="0"/>
          <w:bCs w:val="0"/>
          <w:sz w:val="32"/>
          <w:szCs w:val="32"/>
          <w:lang w:eastAsia="zh-CN"/>
        </w:rPr>
        <w:t>　（二）经费预算：</w:t>
      </w:r>
      <w:r>
        <w:rPr>
          <w:rFonts w:hint="eastAsia" w:ascii="仿宋_GB2312" w:hAnsi="仿宋_GB2312" w:eastAsia="仿宋_GB2312" w:cs="仿宋_GB2312"/>
          <w:b w:val="0"/>
          <w:bCs w:val="0"/>
          <w:sz w:val="32"/>
          <w:szCs w:val="32"/>
          <w:lang w:val="en-US" w:eastAsia="zh-CN"/>
        </w:rPr>
        <w:t>1</w:t>
      </w:r>
      <w:r>
        <w:rPr>
          <w:rFonts w:hint="default" w:ascii="仿宋_GB2312" w:hAnsi="仿宋_GB2312" w:eastAsia="仿宋_GB2312" w:cs="仿宋_GB2312"/>
          <w:b w:val="0"/>
          <w:bCs w:val="0"/>
          <w:sz w:val="32"/>
          <w:szCs w:val="32"/>
          <w:lang w:val="en-US" w:eastAsia="zh-CN"/>
        </w:rPr>
        <w:t>6</w:t>
      </w:r>
      <w:r>
        <w:rPr>
          <w:rFonts w:hint="eastAsia" w:ascii="仿宋_GB2312" w:hAnsi="仿宋_GB2312" w:eastAsia="仿宋_GB2312" w:cs="仿宋_GB2312"/>
          <w:b w:val="0"/>
          <w:bCs w:val="0"/>
          <w:sz w:val="32"/>
          <w:szCs w:val="32"/>
          <w:lang w:val="en-US" w:eastAsia="zh-CN"/>
        </w:rPr>
        <w:t>.</w:t>
      </w:r>
      <w:r>
        <w:rPr>
          <w:rFonts w:hint="default" w:ascii="仿宋_GB2312" w:hAnsi="仿宋_GB2312" w:eastAsia="仿宋_GB2312" w:cs="仿宋_GB2312"/>
          <w:b w:val="0"/>
          <w:bCs w:val="0"/>
          <w:sz w:val="32"/>
          <w:szCs w:val="32"/>
          <w:lang w:val="en-US" w:eastAsia="zh-CN"/>
        </w:rPr>
        <w:t>2</w:t>
      </w:r>
      <w:r>
        <w:rPr>
          <w:rFonts w:hint="eastAsia" w:ascii="仿宋_GB2312" w:hAnsi="仿宋_GB2312" w:eastAsia="仿宋_GB2312" w:cs="仿宋_GB2312"/>
          <w:b w:val="0"/>
          <w:bCs w:val="0"/>
          <w:sz w:val="32"/>
          <w:szCs w:val="32"/>
        </w:rPr>
        <w:t>万以内。</w:t>
      </w:r>
    </w:p>
    <w:p w14:paraId="611EC17B">
      <w:pPr>
        <w:spacing w:line="360" w:lineRule="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　</w:t>
      </w:r>
      <w:r>
        <w:rPr>
          <w:rFonts w:hint="eastAsia" w:ascii="楷体_GB2312" w:hAnsi="楷体_GB2312" w:eastAsia="楷体_GB2312" w:cs="楷体_GB2312"/>
          <w:b w:val="0"/>
          <w:bCs w:val="0"/>
          <w:sz w:val="32"/>
          <w:szCs w:val="32"/>
          <w:lang w:eastAsia="zh-CN"/>
        </w:rPr>
        <w:t>　（三）抽测人数：</w:t>
      </w:r>
      <w:r>
        <w:rPr>
          <w:rFonts w:hint="eastAsia" w:ascii="仿宋_GB2312" w:hAnsi="仿宋_GB2312" w:eastAsia="仿宋_GB2312" w:cs="仿宋_GB2312"/>
          <w:b w:val="0"/>
          <w:bCs w:val="0"/>
          <w:sz w:val="32"/>
          <w:szCs w:val="32"/>
        </w:rPr>
        <w:t>约</w:t>
      </w:r>
      <w:r>
        <w:rPr>
          <w:rFonts w:hint="eastAsia" w:ascii="仿宋_GB2312" w:hAnsi="仿宋_GB2312" w:eastAsia="仿宋_GB2312" w:cs="仿宋_GB2312"/>
          <w:b w:val="0"/>
          <w:bCs w:val="0"/>
          <w:sz w:val="32"/>
          <w:szCs w:val="32"/>
          <w:lang w:val="en-US" w:eastAsia="zh-CN"/>
        </w:rPr>
        <w:t>7200</w:t>
      </w:r>
      <w:r>
        <w:rPr>
          <w:rFonts w:hint="eastAsia" w:ascii="仿宋_GB2312" w:hAnsi="仿宋_GB2312" w:eastAsia="仿宋_GB2312" w:cs="仿宋_GB2312"/>
          <w:b w:val="0"/>
          <w:bCs w:val="0"/>
          <w:sz w:val="32"/>
          <w:szCs w:val="32"/>
        </w:rPr>
        <w:t>人。</w:t>
      </w:r>
    </w:p>
    <w:p w14:paraId="087C8F02">
      <w:pPr>
        <w:spacing w:line="360" w:lineRule="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　　</w:t>
      </w:r>
      <w:r>
        <w:rPr>
          <w:rFonts w:hint="eastAsia" w:ascii="楷体_GB2312" w:hAnsi="楷体_GB2312" w:eastAsia="楷体_GB2312" w:cs="楷体_GB2312"/>
          <w:b w:val="0"/>
          <w:bCs w:val="0"/>
          <w:sz w:val="32"/>
          <w:szCs w:val="32"/>
          <w:lang w:eastAsia="zh-CN"/>
        </w:rPr>
        <w:t>（四）完成时间：</w:t>
      </w:r>
      <w:r>
        <w:rPr>
          <w:rFonts w:hint="eastAsia" w:ascii="仿宋_GB2312" w:hAnsi="仿宋_GB2312" w:eastAsia="仿宋_GB2312" w:cs="仿宋_GB2312"/>
          <w:b w:val="0"/>
          <w:bCs w:val="0"/>
          <w:sz w:val="32"/>
          <w:szCs w:val="32"/>
        </w:rPr>
        <w:t>202</w:t>
      </w:r>
      <w:r>
        <w:rPr>
          <w:rFonts w:hint="eastAsia" w:ascii="仿宋_GB2312" w:hAnsi="仿宋_GB2312" w:eastAsia="仿宋_GB2312" w:cs="仿宋_GB2312"/>
          <w:b w:val="0"/>
          <w:bCs w:val="0"/>
          <w:sz w:val="32"/>
          <w:szCs w:val="32"/>
          <w:lang w:val="en-US" w:eastAsia="zh-CN"/>
        </w:rPr>
        <w:t>6</w:t>
      </w:r>
      <w:r>
        <w:rPr>
          <w:rFonts w:hint="eastAsia" w:ascii="仿宋_GB2312" w:hAnsi="仿宋_GB2312" w:eastAsia="仿宋_GB2312" w:cs="仿宋_GB2312"/>
          <w:b w:val="0"/>
          <w:bCs w:val="0"/>
          <w:sz w:val="32"/>
          <w:szCs w:val="32"/>
        </w:rPr>
        <w:t>年</w:t>
      </w:r>
      <w:r>
        <w:rPr>
          <w:rFonts w:hint="eastAsia" w:ascii="仿宋_GB2312" w:hAnsi="仿宋_GB2312" w:eastAsia="仿宋_GB2312" w:cs="仿宋_GB2312"/>
          <w:b w:val="0"/>
          <w:bCs w:val="0"/>
          <w:sz w:val="32"/>
          <w:szCs w:val="32"/>
          <w:lang w:val="en-US" w:eastAsia="zh-CN"/>
        </w:rPr>
        <w:t>11-12</w:t>
      </w:r>
      <w:r>
        <w:rPr>
          <w:rFonts w:hint="eastAsia" w:ascii="仿宋_GB2312" w:hAnsi="仿宋_GB2312" w:eastAsia="仿宋_GB2312" w:cs="仿宋_GB2312"/>
          <w:b w:val="0"/>
          <w:bCs w:val="0"/>
          <w:sz w:val="32"/>
          <w:szCs w:val="32"/>
        </w:rPr>
        <w:t>月。</w:t>
      </w:r>
    </w:p>
    <w:p w14:paraId="52CD81A7">
      <w:pPr>
        <w:spacing w:line="360" w:lineRule="auto"/>
        <w:ind w:firstLine="640" w:firstLineChars="200"/>
        <w:rPr>
          <w:rFonts w:hint="eastAsia" w:ascii="楷体_GB2312" w:hAnsi="楷体_GB2312" w:eastAsia="楷体_GB2312" w:cs="楷体_GB2312"/>
          <w:b w:val="0"/>
          <w:bCs w:val="0"/>
          <w:sz w:val="32"/>
          <w:szCs w:val="32"/>
          <w:lang w:eastAsia="zh-CN"/>
        </w:rPr>
      </w:pPr>
      <w:r>
        <w:rPr>
          <w:rFonts w:hint="eastAsia" w:ascii="楷体_GB2312" w:hAnsi="楷体_GB2312" w:eastAsia="楷体_GB2312" w:cs="楷体_GB2312"/>
          <w:b w:val="0"/>
          <w:bCs w:val="0"/>
          <w:sz w:val="32"/>
          <w:szCs w:val="32"/>
          <w:lang w:eastAsia="zh-CN"/>
        </w:rPr>
        <w:t>（五）测试人员与测试器材配置使用要求∶</w:t>
      </w:r>
    </w:p>
    <w:p w14:paraId="2E449A57">
      <w:pPr>
        <w:spacing w:line="360" w:lineRule="auto"/>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1.所有参加学生体质健康测试的工作人员须经过专门的体育测试培训。分成3个工作组，每个工作组不少于12名工作人员。</w:t>
      </w:r>
    </w:p>
    <w:p w14:paraId="3F78DFAC">
      <w:pPr>
        <w:spacing w:line="360" w:lineRule="auto"/>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2.测试器材配置要求：不少于3组独立的设备，每组设备每个单元（一上午或一下午）须完成完一所学校测试工作。3组设备一天内完成一个县（市、区）的6所学校测试工作（雨天等特殊因素除外）。</w:t>
      </w:r>
    </w:p>
    <w:p w14:paraId="3F7E0140">
      <w:pPr>
        <w:spacing w:line="360" w:lineRule="auto"/>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3.体质测试所使用的各项目测试仪必须为同一品牌的智能化测量仪器，无需人工干预，不得通过手工测试、记录。</w:t>
      </w:r>
    </w:p>
    <w:p w14:paraId="68F950A8">
      <w:pPr>
        <w:spacing w:line="360" w:lineRule="auto"/>
        <w:ind w:firstLine="640" w:firstLineChars="20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rPr>
        <w:t>4.测试数据管理平台需保证学生个人信息及测试数据安全，须通过网络安全等级保护测评（二级以上）。</w:t>
      </w:r>
      <w:r>
        <w:rPr>
          <w:rFonts w:hint="eastAsia" w:ascii="仿宋_GB2312" w:hAnsi="仿宋_GB2312" w:eastAsia="仿宋_GB2312" w:cs="仿宋_GB2312"/>
          <w:b w:val="0"/>
          <w:bCs w:val="0"/>
          <w:sz w:val="32"/>
          <w:szCs w:val="32"/>
          <w:lang w:eastAsia="zh-CN"/>
        </w:rPr>
        <w:t>需</w:t>
      </w:r>
      <w:r>
        <w:rPr>
          <w:rFonts w:hint="eastAsia" w:ascii="仿宋_GB2312" w:hAnsi="仿宋_GB2312" w:eastAsia="仿宋_GB2312" w:cs="仿宋_GB2312"/>
          <w:b w:val="0"/>
          <w:bCs w:val="0"/>
          <w:sz w:val="32"/>
          <w:szCs w:val="32"/>
        </w:rPr>
        <w:t>提供备案证明复印件</w:t>
      </w:r>
      <w:r>
        <w:rPr>
          <w:rFonts w:hint="eastAsia" w:ascii="仿宋_GB2312" w:hAnsi="仿宋_GB2312" w:eastAsia="仿宋_GB2312" w:cs="仿宋_GB2312"/>
          <w:b w:val="0"/>
          <w:bCs w:val="0"/>
          <w:sz w:val="32"/>
          <w:szCs w:val="32"/>
          <w:lang w:eastAsia="zh-CN"/>
        </w:rPr>
        <w:t>。</w:t>
      </w:r>
    </w:p>
    <w:p w14:paraId="12265389">
      <w:pPr>
        <w:spacing w:line="360" w:lineRule="auto"/>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5</w:t>
      </w:r>
      <w:r>
        <w:rPr>
          <w:rFonts w:hint="eastAsia" w:ascii="仿宋_GB2312" w:hAnsi="仿宋_GB2312" w:eastAsia="仿宋_GB2312" w:cs="仿宋_GB2312"/>
          <w:b w:val="0"/>
          <w:bCs w:val="0"/>
          <w:sz w:val="32"/>
          <w:szCs w:val="32"/>
        </w:rPr>
        <w:t>.体质测试所使用的各项目测试仪必须为全部通过国体世纪质量认证中心的NSCC国体认证（提供国体认证证书复印件，需官网可查，且在有效期内）。</w:t>
      </w:r>
    </w:p>
    <w:p w14:paraId="1E387FE2">
      <w:pPr>
        <w:spacing w:line="360" w:lineRule="auto"/>
        <w:ind w:firstLine="640" w:firstLineChars="200"/>
        <w:rPr>
          <w:rFonts w:hint="eastAsia" w:ascii="楷体_GB2312" w:hAnsi="楷体_GB2312" w:eastAsia="楷体_GB2312" w:cs="楷体_GB2312"/>
          <w:b w:val="0"/>
          <w:bCs w:val="0"/>
          <w:sz w:val="32"/>
          <w:szCs w:val="32"/>
          <w:lang w:eastAsia="zh-CN"/>
        </w:rPr>
      </w:pPr>
      <w:r>
        <w:rPr>
          <w:rFonts w:hint="eastAsia" w:ascii="楷体_GB2312" w:hAnsi="楷体_GB2312" w:eastAsia="楷体_GB2312" w:cs="楷体_GB2312"/>
          <w:b w:val="0"/>
          <w:bCs w:val="0"/>
          <w:sz w:val="32"/>
          <w:szCs w:val="32"/>
          <w:lang w:eastAsia="zh-CN"/>
        </w:rPr>
        <w:t>（六）测试报告书要求</w:t>
      </w:r>
    </w:p>
    <w:p w14:paraId="3F9AF20C">
      <w:pPr>
        <w:spacing w:line="360" w:lineRule="auto"/>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rPr>
        <w:t>服务商必须出具我市抽测学生体质健康测试报告书以及电子版，纸质报告书，装帧成册，作为测试工作的完整验收的依据。</w:t>
      </w:r>
    </w:p>
    <w:p w14:paraId="01659E93">
      <w:pPr>
        <w:spacing w:line="360" w:lineRule="auto"/>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2.</w:t>
      </w:r>
      <w:r>
        <w:rPr>
          <w:rFonts w:hint="eastAsia" w:ascii="仿宋_GB2312" w:hAnsi="仿宋_GB2312" w:eastAsia="仿宋_GB2312" w:cs="仿宋_GB2312"/>
          <w:b w:val="0"/>
          <w:bCs w:val="0"/>
          <w:sz w:val="32"/>
          <w:szCs w:val="32"/>
        </w:rPr>
        <w:t>报告书中必须提供抽测学校测试的各项数据，整理汇总各项测试指标的数据进行分析，对各测试学校同年级数据横向比对、纵向比较、排名、汇总并提出运动建议等信息。</w:t>
      </w:r>
    </w:p>
    <w:p w14:paraId="1F029E1D">
      <w:pPr>
        <w:spacing w:line="360" w:lineRule="auto"/>
        <w:ind w:firstLine="640" w:firstLineChars="200"/>
        <w:rPr>
          <w:rFonts w:hint="eastAsia" w:ascii="楷体_GB2312" w:hAnsi="楷体_GB2312" w:eastAsia="楷体_GB2312" w:cs="楷体_GB2312"/>
          <w:b w:val="0"/>
          <w:bCs w:val="0"/>
          <w:sz w:val="32"/>
          <w:szCs w:val="32"/>
          <w:lang w:eastAsia="zh-CN"/>
        </w:rPr>
      </w:pPr>
      <w:r>
        <w:rPr>
          <w:rFonts w:hint="eastAsia" w:ascii="楷体_GB2312" w:hAnsi="楷体_GB2312" w:eastAsia="楷体_GB2312" w:cs="楷体_GB2312"/>
          <w:b w:val="0"/>
          <w:bCs w:val="0"/>
          <w:sz w:val="32"/>
          <w:szCs w:val="32"/>
          <w:lang w:eastAsia="zh-CN"/>
        </w:rPr>
        <w:t>（七）其他要求</w:t>
      </w:r>
    </w:p>
    <w:p w14:paraId="18D6DAA8">
      <w:pPr>
        <w:spacing w:line="360" w:lineRule="auto"/>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rPr>
        <w:t>项目实施方案∶需提供详细的测试方案及流程。</w:t>
      </w:r>
    </w:p>
    <w:p w14:paraId="713F017D">
      <w:pPr>
        <w:spacing w:line="360" w:lineRule="auto"/>
        <w:ind w:firstLine="651"/>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2.</w:t>
      </w:r>
      <w:r>
        <w:rPr>
          <w:rFonts w:hint="eastAsia" w:ascii="仿宋_GB2312" w:hAnsi="仿宋_GB2312" w:eastAsia="仿宋_GB2312" w:cs="仿宋_GB2312"/>
          <w:b w:val="0"/>
          <w:bCs w:val="0"/>
          <w:sz w:val="32"/>
          <w:szCs w:val="32"/>
        </w:rPr>
        <w:t>服务商</w:t>
      </w:r>
      <w:r>
        <w:rPr>
          <w:rFonts w:hint="eastAsia" w:ascii="仿宋_GB2312" w:hAnsi="仿宋_GB2312" w:eastAsia="仿宋_GB2312" w:cs="仿宋_GB2312"/>
          <w:b w:val="0"/>
          <w:bCs w:val="0"/>
          <w:sz w:val="32"/>
          <w:szCs w:val="32"/>
          <w:lang w:eastAsia="zh-CN"/>
        </w:rPr>
        <w:t>资质、测试</w:t>
      </w:r>
      <w:r>
        <w:rPr>
          <w:rFonts w:hint="eastAsia" w:ascii="仿宋_GB2312" w:hAnsi="仿宋_GB2312" w:eastAsia="仿宋_GB2312" w:cs="仿宋_GB2312"/>
          <w:b w:val="0"/>
          <w:bCs w:val="0"/>
          <w:sz w:val="32"/>
          <w:szCs w:val="32"/>
        </w:rPr>
        <w:t>方案</w:t>
      </w:r>
      <w:r>
        <w:rPr>
          <w:rFonts w:hint="eastAsia" w:ascii="仿宋_GB2312" w:hAnsi="仿宋_GB2312" w:eastAsia="仿宋_GB2312" w:cs="仿宋_GB2312"/>
          <w:b w:val="0"/>
          <w:bCs w:val="0"/>
          <w:sz w:val="32"/>
          <w:szCs w:val="32"/>
          <w:lang w:eastAsia="zh-CN"/>
        </w:rPr>
        <w:t>等</w:t>
      </w:r>
      <w:r>
        <w:rPr>
          <w:rFonts w:hint="eastAsia" w:ascii="仿宋_GB2312" w:hAnsi="仿宋_GB2312" w:eastAsia="仿宋_GB2312" w:cs="仿宋_GB2312"/>
          <w:b w:val="0"/>
          <w:bCs w:val="0"/>
          <w:sz w:val="32"/>
          <w:szCs w:val="32"/>
        </w:rPr>
        <w:t>符合要求</w:t>
      </w:r>
      <w:r>
        <w:rPr>
          <w:rFonts w:hint="eastAsia" w:ascii="仿宋_GB2312" w:hAnsi="仿宋_GB2312" w:eastAsia="仿宋_GB2312" w:cs="仿宋_GB2312"/>
          <w:b w:val="0"/>
          <w:bCs w:val="0"/>
          <w:sz w:val="32"/>
          <w:szCs w:val="32"/>
          <w:lang w:eastAsia="zh-CN"/>
        </w:rPr>
        <w:t>，原则上</w:t>
      </w:r>
      <w:r>
        <w:rPr>
          <w:rFonts w:hint="eastAsia" w:ascii="仿宋_GB2312" w:hAnsi="仿宋_GB2312" w:eastAsia="仿宋_GB2312" w:cs="仿宋_GB2312"/>
          <w:b w:val="0"/>
          <w:bCs w:val="0"/>
          <w:sz w:val="32"/>
          <w:szCs w:val="32"/>
        </w:rPr>
        <w:t>最低价优先。</w:t>
      </w:r>
    </w:p>
    <w:p w14:paraId="36A06DD7">
      <w:pPr>
        <w:spacing w:line="360" w:lineRule="auto"/>
        <w:ind w:firstLine="651"/>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3.</w:t>
      </w:r>
      <w:r>
        <w:rPr>
          <w:rFonts w:hint="eastAsia" w:ascii="仿宋_GB2312" w:hAnsi="仿宋_GB2312" w:eastAsia="仿宋_GB2312" w:cs="仿宋_GB2312"/>
          <w:b w:val="0"/>
          <w:bCs w:val="0"/>
          <w:sz w:val="32"/>
          <w:szCs w:val="32"/>
        </w:rPr>
        <w:t>抽测后按测试数据分析出中学、小学的弱项</w:t>
      </w:r>
      <w:r>
        <w:rPr>
          <w:rFonts w:hint="eastAsia" w:ascii="仿宋_GB2312" w:hAnsi="仿宋_GB2312" w:eastAsia="仿宋_GB2312" w:cs="仿宋_GB2312"/>
          <w:b w:val="0"/>
          <w:bCs w:val="0"/>
          <w:sz w:val="32"/>
          <w:szCs w:val="32"/>
          <w:lang w:eastAsia="zh-CN"/>
        </w:rPr>
        <w:t>，并对</w:t>
      </w:r>
      <w:r>
        <w:rPr>
          <w:rFonts w:hint="eastAsia" w:ascii="仿宋_GB2312" w:hAnsi="仿宋_GB2312" w:eastAsia="仿宋_GB2312" w:cs="仿宋_GB2312"/>
          <w:b w:val="0"/>
          <w:bCs w:val="0"/>
          <w:sz w:val="32"/>
          <w:szCs w:val="32"/>
        </w:rPr>
        <w:t>弱项</w:t>
      </w:r>
      <w:r>
        <w:rPr>
          <w:rFonts w:hint="eastAsia" w:ascii="仿宋_GB2312" w:hAnsi="仿宋_GB2312" w:eastAsia="仿宋_GB2312" w:cs="仿宋_GB2312"/>
          <w:b w:val="0"/>
          <w:bCs w:val="0"/>
          <w:sz w:val="32"/>
          <w:szCs w:val="32"/>
          <w:lang w:eastAsia="zh-CN"/>
        </w:rPr>
        <w:t>如何</w:t>
      </w:r>
      <w:r>
        <w:rPr>
          <w:rFonts w:hint="eastAsia" w:ascii="仿宋_GB2312" w:hAnsi="仿宋_GB2312" w:eastAsia="仿宋_GB2312" w:cs="仿宋_GB2312"/>
          <w:b w:val="0"/>
          <w:bCs w:val="0"/>
          <w:sz w:val="32"/>
          <w:szCs w:val="32"/>
        </w:rPr>
        <w:t>提升</w:t>
      </w:r>
      <w:r>
        <w:rPr>
          <w:rFonts w:hint="eastAsia" w:ascii="仿宋_GB2312" w:hAnsi="仿宋_GB2312" w:eastAsia="仿宋_GB2312" w:cs="仿宋_GB2312"/>
          <w:b w:val="0"/>
          <w:bCs w:val="0"/>
          <w:sz w:val="32"/>
          <w:szCs w:val="32"/>
          <w:lang w:eastAsia="zh-CN"/>
        </w:rPr>
        <w:t>，制定可行方案和指导</w:t>
      </w:r>
      <w:r>
        <w:rPr>
          <w:rFonts w:hint="eastAsia" w:ascii="仿宋_GB2312" w:hAnsi="仿宋_GB2312" w:eastAsia="仿宋_GB2312" w:cs="仿宋_GB2312"/>
          <w:b w:val="0"/>
          <w:bCs w:val="0"/>
          <w:sz w:val="32"/>
          <w:szCs w:val="32"/>
        </w:rPr>
        <w:t>。</w:t>
      </w:r>
    </w:p>
    <w:p w14:paraId="1AA2FE36">
      <w:pPr>
        <w:spacing w:line="360" w:lineRule="auto"/>
        <w:ind w:firstLine="651"/>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lang w:val="en-US" w:eastAsia="zh-CN"/>
        </w:rPr>
        <w:t>4.</w:t>
      </w:r>
      <w:r>
        <w:rPr>
          <w:rFonts w:hint="eastAsia" w:ascii="仿宋_GB2312" w:hAnsi="仿宋_GB2312" w:eastAsia="仿宋_GB2312" w:cs="仿宋_GB2312"/>
          <w:b w:val="0"/>
          <w:bCs w:val="0"/>
          <w:color w:val="auto"/>
          <w:sz w:val="32"/>
          <w:szCs w:val="32"/>
        </w:rPr>
        <w:t>在202</w:t>
      </w:r>
      <w:r>
        <w:rPr>
          <w:rFonts w:hint="eastAsia" w:ascii="仿宋_GB2312" w:hAnsi="仿宋_GB2312" w:eastAsia="仿宋_GB2312" w:cs="仿宋_GB2312"/>
          <w:b w:val="0"/>
          <w:bCs w:val="0"/>
          <w:color w:val="auto"/>
          <w:sz w:val="32"/>
          <w:szCs w:val="32"/>
          <w:lang w:val="en-US" w:eastAsia="zh-CN"/>
        </w:rPr>
        <w:t>6</w:t>
      </w:r>
      <w:r>
        <w:rPr>
          <w:rFonts w:hint="eastAsia" w:ascii="仿宋_GB2312" w:hAnsi="仿宋_GB2312" w:eastAsia="仿宋_GB2312" w:cs="仿宋_GB2312"/>
          <w:b w:val="0"/>
          <w:bCs w:val="0"/>
          <w:color w:val="auto"/>
          <w:sz w:val="32"/>
          <w:szCs w:val="32"/>
        </w:rPr>
        <w:t>年省抽测前，进行</w:t>
      </w:r>
      <w:r>
        <w:rPr>
          <w:rFonts w:hint="eastAsia" w:ascii="仿宋_GB2312" w:hAnsi="仿宋_GB2312" w:eastAsia="仿宋_GB2312" w:cs="仿宋_GB2312"/>
          <w:b w:val="0"/>
          <w:bCs w:val="0"/>
          <w:color w:val="auto"/>
          <w:sz w:val="32"/>
          <w:szCs w:val="32"/>
          <w:lang w:val="en-US" w:eastAsia="zh-CN"/>
        </w:rPr>
        <w:t>1</w:t>
      </w:r>
      <w:r>
        <w:rPr>
          <w:rFonts w:hint="eastAsia" w:ascii="仿宋_GB2312" w:hAnsi="仿宋_GB2312" w:eastAsia="仿宋_GB2312" w:cs="仿宋_GB2312"/>
          <w:b w:val="0"/>
          <w:bCs w:val="0"/>
          <w:color w:val="auto"/>
          <w:sz w:val="32"/>
          <w:szCs w:val="32"/>
        </w:rPr>
        <w:t>次模拟抽测，抽测对象为省抽中的县（市、区）并将数据分析。</w:t>
      </w:r>
    </w:p>
    <w:p w14:paraId="2C059F8A">
      <w:pPr>
        <w:spacing w:line="360" w:lineRule="auto"/>
        <w:ind w:firstLine="640" w:firstLineChars="200"/>
      </w:pPr>
      <w:r>
        <w:rPr>
          <w:rFonts w:hint="eastAsia" w:ascii="仿宋_GB2312" w:hAnsi="仿宋_GB2312" w:eastAsia="仿宋_GB2312" w:cs="仿宋_GB2312"/>
          <w:b w:val="0"/>
          <w:bCs w:val="0"/>
          <w:sz w:val="32"/>
          <w:szCs w:val="32"/>
          <w:lang w:val="en-US" w:eastAsia="zh-CN"/>
        </w:rPr>
        <w:t>5.</w:t>
      </w:r>
      <w:r>
        <w:rPr>
          <w:rFonts w:hint="eastAsia" w:ascii="仿宋_GB2312" w:hAnsi="仿宋_GB2312" w:eastAsia="仿宋_GB2312" w:cs="仿宋_GB2312"/>
          <w:b w:val="0"/>
          <w:bCs w:val="0"/>
          <w:sz w:val="32"/>
          <w:szCs w:val="32"/>
        </w:rPr>
        <w:t>服务商须</w:t>
      </w:r>
      <w:r>
        <w:rPr>
          <w:rFonts w:hint="eastAsia" w:ascii="仿宋_GB2312" w:hAnsi="仿宋_GB2312" w:eastAsia="仿宋_GB2312" w:cs="仿宋_GB2312"/>
          <w:b w:val="0"/>
          <w:bCs w:val="0"/>
          <w:sz w:val="32"/>
          <w:szCs w:val="32"/>
          <w:lang w:eastAsia="zh-CN"/>
        </w:rPr>
        <w:t>为我市同时进行</w:t>
      </w:r>
      <w:r>
        <w:rPr>
          <w:rFonts w:hint="eastAsia" w:ascii="仿宋_GB2312" w:hAnsi="仿宋_GB2312" w:eastAsia="仿宋_GB2312" w:cs="仿宋_GB2312"/>
          <w:b w:val="0"/>
          <w:bCs w:val="0"/>
          <w:sz w:val="32"/>
          <w:szCs w:val="32"/>
          <w:lang w:val="en" w:eastAsia="zh-CN"/>
        </w:rPr>
        <w:t>1次</w:t>
      </w:r>
      <w:r>
        <w:rPr>
          <w:rFonts w:hint="eastAsia" w:ascii="仿宋_GB2312" w:hAnsi="仿宋_GB2312" w:eastAsia="仿宋_GB2312" w:cs="仿宋_GB2312"/>
          <w:b w:val="0"/>
          <w:bCs w:val="0"/>
          <w:sz w:val="32"/>
          <w:szCs w:val="32"/>
          <w:lang w:val="en-US" w:eastAsia="zh-CN"/>
        </w:rPr>
        <w:t>六、九年级运动技能掌握情况抽检。</w:t>
      </w:r>
    </w:p>
    <w:p w14:paraId="714E7D4A"/>
    <w:p w14:paraId="2310468C"/>
    <w:p w14:paraId="155352B1"/>
    <w:sectPr>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06758A6"/>
    <w:rsid w:val="206758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2026-10-12T14:26:00Z</dcterms:created>
  <dc:creator>咚咚石</dc:creator>
  <cp:lastModifiedBy>咚咚石</cp:lastModifiedBy>
  <dcterms:modified xsi:type="dcterms:W3CDTF">2026-10-12T14:27:23Z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1BDC3A30CCDC4D9DA032770B514E841B_11</vt:lpwstr>
  </property>
  <property fmtid="{D5CDD505-2E9C-101B-9397-08002B2CF9AE}" pid="4" name="KSOTemplateDocerSaveRecord">
    <vt:lpwstr>eyJoZGlkIjoiM2UzZjhlZWIwNjRkMmM1MGE5NWQzMDNmZGRiZTg0YTgiLCJ1c2VySWQiOiI0MDY1NDczOTcifQ==</vt:lpwstr>
  </property>
</Properties>
</file>