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b/>
          <w:bCs/>
          <w:sz w:val="44"/>
          <w:szCs w:val="44"/>
        </w:rPr>
      </w:pPr>
    </w:p>
    <w:p>
      <w:pPr>
        <w:jc w:val="center"/>
        <w:rPr>
          <w:b/>
          <w:bCs/>
          <w:sz w:val="44"/>
          <w:szCs w:val="44"/>
        </w:rPr>
      </w:pPr>
      <w:r>
        <w:rPr>
          <w:b/>
          <w:bCs/>
          <w:sz w:val="44"/>
          <w:szCs w:val="44"/>
        </w:rPr>
        <w:t>不合格报告说明</w:t>
      </w:r>
    </w:p>
    <w:p>
      <w:pPr>
        <w:rPr>
          <w:rFonts w:hint="eastAsia"/>
          <w:sz w:val="24"/>
        </w:rPr>
      </w:pPr>
      <w:r>
        <w:rPr>
          <w:rFonts w:hint="eastAsia"/>
          <w:sz w:val="24"/>
        </w:rPr>
        <w:t>检验报告书编号：JQT26FC01300</w:t>
      </w:r>
      <w:r>
        <w:rPr>
          <w:rFonts w:hint="eastAsia"/>
          <w:sz w:val="24"/>
        </w:rPr>
        <w:tab/>
      </w:r>
    </w:p>
    <w:tbl>
      <w:tblPr>
        <w:tblStyle w:val="6"/>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418"/>
        <w:gridCol w:w="1842"/>
        <w:gridCol w:w="1843"/>
        <w:gridCol w:w="3260"/>
        <w:gridCol w:w="3321"/>
        <w:gridCol w:w="11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1384" w:type="dxa"/>
            <w:vAlign w:val="center"/>
          </w:tcPr>
          <w:p>
            <w:pPr>
              <w:spacing w:line="360" w:lineRule="exact"/>
              <w:jc w:val="center"/>
              <w:rPr>
                <w:sz w:val="24"/>
              </w:rPr>
            </w:pPr>
            <w:r>
              <w:rPr>
                <w:rFonts w:hint="eastAsia"/>
                <w:sz w:val="24"/>
              </w:rPr>
              <w:t>不合格</w:t>
            </w:r>
          </w:p>
          <w:p>
            <w:pPr>
              <w:spacing w:line="360" w:lineRule="exact"/>
              <w:jc w:val="center"/>
              <w:rPr>
                <w:sz w:val="24"/>
              </w:rPr>
            </w:pPr>
            <w:r>
              <w:rPr>
                <w:rFonts w:hint="eastAsia"/>
                <w:sz w:val="24"/>
              </w:rPr>
              <w:t>项目</w:t>
            </w:r>
          </w:p>
        </w:tc>
        <w:tc>
          <w:tcPr>
            <w:tcW w:w="1418" w:type="dxa"/>
            <w:vAlign w:val="center"/>
          </w:tcPr>
          <w:p>
            <w:pPr>
              <w:spacing w:line="360" w:lineRule="exact"/>
              <w:jc w:val="center"/>
              <w:rPr>
                <w:sz w:val="24"/>
              </w:rPr>
            </w:pPr>
            <w:r>
              <w:rPr>
                <w:rFonts w:hint="eastAsia"/>
                <w:sz w:val="24"/>
              </w:rPr>
              <w:t>不合格项目所属</w:t>
            </w:r>
          </w:p>
          <w:p>
            <w:pPr>
              <w:spacing w:line="360" w:lineRule="exact"/>
              <w:jc w:val="center"/>
              <w:rPr>
                <w:sz w:val="24"/>
              </w:rPr>
            </w:pPr>
            <w:r>
              <w:rPr>
                <w:rFonts w:hint="eastAsia"/>
                <w:sz w:val="24"/>
              </w:rPr>
              <w:t>指标</w:t>
            </w:r>
          </w:p>
        </w:tc>
        <w:tc>
          <w:tcPr>
            <w:tcW w:w="1842" w:type="dxa"/>
            <w:vAlign w:val="center"/>
          </w:tcPr>
          <w:p>
            <w:pPr>
              <w:spacing w:line="360" w:lineRule="exact"/>
              <w:jc w:val="center"/>
              <w:rPr>
                <w:sz w:val="24"/>
              </w:rPr>
            </w:pPr>
            <w:r>
              <w:rPr>
                <w:rFonts w:hint="eastAsia"/>
                <w:sz w:val="24"/>
              </w:rPr>
              <w:t>检验</w:t>
            </w:r>
          </w:p>
          <w:p>
            <w:pPr>
              <w:spacing w:line="360" w:lineRule="exact"/>
              <w:jc w:val="center"/>
              <w:rPr>
                <w:sz w:val="24"/>
              </w:rPr>
            </w:pPr>
            <w:r>
              <w:rPr>
                <w:rFonts w:hint="eastAsia"/>
                <w:sz w:val="24"/>
              </w:rPr>
              <w:t>结果</w:t>
            </w:r>
          </w:p>
        </w:tc>
        <w:tc>
          <w:tcPr>
            <w:tcW w:w="1843" w:type="dxa"/>
            <w:vAlign w:val="center"/>
          </w:tcPr>
          <w:p>
            <w:pPr>
              <w:spacing w:line="360" w:lineRule="exact"/>
              <w:jc w:val="center"/>
              <w:rPr>
                <w:sz w:val="24"/>
              </w:rPr>
            </w:pPr>
            <w:r>
              <w:rPr>
                <w:rFonts w:hint="eastAsia"/>
                <w:sz w:val="24"/>
              </w:rPr>
              <w:t>标准值</w:t>
            </w:r>
          </w:p>
          <w:p>
            <w:pPr>
              <w:spacing w:line="360" w:lineRule="exact"/>
              <w:jc w:val="center"/>
              <w:rPr>
                <w:sz w:val="24"/>
              </w:rPr>
            </w:pPr>
            <w:r>
              <w:rPr>
                <w:rFonts w:hint="eastAsia"/>
                <w:sz w:val="24"/>
              </w:rPr>
              <w:t>要求</w:t>
            </w:r>
          </w:p>
        </w:tc>
        <w:tc>
          <w:tcPr>
            <w:tcW w:w="3260" w:type="dxa"/>
            <w:vAlign w:val="center"/>
          </w:tcPr>
          <w:p>
            <w:pPr>
              <w:jc w:val="center"/>
              <w:rPr>
                <w:sz w:val="24"/>
              </w:rPr>
            </w:pPr>
            <w:r>
              <w:rPr>
                <w:rFonts w:hint="eastAsia"/>
                <w:sz w:val="24"/>
              </w:rPr>
              <w:t>不合格原因分析</w:t>
            </w:r>
          </w:p>
        </w:tc>
        <w:tc>
          <w:tcPr>
            <w:tcW w:w="3321" w:type="dxa"/>
            <w:vAlign w:val="center"/>
          </w:tcPr>
          <w:p>
            <w:pPr>
              <w:jc w:val="center"/>
              <w:rPr>
                <w:sz w:val="24"/>
              </w:rPr>
            </w:pPr>
            <w:r>
              <w:rPr>
                <w:rFonts w:hint="eastAsia"/>
                <w:sz w:val="24"/>
              </w:rPr>
              <w:t>可能引起的危害</w:t>
            </w:r>
          </w:p>
        </w:tc>
        <w:tc>
          <w:tcPr>
            <w:tcW w:w="1106" w:type="dxa"/>
            <w:vAlign w:val="center"/>
          </w:tcPr>
          <w:p>
            <w:pPr>
              <w:jc w:val="center"/>
              <w:rPr>
                <w:sz w:val="24"/>
              </w:rPr>
            </w:pPr>
            <w:r>
              <w:rPr>
                <w:rFonts w:hint="eastAsia"/>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3" w:hRule="atLeast"/>
        </w:trPr>
        <w:tc>
          <w:tcPr>
            <w:tcW w:w="1384" w:type="dxa"/>
            <w:vAlign w:val="center"/>
          </w:tcPr>
          <w:p>
            <w:pPr>
              <w:jc w:val="center"/>
              <w:rPr>
                <w:rFonts w:hint="eastAsia"/>
                <w:szCs w:val="21"/>
                <w:lang w:val="en-US" w:eastAsia="zh-CN"/>
              </w:rPr>
            </w:pPr>
            <w:r>
              <w:rPr>
                <w:rFonts w:hint="eastAsia"/>
                <w:szCs w:val="21"/>
                <w:lang w:val="en-US" w:eastAsia="zh-CN"/>
              </w:rPr>
              <w:t>毒死蜱</w:t>
            </w:r>
          </w:p>
        </w:tc>
        <w:tc>
          <w:tcPr>
            <w:tcW w:w="1418" w:type="dxa"/>
            <w:vAlign w:val="center"/>
          </w:tcPr>
          <w:p>
            <w:pPr>
              <w:jc w:val="center"/>
              <w:rPr>
                <w:rFonts w:hint="eastAsia"/>
                <w:szCs w:val="21"/>
                <w:lang w:val="en-US" w:eastAsia="zh-CN"/>
              </w:rPr>
            </w:pPr>
            <w:r>
              <w:rPr>
                <w:rFonts w:hint="eastAsia"/>
                <w:szCs w:val="21"/>
                <w:lang w:val="en-US" w:eastAsia="zh-CN"/>
              </w:rPr>
              <w:t>农药残留</w:t>
            </w:r>
          </w:p>
        </w:tc>
        <w:tc>
          <w:tcPr>
            <w:tcW w:w="1842" w:type="dxa"/>
            <w:vAlign w:val="center"/>
          </w:tcPr>
          <w:p>
            <w:pPr>
              <w:jc w:val="center"/>
              <w:rPr>
                <w:rFonts w:hint="eastAsia"/>
                <w:szCs w:val="21"/>
                <w:lang w:val="en-US" w:eastAsia="zh-CN"/>
              </w:rPr>
            </w:pPr>
            <w:r>
              <w:rPr>
                <w:rFonts w:hint="eastAsia"/>
                <w:szCs w:val="21"/>
                <w:lang w:val="en-US" w:eastAsia="zh-CN"/>
              </w:rPr>
              <w:t>0.12mg/kg</w:t>
            </w:r>
          </w:p>
        </w:tc>
        <w:tc>
          <w:tcPr>
            <w:tcW w:w="1843" w:type="dxa"/>
            <w:vAlign w:val="center"/>
          </w:tcPr>
          <w:p>
            <w:pPr>
              <w:jc w:val="center"/>
              <w:rPr>
                <w:rFonts w:hint="eastAsia"/>
                <w:szCs w:val="21"/>
                <w:lang w:val="en-US" w:eastAsia="zh-CN"/>
              </w:rPr>
            </w:pPr>
            <w:r>
              <w:rPr>
                <w:rFonts w:hint="eastAsia"/>
                <w:szCs w:val="21"/>
                <w:lang w:val="en-US" w:eastAsia="zh-CN"/>
              </w:rPr>
              <w:t>≤0.02mg/kg</w:t>
            </w:r>
          </w:p>
        </w:tc>
        <w:tc>
          <w:tcPr>
            <w:tcW w:w="3260" w:type="dxa"/>
            <w:shd w:val="clear" w:color="auto" w:fill="auto"/>
            <w:vAlign w:val="center"/>
          </w:tcPr>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eastAsia" w:ascii="Times New Roman" w:hAnsi="Times New Roman" w:eastAsia="宋体" w:cs="Times New Roman"/>
                <w:kern w:val="2"/>
                <w:sz w:val="21"/>
                <w:szCs w:val="21"/>
                <w:lang w:val="en-US" w:eastAsia="zh-CN" w:bidi="ar-SA"/>
              </w:rPr>
            </w:pPr>
            <w:r>
              <w:rPr>
                <w:rFonts w:hint="eastAsia"/>
                <w:szCs w:val="21"/>
                <w:lang w:eastAsia="zh-CN"/>
              </w:rPr>
              <w:t>蔬菜中检出超标的农药残留，与蔬菜生长期间农药使用剂量未严格控制或在停用农药后短期内马上采收上市等原因有关。</w:t>
            </w:r>
          </w:p>
        </w:tc>
        <w:tc>
          <w:tcPr>
            <w:tcW w:w="3321" w:type="dxa"/>
            <w:shd w:val="clear" w:color="auto" w:fill="auto"/>
            <w:vAlign w:val="center"/>
          </w:tcPr>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毒死蜱的毒性取决于暴露计量，急性中毒会对呼吸系统、心血管和肠道、肝脏造成破坏，慢性中毒则会出现认知功能障碍、对语言和视觉功能造成危害。毒死蜱中毒会对儿童造成诸如：多动症、学习障碍及大脑、眼睛等器官缺陷。</w:t>
            </w:r>
          </w:p>
        </w:tc>
        <w:tc>
          <w:tcPr>
            <w:tcW w:w="1106" w:type="dxa"/>
            <w:vAlign w:val="center"/>
          </w:tcPr>
          <w:p>
            <w:pPr>
              <w:jc w:val="center"/>
              <w:rPr>
                <w:rFonts w:hint="eastAsia"/>
                <w:szCs w:val="21"/>
              </w:rPr>
            </w:pPr>
            <w:r>
              <w:rPr>
                <w:rFonts w:hint="eastAsia"/>
                <w:szCs w:val="21"/>
              </w:rPr>
              <w:t>食用农产品（</w:t>
            </w:r>
            <w:r>
              <w:rPr>
                <w:rFonts w:hint="eastAsia"/>
                <w:szCs w:val="21"/>
                <w:lang w:val="en-US" w:eastAsia="zh-CN"/>
              </w:rPr>
              <w:t>葱</w:t>
            </w:r>
            <w:r>
              <w:rPr>
                <w:rFonts w:hint="eastAsia"/>
                <w:szCs w:val="21"/>
              </w:rPr>
              <w:t>）</w:t>
            </w:r>
          </w:p>
        </w:tc>
      </w:tr>
    </w:tbl>
    <w:p>
      <w:pPr>
        <w:jc w:val="center"/>
        <w:rPr>
          <w:b/>
          <w:bCs/>
          <w:sz w:val="44"/>
          <w:szCs w:val="44"/>
        </w:rPr>
      </w:pPr>
    </w:p>
    <w:p>
      <w:pPr>
        <w:jc w:val="center"/>
        <w:rPr>
          <w:b/>
          <w:bCs/>
          <w:sz w:val="44"/>
          <w:szCs w:val="44"/>
        </w:rPr>
      </w:pPr>
    </w:p>
    <w:p>
      <w:pPr>
        <w:jc w:val="center"/>
        <w:rPr>
          <w:b/>
          <w:bCs/>
          <w:sz w:val="44"/>
          <w:szCs w:val="44"/>
        </w:rPr>
      </w:pPr>
    </w:p>
    <w:p>
      <w:pPr>
        <w:jc w:val="center"/>
        <w:rPr>
          <w:b/>
          <w:bCs/>
          <w:sz w:val="44"/>
          <w:szCs w:val="44"/>
        </w:rPr>
      </w:pPr>
    </w:p>
    <w:p>
      <w:pPr>
        <w:jc w:val="center"/>
        <w:rPr>
          <w:b/>
          <w:bCs/>
          <w:sz w:val="44"/>
          <w:szCs w:val="44"/>
        </w:rPr>
      </w:pPr>
    </w:p>
    <w:p>
      <w:pPr>
        <w:jc w:val="center"/>
        <w:rPr>
          <w:b/>
          <w:bCs/>
          <w:sz w:val="44"/>
          <w:szCs w:val="44"/>
        </w:rPr>
      </w:pPr>
    </w:p>
    <w:p>
      <w:pPr>
        <w:jc w:val="center"/>
        <w:rPr>
          <w:b/>
          <w:bCs/>
          <w:sz w:val="44"/>
          <w:szCs w:val="44"/>
        </w:rPr>
      </w:pPr>
    </w:p>
    <w:p>
      <w:pPr>
        <w:rPr>
          <w:rFonts w:hint="eastAsia"/>
          <w:sz w:val="24"/>
        </w:rPr>
      </w:pPr>
      <w:r>
        <w:rPr>
          <w:rFonts w:hint="eastAsia"/>
          <w:sz w:val="24"/>
        </w:rPr>
        <w:t>检验报告书编号：JQT26FC01308</w:t>
      </w:r>
    </w:p>
    <w:tbl>
      <w:tblPr>
        <w:tblStyle w:val="6"/>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418"/>
        <w:gridCol w:w="1842"/>
        <w:gridCol w:w="1843"/>
        <w:gridCol w:w="3260"/>
        <w:gridCol w:w="3321"/>
        <w:gridCol w:w="11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1384" w:type="dxa"/>
            <w:vAlign w:val="center"/>
          </w:tcPr>
          <w:p>
            <w:pPr>
              <w:spacing w:line="360" w:lineRule="exact"/>
              <w:jc w:val="center"/>
              <w:rPr>
                <w:sz w:val="24"/>
              </w:rPr>
            </w:pPr>
            <w:r>
              <w:rPr>
                <w:rFonts w:hint="eastAsia"/>
                <w:sz w:val="24"/>
              </w:rPr>
              <w:t>不合格</w:t>
            </w:r>
          </w:p>
          <w:p>
            <w:pPr>
              <w:spacing w:line="360" w:lineRule="exact"/>
              <w:jc w:val="center"/>
              <w:rPr>
                <w:sz w:val="24"/>
              </w:rPr>
            </w:pPr>
            <w:r>
              <w:rPr>
                <w:rFonts w:hint="eastAsia"/>
                <w:sz w:val="24"/>
              </w:rPr>
              <w:t>项目</w:t>
            </w:r>
          </w:p>
        </w:tc>
        <w:tc>
          <w:tcPr>
            <w:tcW w:w="1418" w:type="dxa"/>
            <w:vAlign w:val="center"/>
          </w:tcPr>
          <w:p>
            <w:pPr>
              <w:spacing w:line="360" w:lineRule="exact"/>
              <w:jc w:val="center"/>
              <w:rPr>
                <w:sz w:val="24"/>
              </w:rPr>
            </w:pPr>
            <w:r>
              <w:rPr>
                <w:rFonts w:hint="eastAsia"/>
                <w:sz w:val="24"/>
              </w:rPr>
              <w:t>不合格项目所属</w:t>
            </w:r>
          </w:p>
          <w:p>
            <w:pPr>
              <w:spacing w:line="360" w:lineRule="exact"/>
              <w:jc w:val="center"/>
              <w:rPr>
                <w:sz w:val="24"/>
              </w:rPr>
            </w:pPr>
            <w:r>
              <w:rPr>
                <w:rFonts w:hint="eastAsia"/>
                <w:sz w:val="24"/>
              </w:rPr>
              <w:t>指标</w:t>
            </w:r>
          </w:p>
        </w:tc>
        <w:tc>
          <w:tcPr>
            <w:tcW w:w="1842" w:type="dxa"/>
            <w:vAlign w:val="center"/>
          </w:tcPr>
          <w:p>
            <w:pPr>
              <w:spacing w:line="360" w:lineRule="exact"/>
              <w:jc w:val="center"/>
              <w:rPr>
                <w:sz w:val="24"/>
              </w:rPr>
            </w:pPr>
            <w:r>
              <w:rPr>
                <w:rFonts w:hint="eastAsia"/>
                <w:sz w:val="24"/>
              </w:rPr>
              <w:t>检验</w:t>
            </w:r>
          </w:p>
          <w:p>
            <w:pPr>
              <w:spacing w:line="360" w:lineRule="exact"/>
              <w:jc w:val="center"/>
              <w:rPr>
                <w:sz w:val="24"/>
              </w:rPr>
            </w:pPr>
            <w:r>
              <w:rPr>
                <w:rFonts w:hint="eastAsia"/>
                <w:sz w:val="24"/>
              </w:rPr>
              <w:t>结果</w:t>
            </w:r>
          </w:p>
        </w:tc>
        <w:tc>
          <w:tcPr>
            <w:tcW w:w="1843" w:type="dxa"/>
            <w:vAlign w:val="center"/>
          </w:tcPr>
          <w:p>
            <w:pPr>
              <w:spacing w:line="360" w:lineRule="exact"/>
              <w:jc w:val="center"/>
              <w:rPr>
                <w:sz w:val="24"/>
              </w:rPr>
            </w:pPr>
            <w:r>
              <w:rPr>
                <w:rFonts w:hint="eastAsia"/>
                <w:sz w:val="24"/>
              </w:rPr>
              <w:t>标准值</w:t>
            </w:r>
          </w:p>
          <w:p>
            <w:pPr>
              <w:spacing w:line="360" w:lineRule="exact"/>
              <w:jc w:val="center"/>
              <w:rPr>
                <w:sz w:val="24"/>
              </w:rPr>
            </w:pPr>
            <w:r>
              <w:rPr>
                <w:rFonts w:hint="eastAsia"/>
                <w:sz w:val="24"/>
              </w:rPr>
              <w:t>要求</w:t>
            </w:r>
          </w:p>
        </w:tc>
        <w:tc>
          <w:tcPr>
            <w:tcW w:w="3260" w:type="dxa"/>
            <w:vAlign w:val="center"/>
          </w:tcPr>
          <w:p>
            <w:pPr>
              <w:jc w:val="center"/>
              <w:rPr>
                <w:sz w:val="24"/>
              </w:rPr>
            </w:pPr>
            <w:r>
              <w:rPr>
                <w:rFonts w:hint="eastAsia"/>
                <w:sz w:val="24"/>
              </w:rPr>
              <w:t>不合格原因分析</w:t>
            </w:r>
          </w:p>
        </w:tc>
        <w:tc>
          <w:tcPr>
            <w:tcW w:w="3321" w:type="dxa"/>
            <w:vAlign w:val="center"/>
          </w:tcPr>
          <w:p>
            <w:pPr>
              <w:jc w:val="center"/>
              <w:rPr>
                <w:sz w:val="24"/>
              </w:rPr>
            </w:pPr>
            <w:r>
              <w:rPr>
                <w:rFonts w:hint="eastAsia"/>
                <w:sz w:val="24"/>
              </w:rPr>
              <w:t>可能引起的危害</w:t>
            </w:r>
          </w:p>
        </w:tc>
        <w:tc>
          <w:tcPr>
            <w:tcW w:w="1106" w:type="dxa"/>
            <w:vAlign w:val="center"/>
          </w:tcPr>
          <w:p>
            <w:pPr>
              <w:jc w:val="center"/>
              <w:rPr>
                <w:sz w:val="24"/>
              </w:rPr>
            </w:pPr>
            <w:r>
              <w:rPr>
                <w:rFonts w:hint="eastAsia"/>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3" w:hRule="atLeast"/>
        </w:trPr>
        <w:tc>
          <w:tcPr>
            <w:tcW w:w="1384" w:type="dxa"/>
            <w:vAlign w:val="center"/>
          </w:tcPr>
          <w:p>
            <w:pPr>
              <w:jc w:val="center"/>
              <w:rPr>
                <w:rFonts w:hint="default"/>
                <w:szCs w:val="21"/>
                <w:lang w:val="en-US" w:eastAsia="zh-CN"/>
              </w:rPr>
            </w:pPr>
            <w:r>
              <w:rPr>
                <w:rFonts w:hint="eastAsia"/>
                <w:szCs w:val="21"/>
                <w:lang w:val="en-US" w:eastAsia="zh-CN"/>
              </w:rPr>
              <w:t>倍硫磷、噻虫胺</w:t>
            </w:r>
          </w:p>
        </w:tc>
        <w:tc>
          <w:tcPr>
            <w:tcW w:w="1418" w:type="dxa"/>
            <w:vAlign w:val="center"/>
          </w:tcPr>
          <w:p>
            <w:pPr>
              <w:jc w:val="center"/>
              <w:rPr>
                <w:rFonts w:hint="eastAsia"/>
                <w:szCs w:val="21"/>
                <w:lang w:val="en-US" w:eastAsia="zh-CN"/>
              </w:rPr>
            </w:pPr>
            <w:r>
              <w:rPr>
                <w:rFonts w:hint="eastAsia"/>
                <w:szCs w:val="21"/>
                <w:lang w:val="en-US" w:eastAsia="zh-CN"/>
              </w:rPr>
              <w:t>农药残留、农药残留</w:t>
            </w:r>
          </w:p>
        </w:tc>
        <w:tc>
          <w:tcPr>
            <w:tcW w:w="1842" w:type="dxa"/>
            <w:vAlign w:val="center"/>
          </w:tcPr>
          <w:p>
            <w:pPr>
              <w:jc w:val="center"/>
              <w:rPr>
                <w:rFonts w:hint="eastAsia"/>
                <w:szCs w:val="21"/>
                <w:lang w:val="en-US" w:eastAsia="zh-CN"/>
              </w:rPr>
            </w:pPr>
            <w:r>
              <w:rPr>
                <w:rFonts w:hint="eastAsia"/>
                <w:szCs w:val="21"/>
                <w:lang w:val="en-US" w:eastAsia="zh-CN"/>
              </w:rPr>
              <w:t>0.19mg/kg、0.052mg/kg</w:t>
            </w:r>
          </w:p>
        </w:tc>
        <w:tc>
          <w:tcPr>
            <w:tcW w:w="1843" w:type="dxa"/>
            <w:vAlign w:val="center"/>
          </w:tcPr>
          <w:p>
            <w:pPr>
              <w:jc w:val="center"/>
              <w:rPr>
                <w:rFonts w:hint="eastAsia"/>
                <w:szCs w:val="21"/>
                <w:lang w:val="en-US" w:eastAsia="zh-CN"/>
              </w:rPr>
            </w:pPr>
            <w:r>
              <w:rPr>
                <w:rFonts w:hint="eastAsia"/>
                <w:szCs w:val="21"/>
                <w:lang w:val="en-US" w:eastAsia="zh-CN"/>
              </w:rPr>
              <w:t>≤0.05mg/kg、≤0.05mg/kg</w:t>
            </w:r>
          </w:p>
        </w:tc>
        <w:tc>
          <w:tcPr>
            <w:tcW w:w="3260" w:type="dxa"/>
            <w:vAlign w:val="center"/>
          </w:tcPr>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eastAsia"/>
                <w:szCs w:val="21"/>
                <w:lang w:eastAsia="zh-CN"/>
              </w:rPr>
            </w:pPr>
            <w:r>
              <w:rPr>
                <w:rFonts w:hint="eastAsia"/>
                <w:szCs w:val="21"/>
                <w:lang w:eastAsia="zh-CN"/>
              </w:rPr>
              <w:t>蔬菜中检出超标的农药残留，与蔬菜生长期间农药使用剂量未严格控制或在停用农药后短期内马上采收上市等原因有关。</w:t>
            </w:r>
          </w:p>
        </w:tc>
        <w:tc>
          <w:tcPr>
            <w:tcW w:w="3321" w:type="dxa"/>
            <w:vAlign w:val="center"/>
          </w:tcPr>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eastAsia"/>
                <w:szCs w:val="21"/>
                <w:lang w:eastAsia="zh-CN"/>
              </w:rPr>
            </w:pPr>
            <w:r>
              <w:rPr>
                <w:rFonts w:hint="eastAsia"/>
                <w:szCs w:val="21"/>
                <w:lang w:eastAsia="zh-CN"/>
              </w:rPr>
              <w:t>噻虫胺属新烟碱类杀虫剂，具有内吸性、触杀和胃毒作用，对蚜虫、斑潜蝇等有较好防效。少量的残留不会引起人体急性中毒，但长期食用噻虫胺超标的食品，对人体健康可能有一定影响。</w:t>
            </w:r>
          </w:p>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eastAsia"/>
                <w:szCs w:val="21"/>
                <w:lang w:eastAsia="zh-CN"/>
              </w:rPr>
            </w:pPr>
          </w:p>
        </w:tc>
        <w:tc>
          <w:tcPr>
            <w:tcW w:w="1106" w:type="dxa"/>
            <w:vAlign w:val="center"/>
          </w:tcPr>
          <w:p>
            <w:pPr>
              <w:jc w:val="center"/>
              <w:rPr>
                <w:rFonts w:hint="eastAsia"/>
                <w:szCs w:val="21"/>
              </w:rPr>
            </w:pPr>
            <w:r>
              <w:rPr>
                <w:rFonts w:hint="eastAsia"/>
                <w:szCs w:val="21"/>
              </w:rPr>
              <w:t>食用农产品（</w:t>
            </w:r>
            <w:r>
              <w:rPr>
                <w:rFonts w:hint="eastAsia"/>
                <w:szCs w:val="21"/>
                <w:lang w:val="en-US" w:eastAsia="zh-CN"/>
              </w:rPr>
              <w:t>辣椒）</w:t>
            </w:r>
          </w:p>
        </w:tc>
      </w:tr>
    </w:tbl>
    <w:p>
      <w:pPr>
        <w:ind w:firstLine="480" w:firstLineChars="200"/>
        <w:rPr>
          <w:rFonts w:hint="eastAsia"/>
          <w:sz w:val="24"/>
        </w:rPr>
      </w:pPr>
    </w:p>
    <w:p>
      <w:pPr>
        <w:jc w:val="center"/>
        <w:rPr>
          <w:b/>
          <w:bCs/>
          <w:sz w:val="44"/>
          <w:szCs w:val="44"/>
        </w:rPr>
      </w:pPr>
    </w:p>
    <w:p>
      <w:pPr>
        <w:jc w:val="center"/>
        <w:rPr>
          <w:b/>
          <w:bCs/>
          <w:sz w:val="44"/>
          <w:szCs w:val="44"/>
        </w:rPr>
      </w:pPr>
    </w:p>
    <w:p>
      <w:pPr>
        <w:jc w:val="center"/>
        <w:rPr>
          <w:b/>
          <w:bCs/>
          <w:sz w:val="44"/>
          <w:szCs w:val="44"/>
        </w:rPr>
      </w:pPr>
    </w:p>
    <w:p>
      <w:pPr>
        <w:jc w:val="center"/>
        <w:rPr>
          <w:b/>
          <w:bCs/>
          <w:sz w:val="44"/>
          <w:szCs w:val="44"/>
        </w:rPr>
      </w:pPr>
    </w:p>
    <w:p>
      <w:pPr>
        <w:jc w:val="center"/>
        <w:rPr>
          <w:b/>
          <w:bCs/>
          <w:sz w:val="44"/>
          <w:szCs w:val="44"/>
        </w:rPr>
      </w:pPr>
    </w:p>
    <w:p>
      <w:pPr>
        <w:jc w:val="center"/>
        <w:rPr>
          <w:b/>
          <w:bCs/>
          <w:sz w:val="44"/>
          <w:szCs w:val="44"/>
        </w:rPr>
      </w:pPr>
    </w:p>
    <w:p>
      <w:pPr>
        <w:jc w:val="center"/>
        <w:rPr>
          <w:b/>
          <w:bCs/>
          <w:sz w:val="44"/>
          <w:szCs w:val="44"/>
        </w:rPr>
      </w:pPr>
    </w:p>
    <w:p>
      <w:pPr>
        <w:rPr>
          <w:rFonts w:hint="eastAsia"/>
          <w:sz w:val="24"/>
        </w:rPr>
      </w:pPr>
      <w:r>
        <w:rPr>
          <w:rFonts w:hint="eastAsia"/>
          <w:sz w:val="24"/>
        </w:rPr>
        <w:t>检验报告书编号：JQT26FC01359</w:t>
      </w:r>
      <w:r>
        <w:rPr>
          <w:rFonts w:hint="eastAsia"/>
          <w:sz w:val="24"/>
        </w:rPr>
        <w:tab/>
      </w:r>
    </w:p>
    <w:tbl>
      <w:tblPr>
        <w:tblStyle w:val="6"/>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418"/>
        <w:gridCol w:w="1842"/>
        <w:gridCol w:w="1843"/>
        <w:gridCol w:w="3260"/>
        <w:gridCol w:w="3321"/>
        <w:gridCol w:w="11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1384" w:type="dxa"/>
            <w:vAlign w:val="center"/>
          </w:tcPr>
          <w:p>
            <w:pPr>
              <w:spacing w:line="360" w:lineRule="exact"/>
              <w:jc w:val="center"/>
              <w:rPr>
                <w:sz w:val="24"/>
              </w:rPr>
            </w:pPr>
            <w:r>
              <w:rPr>
                <w:rFonts w:hint="eastAsia"/>
                <w:sz w:val="24"/>
              </w:rPr>
              <w:t>不合格</w:t>
            </w:r>
          </w:p>
          <w:p>
            <w:pPr>
              <w:spacing w:line="360" w:lineRule="exact"/>
              <w:jc w:val="center"/>
              <w:rPr>
                <w:sz w:val="24"/>
              </w:rPr>
            </w:pPr>
            <w:r>
              <w:rPr>
                <w:rFonts w:hint="eastAsia"/>
                <w:sz w:val="24"/>
              </w:rPr>
              <w:t>项目</w:t>
            </w:r>
          </w:p>
        </w:tc>
        <w:tc>
          <w:tcPr>
            <w:tcW w:w="1418" w:type="dxa"/>
            <w:vAlign w:val="center"/>
          </w:tcPr>
          <w:p>
            <w:pPr>
              <w:spacing w:line="360" w:lineRule="exact"/>
              <w:jc w:val="center"/>
              <w:rPr>
                <w:sz w:val="24"/>
              </w:rPr>
            </w:pPr>
            <w:r>
              <w:rPr>
                <w:rFonts w:hint="eastAsia"/>
                <w:sz w:val="24"/>
              </w:rPr>
              <w:t>不合格项目所属</w:t>
            </w:r>
          </w:p>
          <w:p>
            <w:pPr>
              <w:spacing w:line="360" w:lineRule="exact"/>
              <w:jc w:val="center"/>
              <w:rPr>
                <w:sz w:val="24"/>
              </w:rPr>
            </w:pPr>
            <w:r>
              <w:rPr>
                <w:rFonts w:hint="eastAsia"/>
                <w:sz w:val="24"/>
              </w:rPr>
              <w:t>指标</w:t>
            </w:r>
          </w:p>
        </w:tc>
        <w:tc>
          <w:tcPr>
            <w:tcW w:w="1842" w:type="dxa"/>
            <w:vAlign w:val="center"/>
          </w:tcPr>
          <w:p>
            <w:pPr>
              <w:spacing w:line="360" w:lineRule="exact"/>
              <w:jc w:val="center"/>
              <w:rPr>
                <w:sz w:val="24"/>
              </w:rPr>
            </w:pPr>
            <w:r>
              <w:rPr>
                <w:rFonts w:hint="eastAsia"/>
                <w:sz w:val="24"/>
              </w:rPr>
              <w:t>检验</w:t>
            </w:r>
          </w:p>
          <w:p>
            <w:pPr>
              <w:spacing w:line="360" w:lineRule="exact"/>
              <w:jc w:val="center"/>
              <w:rPr>
                <w:sz w:val="24"/>
              </w:rPr>
            </w:pPr>
            <w:r>
              <w:rPr>
                <w:rFonts w:hint="eastAsia"/>
                <w:sz w:val="24"/>
              </w:rPr>
              <w:t>结果</w:t>
            </w:r>
          </w:p>
        </w:tc>
        <w:tc>
          <w:tcPr>
            <w:tcW w:w="1843" w:type="dxa"/>
            <w:vAlign w:val="center"/>
          </w:tcPr>
          <w:p>
            <w:pPr>
              <w:spacing w:line="360" w:lineRule="exact"/>
              <w:jc w:val="center"/>
              <w:rPr>
                <w:sz w:val="24"/>
              </w:rPr>
            </w:pPr>
            <w:r>
              <w:rPr>
                <w:rFonts w:hint="eastAsia"/>
                <w:sz w:val="24"/>
              </w:rPr>
              <w:t>标准值</w:t>
            </w:r>
          </w:p>
          <w:p>
            <w:pPr>
              <w:spacing w:line="360" w:lineRule="exact"/>
              <w:jc w:val="center"/>
              <w:rPr>
                <w:sz w:val="24"/>
              </w:rPr>
            </w:pPr>
            <w:r>
              <w:rPr>
                <w:rFonts w:hint="eastAsia"/>
                <w:sz w:val="24"/>
              </w:rPr>
              <w:t>要求</w:t>
            </w:r>
          </w:p>
        </w:tc>
        <w:tc>
          <w:tcPr>
            <w:tcW w:w="3260" w:type="dxa"/>
            <w:vAlign w:val="center"/>
          </w:tcPr>
          <w:p>
            <w:pPr>
              <w:jc w:val="center"/>
              <w:rPr>
                <w:sz w:val="24"/>
              </w:rPr>
            </w:pPr>
            <w:r>
              <w:rPr>
                <w:rFonts w:hint="eastAsia"/>
                <w:sz w:val="24"/>
              </w:rPr>
              <w:t>不合格原因分析</w:t>
            </w:r>
          </w:p>
        </w:tc>
        <w:tc>
          <w:tcPr>
            <w:tcW w:w="3321" w:type="dxa"/>
            <w:vAlign w:val="center"/>
          </w:tcPr>
          <w:p>
            <w:pPr>
              <w:jc w:val="center"/>
              <w:rPr>
                <w:sz w:val="24"/>
              </w:rPr>
            </w:pPr>
            <w:r>
              <w:rPr>
                <w:rFonts w:hint="eastAsia"/>
                <w:sz w:val="24"/>
              </w:rPr>
              <w:t>可能引起的危害</w:t>
            </w:r>
          </w:p>
        </w:tc>
        <w:tc>
          <w:tcPr>
            <w:tcW w:w="1106" w:type="dxa"/>
            <w:vAlign w:val="center"/>
          </w:tcPr>
          <w:p>
            <w:pPr>
              <w:jc w:val="center"/>
              <w:rPr>
                <w:sz w:val="24"/>
              </w:rPr>
            </w:pPr>
            <w:r>
              <w:rPr>
                <w:rFonts w:hint="eastAsia"/>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3" w:hRule="atLeast"/>
        </w:trPr>
        <w:tc>
          <w:tcPr>
            <w:tcW w:w="1384" w:type="dxa"/>
            <w:vAlign w:val="center"/>
          </w:tcPr>
          <w:p>
            <w:pPr>
              <w:jc w:val="center"/>
              <w:rPr>
                <w:rFonts w:hint="eastAsia"/>
                <w:szCs w:val="21"/>
                <w:lang w:val="en-US" w:eastAsia="zh-CN"/>
              </w:rPr>
            </w:pPr>
            <w:r>
              <w:rPr>
                <w:rFonts w:hint="eastAsia"/>
                <w:szCs w:val="21"/>
                <w:lang w:val="en-US" w:eastAsia="zh-CN"/>
              </w:rPr>
              <w:t>毒死蜱</w:t>
            </w:r>
          </w:p>
        </w:tc>
        <w:tc>
          <w:tcPr>
            <w:tcW w:w="1418" w:type="dxa"/>
            <w:vAlign w:val="center"/>
          </w:tcPr>
          <w:p>
            <w:pPr>
              <w:jc w:val="center"/>
              <w:rPr>
                <w:rFonts w:hint="eastAsia"/>
                <w:szCs w:val="21"/>
                <w:lang w:val="en-US" w:eastAsia="zh-CN"/>
              </w:rPr>
            </w:pPr>
            <w:r>
              <w:rPr>
                <w:rFonts w:hint="eastAsia"/>
                <w:szCs w:val="21"/>
                <w:lang w:val="en-US" w:eastAsia="zh-CN"/>
              </w:rPr>
              <w:t>农药残留</w:t>
            </w:r>
          </w:p>
        </w:tc>
        <w:tc>
          <w:tcPr>
            <w:tcW w:w="1842" w:type="dxa"/>
            <w:vAlign w:val="center"/>
          </w:tcPr>
          <w:p>
            <w:pPr>
              <w:jc w:val="center"/>
              <w:rPr>
                <w:rFonts w:hint="eastAsia"/>
                <w:szCs w:val="21"/>
                <w:lang w:val="en-US" w:eastAsia="zh-CN"/>
              </w:rPr>
            </w:pPr>
            <w:r>
              <w:rPr>
                <w:rFonts w:hint="eastAsia"/>
                <w:szCs w:val="21"/>
                <w:lang w:val="en-US" w:eastAsia="zh-CN"/>
              </w:rPr>
              <w:t>0.071mg/kg</w:t>
            </w:r>
          </w:p>
        </w:tc>
        <w:tc>
          <w:tcPr>
            <w:tcW w:w="1843" w:type="dxa"/>
            <w:vAlign w:val="center"/>
          </w:tcPr>
          <w:p>
            <w:pPr>
              <w:jc w:val="center"/>
              <w:rPr>
                <w:rFonts w:hint="eastAsia"/>
                <w:szCs w:val="21"/>
                <w:lang w:val="en-US" w:eastAsia="zh-CN"/>
              </w:rPr>
            </w:pPr>
            <w:r>
              <w:rPr>
                <w:rFonts w:hint="eastAsia"/>
                <w:szCs w:val="21"/>
                <w:lang w:val="en-US" w:eastAsia="zh-CN"/>
              </w:rPr>
              <w:t>≤0.02mg/kg</w:t>
            </w:r>
          </w:p>
        </w:tc>
        <w:tc>
          <w:tcPr>
            <w:tcW w:w="3260" w:type="dxa"/>
            <w:shd w:val="clear" w:color="auto" w:fill="auto"/>
            <w:vAlign w:val="center"/>
          </w:tcPr>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eastAsia" w:ascii="Times New Roman" w:hAnsi="Times New Roman" w:eastAsia="宋体" w:cs="Times New Roman"/>
                <w:kern w:val="2"/>
                <w:sz w:val="21"/>
                <w:szCs w:val="21"/>
                <w:lang w:val="en-US" w:eastAsia="zh-CN" w:bidi="ar-SA"/>
              </w:rPr>
            </w:pPr>
            <w:r>
              <w:rPr>
                <w:rFonts w:hint="eastAsia"/>
                <w:szCs w:val="21"/>
                <w:lang w:eastAsia="zh-CN"/>
              </w:rPr>
              <w:t>蔬菜中检出超标的农药残留，与蔬菜生长期间农药使用剂量未严格控制或在停用农药后短期内马上采收上市等原因有关。</w:t>
            </w:r>
          </w:p>
        </w:tc>
        <w:tc>
          <w:tcPr>
            <w:tcW w:w="3321" w:type="dxa"/>
            <w:shd w:val="clear" w:color="auto" w:fill="auto"/>
            <w:vAlign w:val="center"/>
          </w:tcPr>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毒死蜱的毒性取决于暴露计量，急性中毒会对呼吸系统、心血管和肠道、肝脏造成破坏，慢性中毒则会出现认知功能障碍、对语言和视觉功能造成危害。毒死蜱中毒会对儿童造成诸如：多动症、学习障碍及大脑、眼睛等器官缺陷。</w:t>
            </w:r>
          </w:p>
        </w:tc>
        <w:tc>
          <w:tcPr>
            <w:tcW w:w="1106" w:type="dxa"/>
            <w:vAlign w:val="center"/>
          </w:tcPr>
          <w:p>
            <w:pPr>
              <w:jc w:val="center"/>
              <w:rPr>
                <w:rFonts w:hint="eastAsia"/>
                <w:szCs w:val="21"/>
              </w:rPr>
            </w:pPr>
            <w:r>
              <w:rPr>
                <w:rFonts w:hint="eastAsia"/>
                <w:szCs w:val="21"/>
              </w:rPr>
              <w:t>食用农产品（</w:t>
            </w:r>
            <w:r>
              <w:rPr>
                <w:rFonts w:hint="eastAsia"/>
                <w:szCs w:val="21"/>
                <w:lang w:val="en-US" w:eastAsia="zh-CN"/>
              </w:rPr>
              <w:t>胡萝卜</w:t>
            </w:r>
            <w:r>
              <w:rPr>
                <w:rFonts w:hint="eastAsia"/>
                <w:szCs w:val="21"/>
              </w:rPr>
              <w:t>）</w:t>
            </w:r>
          </w:p>
        </w:tc>
      </w:tr>
    </w:tbl>
    <w:p>
      <w:pPr>
        <w:rPr>
          <w:rFonts w:hint="eastAsia"/>
          <w:sz w:val="24"/>
        </w:rPr>
      </w:pPr>
      <w:bookmarkStart w:id="0" w:name="_GoBack"/>
      <w:bookmarkEnd w:id="0"/>
    </w:p>
    <w:sectPr>
      <w:pgSz w:w="16838" w:h="11906" w:orient="landscape"/>
      <w:pgMar w:top="1247" w:right="1440" w:bottom="1247"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FiNWNmM2E3YjRjZDI2YjM2ZmQ2ZDE4ZDhhMzM5MDgifQ=="/>
  </w:docVars>
  <w:rsids>
    <w:rsidRoot w:val="00172A27"/>
    <w:rsid w:val="00004BF0"/>
    <w:rsid w:val="00021E1E"/>
    <w:rsid w:val="0004452C"/>
    <w:rsid w:val="00054D9F"/>
    <w:rsid w:val="00113C00"/>
    <w:rsid w:val="0015253B"/>
    <w:rsid w:val="00172A27"/>
    <w:rsid w:val="001F1D15"/>
    <w:rsid w:val="00213700"/>
    <w:rsid w:val="00277263"/>
    <w:rsid w:val="003419A7"/>
    <w:rsid w:val="003C3CDC"/>
    <w:rsid w:val="003F3B16"/>
    <w:rsid w:val="0048297A"/>
    <w:rsid w:val="006E19FA"/>
    <w:rsid w:val="0076439A"/>
    <w:rsid w:val="0080192F"/>
    <w:rsid w:val="00867AF8"/>
    <w:rsid w:val="008A508F"/>
    <w:rsid w:val="009074DA"/>
    <w:rsid w:val="009A3E14"/>
    <w:rsid w:val="00A0105D"/>
    <w:rsid w:val="00A4460A"/>
    <w:rsid w:val="00A63396"/>
    <w:rsid w:val="00A63B4A"/>
    <w:rsid w:val="00AD3134"/>
    <w:rsid w:val="00B1689F"/>
    <w:rsid w:val="00B50016"/>
    <w:rsid w:val="00CA74C0"/>
    <w:rsid w:val="00D661E2"/>
    <w:rsid w:val="00D956C6"/>
    <w:rsid w:val="00DC3F25"/>
    <w:rsid w:val="00E15386"/>
    <w:rsid w:val="00E60345"/>
    <w:rsid w:val="00E7600A"/>
    <w:rsid w:val="01B634C2"/>
    <w:rsid w:val="01DE5960"/>
    <w:rsid w:val="022445C5"/>
    <w:rsid w:val="029605BF"/>
    <w:rsid w:val="02B45E6F"/>
    <w:rsid w:val="02F83936"/>
    <w:rsid w:val="04047A5C"/>
    <w:rsid w:val="040C25C7"/>
    <w:rsid w:val="04885D00"/>
    <w:rsid w:val="04C41CAB"/>
    <w:rsid w:val="04FC43EA"/>
    <w:rsid w:val="052E656A"/>
    <w:rsid w:val="05950139"/>
    <w:rsid w:val="05AF30E8"/>
    <w:rsid w:val="06764C22"/>
    <w:rsid w:val="06DD0EB4"/>
    <w:rsid w:val="070D7EC5"/>
    <w:rsid w:val="07BA6423"/>
    <w:rsid w:val="0807527E"/>
    <w:rsid w:val="09304159"/>
    <w:rsid w:val="09B74ED8"/>
    <w:rsid w:val="0AA60A13"/>
    <w:rsid w:val="0B7E72CA"/>
    <w:rsid w:val="0B85226B"/>
    <w:rsid w:val="0D13498C"/>
    <w:rsid w:val="0EA5395E"/>
    <w:rsid w:val="0FA651BA"/>
    <w:rsid w:val="0FA6540C"/>
    <w:rsid w:val="0FBB60A9"/>
    <w:rsid w:val="11693AF3"/>
    <w:rsid w:val="12505D75"/>
    <w:rsid w:val="12EE6C68"/>
    <w:rsid w:val="14FC2BBF"/>
    <w:rsid w:val="15490981"/>
    <w:rsid w:val="17290724"/>
    <w:rsid w:val="199E12F3"/>
    <w:rsid w:val="19EA74AD"/>
    <w:rsid w:val="1ACE5968"/>
    <w:rsid w:val="1B023DCB"/>
    <w:rsid w:val="1B917B2A"/>
    <w:rsid w:val="1D0D1692"/>
    <w:rsid w:val="1D51161C"/>
    <w:rsid w:val="1E0669AA"/>
    <w:rsid w:val="1F992259"/>
    <w:rsid w:val="20273B9D"/>
    <w:rsid w:val="20F12F9F"/>
    <w:rsid w:val="22C56520"/>
    <w:rsid w:val="22E91FFA"/>
    <w:rsid w:val="23137B2B"/>
    <w:rsid w:val="237B52AC"/>
    <w:rsid w:val="238D507B"/>
    <w:rsid w:val="23B97A91"/>
    <w:rsid w:val="23D34A58"/>
    <w:rsid w:val="2421689B"/>
    <w:rsid w:val="244E653A"/>
    <w:rsid w:val="249C4A5A"/>
    <w:rsid w:val="24D23D68"/>
    <w:rsid w:val="24F3691F"/>
    <w:rsid w:val="25060276"/>
    <w:rsid w:val="256E4199"/>
    <w:rsid w:val="26B8181C"/>
    <w:rsid w:val="28B12D33"/>
    <w:rsid w:val="291B0A33"/>
    <w:rsid w:val="29593EAF"/>
    <w:rsid w:val="298F4F7D"/>
    <w:rsid w:val="299F78B6"/>
    <w:rsid w:val="2A3034C7"/>
    <w:rsid w:val="2C15084B"/>
    <w:rsid w:val="2C7B6A6B"/>
    <w:rsid w:val="2E0E0B44"/>
    <w:rsid w:val="2E0F4702"/>
    <w:rsid w:val="2F441953"/>
    <w:rsid w:val="30204B81"/>
    <w:rsid w:val="307F7146"/>
    <w:rsid w:val="30FB21C7"/>
    <w:rsid w:val="32383558"/>
    <w:rsid w:val="332E5837"/>
    <w:rsid w:val="33B46B27"/>
    <w:rsid w:val="39036BAD"/>
    <w:rsid w:val="398A37EC"/>
    <w:rsid w:val="398C12A7"/>
    <w:rsid w:val="39E62997"/>
    <w:rsid w:val="3B532C89"/>
    <w:rsid w:val="3B7C2F28"/>
    <w:rsid w:val="3BAD62FC"/>
    <w:rsid w:val="3BF16905"/>
    <w:rsid w:val="3C180293"/>
    <w:rsid w:val="3C81295B"/>
    <w:rsid w:val="3CF75781"/>
    <w:rsid w:val="3E047E0A"/>
    <w:rsid w:val="3E157CEF"/>
    <w:rsid w:val="3E480050"/>
    <w:rsid w:val="3F6956C4"/>
    <w:rsid w:val="40492E8B"/>
    <w:rsid w:val="406B52E0"/>
    <w:rsid w:val="41AC322C"/>
    <w:rsid w:val="420336C3"/>
    <w:rsid w:val="423749B1"/>
    <w:rsid w:val="425D7EB7"/>
    <w:rsid w:val="42664C0F"/>
    <w:rsid w:val="44FF0DB1"/>
    <w:rsid w:val="45120AE5"/>
    <w:rsid w:val="45594B71"/>
    <w:rsid w:val="46BA36DB"/>
    <w:rsid w:val="46C83575"/>
    <w:rsid w:val="47E524E0"/>
    <w:rsid w:val="48795182"/>
    <w:rsid w:val="49564BCC"/>
    <w:rsid w:val="496008C3"/>
    <w:rsid w:val="4A527FA5"/>
    <w:rsid w:val="4AD56FE2"/>
    <w:rsid w:val="4B9235C3"/>
    <w:rsid w:val="4BB62215"/>
    <w:rsid w:val="4CE16790"/>
    <w:rsid w:val="4EB9395C"/>
    <w:rsid w:val="4ECD371E"/>
    <w:rsid w:val="4F116D63"/>
    <w:rsid w:val="50062548"/>
    <w:rsid w:val="50970790"/>
    <w:rsid w:val="509B3233"/>
    <w:rsid w:val="513E2C61"/>
    <w:rsid w:val="52280AC9"/>
    <w:rsid w:val="528E3AD7"/>
    <w:rsid w:val="52B777E5"/>
    <w:rsid w:val="52DB4680"/>
    <w:rsid w:val="539B303F"/>
    <w:rsid w:val="55B014D8"/>
    <w:rsid w:val="576C7EE5"/>
    <w:rsid w:val="57F234C9"/>
    <w:rsid w:val="57F64A30"/>
    <w:rsid w:val="57FE1F46"/>
    <w:rsid w:val="59D4498F"/>
    <w:rsid w:val="5A101121"/>
    <w:rsid w:val="5BA92AD9"/>
    <w:rsid w:val="5BCD45D0"/>
    <w:rsid w:val="5BF47C6E"/>
    <w:rsid w:val="5C3C2CDA"/>
    <w:rsid w:val="5D255365"/>
    <w:rsid w:val="5EED6EC6"/>
    <w:rsid w:val="5F4C206F"/>
    <w:rsid w:val="5F812FDF"/>
    <w:rsid w:val="5F8C0E12"/>
    <w:rsid w:val="5FA74252"/>
    <w:rsid w:val="5FF17B2D"/>
    <w:rsid w:val="61E57855"/>
    <w:rsid w:val="62CA2486"/>
    <w:rsid w:val="63222DBD"/>
    <w:rsid w:val="63853103"/>
    <w:rsid w:val="6468612F"/>
    <w:rsid w:val="64761B65"/>
    <w:rsid w:val="65784FB3"/>
    <w:rsid w:val="661243AA"/>
    <w:rsid w:val="66AE0A74"/>
    <w:rsid w:val="67CB235A"/>
    <w:rsid w:val="68365A5A"/>
    <w:rsid w:val="68437152"/>
    <w:rsid w:val="68572B2F"/>
    <w:rsid w:val="68DD61AE"/>
    <w:rsid w:val="6900625C"/>
    <w:rsid w:val="69540E4B"/>
    <w:rsid w:val="69AE49D0"/>
    <w:rsid w:val="6C5671C2"/>
    <w:rsid w:val="6C575044"/>
    <w:rsid w:val="6E081074"/>
    <w:rsid w:val="6ED62B55"/>
    <w:rsid w:val="6EF116A7"/>
    <w:rsid w:val="6F216FB3"/>
    <w:rsid w:val="70C7355E"/>
    <w:rsid w:val="712D7413"/>
    <w:rsid w:val="71461992"/>
    <w:rsid w:val="714E2468"/>
    <w:rsid w:val="71685DAD"/>
    <w:rsid w:val="72555796"/>
    <w:rsid w:val="72CE347B"/>
    <w:rsid w:val="736A1485"/>
    <w:rsid w:val="73910128"/>
    <w:rsid w:val="73A3787F"/>
    <w:rsid w:val="74435B42"/>
    <w:rsid w:val="74474A79"/>
    <w:rsid w:val="74A829EE"/>
    <w:rsid w:val="74E71787"/>
    <w:rsid w:val="76D04562"/>
    <w:rsid w:val="77B43AFA"/>
    <w:rsid w:val="78306968"/>
    <w:rsid w:val="79754E2A"/>
    <w:rsid w:val="79A1746A"/>
    <w:rsid w:val="79A75FA3"/>
    <w:rsid w:val="7A8A1038"/>
    <w:rsid w:val="7B307D05"/>
    <w:rsid w:val="7B3A4FF7"/>
    <w:rsid w:val="7B660DD5"/>
    <w:rsid w:val="7C3E4761"/>
    <w:rsid w:val="7CBD7BEF"/>
    <w:rsid w:val="7CF5015E"/>
    <w:rsid w:val="7DBC330C"/>
    <w:rsid w:val="7EBA1E2E"/>
    <w:rsid w:val="7EE30820"/>
    <w:rsid w:val="7F665026"/>
    <w:rsid w:val="7FA82C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606</Words>
  <Characters>755</Characters>
  <Lines>6</Lines>
  <Paragraphs>1</Paragraphs>
  <TotalTime>3</TotalTime>
  <ScaleCrop>false</ScaleCrop>
  <LinksUpToDate>false</LinksUpToDate>
  <CharactersWithSpaces>1042</CharactersWithSpaces>
  <Application>WPS Office_11.8.2.12011_F1E327BC-269C-435d-A152-05C5408002CA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2020-08-17T02:47:00Z</dcterms:created>
  <dc:creator>微软用户</dc:creator>
  <cp:lastModifiedBy>李靖</cp:lastModifiedBy>
  <cp:lastPrinted>2017-06-02T00:38:00Z</cp:lastPrinted>
  <dcterms:modified xsi:type="dcterms:W3CDTF">2026-09-17T14:19:57Z</dcterms:modified>
  <dc:title>不合格报告说明</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2052-11.8.2.12011</vt:lpwstr>
  </property>
  <property fmtid="{D5CDD505-2E9C-101B-9397-08002B2CF9AE}" pid="3" name="ICV">
    <vt:lpwstr>88DEC00F62AF48D084A851DC406E99C7</vt:lpwstr>
  </property>
  <property fmtid="{D5CDD505-2E9C-101B-9397-08002B2CF9AE}" pid="4" name="commondata">
    <vt:lpwstr>eyJoZGlkIjoiNWFiNWNmM2E3YjRjZDI2YjM2ZmQ2ZDE4ZDhhMzM5MDgifQ==</vt:lpwstr>
  </property>
  <property fmtid="{D5CDD505-2E9C-101B-9397-08002B2CF9AE}" pid="5" name="KSOTemplateDocerSaveRecord">
    <vt:lpwstr>eyJoZGlkIjoiZDAwZGVlM2UyZTdmZjU1OTY5Y2RjNWYyNWNmODI0NjIiLCJ1c2VySWQiOiIyMzg5MDA3OTQifQ==</vt:lpwstr>
  </property>
</Properties>
</file>