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43835">
      <w:pPr>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rPr>
          <w:rFonts w:hint="eastAsia" w:asciiTheme="majorEastAsia" w:hAnsiTheme="majorEastAsia" w:eastAsiaTheme="majorEastAsia" w:cstheme="majorEastAsia"/>
          <w:b/>
          <w:bCs/>
          <w:kern w:val="0"/>
          <w:sz w:val="44"/>
          <w:szCs w:val="44"/>
        </w:rPr>
      </w:pPr>
      <w:r>
        <w:rPr>
          <w:rFonts w:hint="eastAsia" w:asciiTheme="majorEastAsia" w:hAnsiTheme="majorEastAsia" w:eastAsiaTheme="majorEastAsia" w:cstheme="majorEastAsia"/>
          <w:b/>
          <w:bCs/>
          <w:kern w:val="0"/>
          <w:sz w:val="44"/>
          <w:szCs w:val="44"/>
        </w:rPr>
        <w:t>云浮市云安区都杨镇观音山矿区建筑用</w:t>
      </w:r>
    </w:p>
    <w:p w14:paraId="11E26BC7">
      <w:pPr>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bCs/>
          <w:kern w:val="0"/>
          <w:sz w:val="44"/>
          <w:szCs w:val="44"/>
        </w:rPr>
        <w:t>花岗岩矿</w:t>
      </w:r>
      <w:r>
        <w:rPr>
          <w:rFonts w:hint="eastAsia" w:asciiTheme="majorEastAsia" w:hAnsiTheme="majorEastAsia" w:eastAsiaTheme="majorEastAsia" w:cstheme="majorEastAsia"/>
          <w:b/>
          <w:bCs/>
          <w:sz w:val="44"/>
          <w:szCs w:val="44"/>
        </w:rPr>
        <w:t>采矿权</w:t>
      </w:r>
      <w:r>
        <w:rPr>
          <w:rFonts w:hint="eastAsia" w:asciiTheme="majorEastAsia" w:hAnsiTheme="majorEastAsia" w:eastAsiaTheme="majorEastAsia" w:cstheme="majorEastAsia"/>
          <w:b/>
          <w:sz w:val="44"/>
          <w:szCs w:val="44"/>
        </w:rPr>
        <w:t>网上挂牌</w:t>
      </w:r>
    </w:p>
    <w:p w14:paraId="254557D4">
      <w:pPr>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sz w:val="44"/>
          <w:szCs w:val="44"/>
        </w:rPr>
        <w:t>出让竞买须知</w:t>
      </w:r>
    </w:p>
    <w:p w14:paraId="0A47FA05">
      <w:pPr>
        <w:pStyle w:val="10"/>
        <w:widowControl/>
        <w:spacing w:line="560" w:lineRule="exact"/>
        <w:jc w:val="center"/>
        <w:rPr>
          <w:rFonts w:hint="eastAsia" w:ascii="仿宋_GB2312" w:hAnsi="仿宋_GB2312" w:eastAsia="仿宋_GB2312" w:cs="仿宋_GB2312"/>
          <w:b/>
        </w:rPr>
      </w:pPr>
    </w:p>
    <w:p w14:paraId="774537E0">
      <w:pPr>
        <w:pStyle w:val="11"/>
        <w:snapToGrid w:val="0"/>
        <w:spacing w:line="580" w:lineRule="exact"/>
        <w:textAlignment w:val="baseline"/>
        <w:rPr>
          <w:rFonts w:hint="eastAsia" w:ascii="仿宋_GB2312" w:hAnsi="仿宋_GB2312" w:eastAsia="仿宋_GB2312" w:cs="仿宋_GB2312"/>
        </w:rPr>
      </w:pPr>
      <w:r>
        <w:rPr>
          <w:rFonts w:hint="eastAsia" w:ascii="仿宋_GB2312" w:hAnsi="仿宋_GB2312" w:eastAsia="仿宋_GB2312" w:cs="仿宋_GB2312"/>
          <w:kern w:val="32"/>
        </w:rPr>
        <w:t xml:space="preserve">   </w:t>
      </w:r>
      <w:r>
        <w:rPr>
          <w:rFonts w:hint="eastAsia" w:ascii="仿宋_GB2312" w:hAnsi="仿宋_GB2312" w:eastAsia="仿宋_GB2312" w:cs="仿宋_GB2312"/>
          <w:color w:val="FF0000"/>
          <w:kern w:val="32"/>
        </w:rPr>
        <w:t xml:space="preserve"> </w:t>
      </w:r>
      <w:r>
        <w:rPr>
          <w:rFonts w:hint="eastAsia" w:ascii="仿宋_GB2312" w:hAnsi="仿宋_GB2312" w:eastAsia="仿宋_GB2312" w:cs="仿宋_GB2312"/>
          <w:lang w:val="zh-CN"/>
        </w:rPr>
        <w:t>根据《中华人民共和国矿产资源法》</w:t>
      </w:r>
      <w:r>
        <w:rPr>
          <w:rFonts w:hint="eastAsia" w:ascii="仿宋_GB2312" w:hAnsi="仿宋_GB2312" w:eastAsia="仿宋_GB2312" w:cs="仿宋_GB2312"/>
          <w:kern w:val="21"/>
        </w:rPr>
        <w:t>《矿业权交易规则》（国土资规</w:t>
      </w:r>
      <w:r>
        <w:rPr>
          <w:rFonts w:hint="eastAsia" w:ascii="仿宋_GB2312" w:hAnsi="仿宋_GB2312" w:eastAsia="仿宋_GB2312" w:cs="仿宋_GB2312"/>
        </w:rPr>
        <w:t>〔2017〕7号）</w:t>
      </w:r>
      <w:r>
        <w:rPr>
          <w:rFonts w:hint="eastAsia" w:ascii="仿宋_GB2312" w:hAnsi="仿宋_GB2312" w:eastAsia="仿宋_GB2312" w:cs="仿宋_GB2312"/>
          <w:lang w:val="zh-CN"/>
        </w:rPr>
        <w:t>《广东省探矿权采矿权招标拍卖挂牌出让管理办法》</w:t>
      </w:r>
      <w:r>
        <w:rPr>
          <w:rFonts w:hint="eastAsia" w:ascii="仿宋_GB2312" w:hAnsi="仿宋_GB2312" w:eastAsia="仿宋_GB2312" w:cs="仿宋_GB2312"/>
          <w:kern w:val="21"/>
        </w:rPr>
        <w:t>（粤国土资规发</w:t>
      </w:r>
      <w:r>
        <w:rPr>
          <w:rFonts w:hint="eastAsia" w:ascii="仿宋_GB2312" w:hAnsi="仿宋_GB2312" w:eastAsia="仿宋_GB2312" w:cs="仿宋_GB2312"/>
        </w:rPr>
        <w:t>〔2010〕58号）</w:t>
      </w:r>
      <w:r>
        <w:rPr>
          <w:rStyle w:val="23"/>
          <w:rFonts w:hint="eastAsia" w:ascii="仿宋_GB2312" w:hAnsi="仿宋_GB2312" w:eastAsia="仿宋_GB2312" w:cs="仿宋_GB2312"/>
          <w:sz w:val="32"/>
        </w:rPr>
        <w:t>《广东省自然资源厅关于加强我省建筑石料资源保障工作的通知》</w:t>
      </w:r>
      <w:r>
        <w:rPr>
          <w:rFonts w:hint="eastAsia" w:ascii="仿宋_GB2312" w:hAnsi="仿宋_GB2312" w:eastAsia="仿宋_GB2312" w:cs="仿宋_GB2312"/>
          <w:kern w:val="21"/>
        </w:rPr>
        <w:t>（粤自然资发</w:t>
      </w:r>
      <w:r>
        <w:rPr>
          <w:rFonts w:hint="eastAsia" w:ascii="仿宋_GB2312" w:hAnsi="仿宋_GB2312" w:eastAsia="仿宋_GB2312" w:cs="仿宋_GB2312"/>
        </w:rPr>
        <w:t>〔2020〕8号）</w:t>
      </w:r>
      <w:r>
        <w:rPr>
          <w:rFonts w:hint="eastAsia" w:ascii="仿宋_GB2312" w:hAnsi="仿宋_GB2312" w:eastAsia="仿宋_GB2312" w:cs="仿宋_GB2312"/>
          <w:lang w:val="zh-CN"/>
        </w:rPr>
        <w:t>等规定</w:t>
      </w:r>
      <w:r>
        <w:rPr>
          <w:rFonts w:hint="eastAsia" w:ascii="仿宋_GB2312" w:hAnsi="仿宋_GB2312" w:eastAsia="仿宋_GB2312" w:cs="仿宋_GB2312"/>
        </w:rPr>
        <w:t>，云浮市自然资源局以挂牌交易方式公开出让云浮市云安区都杨镇观音山矿区建筑用花岗岩矿采矿权，并委托云浮市公共资源交易中心挂牌交易。</w:t>
      </w:r>
    </w:p>
    <w:p w14:paraId="669A6AF4">
      <w:pPr>
        <w:pStyle w:val="12"/>
        <w:snapToGrid w:val="0"/>
        <w:spacing w:line="580" w:lineRule="exact"/>
        <w:ind w:firstLine="640" w:firstLineChars="200"/>
        <w:rPr>
          <w:rFonts w:hint="eastAsia" w:ascii="黑体" w:hAnsi="黑体" w:eastAsia="黑体" w:cs="黑体"/>
        </w:rPr>
      </w:pPr>
      <w:r>
        <w:rPr>
          <w:rFonts w:hint="eastAsia" w:ascii="黑体" w:hAnsi="黑体" w:eastAsia="黑体" w:cs="黑体"/>
        </w:rPr>
        <w:t>一、本须知所称网上挂牌出让采矿权是指受云浮市自然资源局委托，在云浮市公共资源交易网、相关网站和报刊发布采矿权出让公告，由竞买人在挂牌报价时间内通过云浮市公共资源交易网</w:t>
      </w:r>
      <w:bookmarkStart w:id="0" w:name="_GoBack"/>
      <w:bookmarkEnd w:id="0"/>
      <w:r>
        <w:rPr>
          <w:rFonts w:hint="eastAsia" w:ascii="黑体" w:hAnsi="黑体" w:eastAsia="黑体" w:cs="黑体"/>
        </w:rPr>
        <w:t>参加网上竞价，根据“价高者得”的原则确定竞得人的行为。</w:t>
      </w:r>
    </w:p>
    <w:p w14:paraId="0F43D521">
      <w:pPr>
        <w:pStyle w:val="12"/>
        <w:snapToGrid w:val="0"/>
        <w:spacing w:line="580" w:lineRule="exact"/>
        <w:ind w:firstLine="640" w:firstLineChars="200"/>
        <w:textAlignment w:val="baseline"/>
        <w:rPr>
          <w:rFonts w:ascii="黑体" w:hAnsi="黑体" w:eastAsia="黑体" w:cs="仿宋_GB2312"/>
          <w:b/>
          <w:bCs/>
        </w:rPr>
      </w:pPr>
      <w:r>
        <w:rPr>
          <w:rFonts w:hint="eastAsia" w:ascii="黑体" w:hAnsi="黑体" w:eastAsia="黑体" w:cs="仿宋_GB2312"/>
          <w:kern w:val="32"/>
        </w:rPr>
        <w:t>二、本</w:t>
      </w:r>
      <w:r>
        <w:rPr>
          <w:rFonts w:hint="eastAsia" w:ascii="黑体" w:hAnsi="黑体" w:eastAsia="黑体" w:cs="仿宋_GB2312"/>
        </w:rPr>
        <w:t>次采矿权网上挂</w:t>
      </w:r>
      <w:r>
        <w:rPr>
          <w:rFonts w:hint="eastAsia" w:ascii="黑体" w:hAnsi="黑体" w:eastAsia="黑体" w:cs="仿宋_GB2312"/>
          <w:kern w:val="32"/>
        </w:rPr>
        <w:t>牌</w:t>
      </w:r>
      <w:r>
        <w:rPr>
          <w:rFonts w:hint="eastAsia" w:ascii="黑体" w:hAnsi="黑体" w:eastAsia="黑体" w:cs="仿宋_GB2312"/>
        </w:rPr>
        <w:t>出让</w:t>
      </w:r>
      <w:r>
        <w:rPr>
          <w:rFonts w:hint="eastAsia" w:ascii="黑体" w:hAnsi="黑体" w:eastAsia="黑体" w:cs="仿宋_GB2312"/>
          <w:kern w:val="32"/>
        </w:rPr>
        <w:t>遵循公开、公平、公正和诚实信用原则。</w:t>
      </w:r>
    </w:p>
    <w:p w14:paraId="123AA4D1">
      <w:pPr>
        <w:widowControl/>
        <w:shd w:val="clear" w:color="auto" w:fill="FFFFFF"/>
        <w:spacing w:line="580" w:lineRule="exact"/>
        <w:ind w:firstLine="640" w:firstLineChars="200"/>
        <w:rPr>
          <w:rFonts w:ascii="黑体" w:hAnsi="黑体" w:eastAsia="黑体" w:cs="仿宋_GB2312"/>
          <w:kern w:val="32"/>
          <w:sz w:val="32"/>
          <w:szCs w:val="32"/>
        </w:rPr>
      </w:pPr>
      <w:r>
        <w:rPr>
          <w:rFonts w:hint="eastAsia" w:ascii="黑体" w:hAnsi="黑体" w:eastAsia="黑体" w:cs="仿宋_GB2312"/>
          <w:kern w:val="32"/>
          <w:sz w:val="32"/>
          <w:szCs w:val="32"/>
        </w:rPr>
        <w:t>三、</w:t>
      </w:r>
      <w:r>
        <w:rPr>
          <w:rFonts w:hint="eastAsia" w:ascii="黑体" w:hAnsi="黑体" w:eastAsia="黑体" w:cs="仿宋_GB2312"/>
          <w:bCs/>
          <w:kern w:val="0"/>
          <w:sz w:val="32"/>
          <w:szCs w:val="32"/>
        </w:rPr>
        <w:t>矿区基本情况</w:t>
      </w:r>
    </w:p>
    <w:p w14:paraId="7F091E9E">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1、矿区位置及面积</w:t>
      </w:r>
    </w:p>
    <w:p w14:paraId="4B18FBA7">
      <w:pPr>
        <w:pStyle w:val="21"/>
        <w:spacing w:line="580" w:lineRule="exact"/>
        <w:ind w:firstLine="567"/>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东省云浮市云安区都杨镇观音山矿区建筑用花岗岩矿采矿权位于广东省云浮市云安区SE100°方向，直距约21公里。中心点地理坐标:东经112°13′48″，北纬23°04′52″。开采矿种为建筑用花岗岩，矿区面积2.3544平方公里，开采标高+571米～+150米,拐点坐标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650"/>
        <w:gridCol w:w="3655"/>
      </w:tblGrid>
      <w:tr w14:paraId="41C0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55" w:type="dxa"/>
            <w:vMerge w:val="restart"/>
            <w:vAlign w:val="bottom"/>
          </w:tcPr>
          <w:p w14:paraId="0E89A95F">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拐点</w:t>
            </w:r>
          </w:p>
        </w:tc>
        <w:tc>
          <w:tcPr>
            <w:tcW w:w="7305" w:type="dxa"/>
            <w:gridSpan w:val="2"/>
            <w:vAlign w:val="bottom"/>
          </w:tcPr>
          <w:p w14:paraId="299DBD0B">
            <w:pPr>
              <w:pStyle w:val="10"/>
              <w:spacing w:line="360" w:lineRule="auto"/>
              <w:jc w:val="center"/>
              <w:textAlignment w:val="bottom"/>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国家2000大地坐标系</w:t>
            </w:r>
          </w:p>
        </w:tc>
      </w:tr>
      <w:tr w14:paraId="4212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55" w:type="dxa"/>
            <w:vMerge w:val="continue"/>
            <w:vAlign w:val="bottom"/>
          </w:tcPr>
          <w:p w14:paraId="36C2DF1B">
            <w:pPr>
              <w:pStyle w:val="10"/>
              <w:spacing w:line="360" w:lineRule="auto"/>
              <w:jc w:val="center"/>
              <w:textAlignment w:val="bottom"/>
              <w:rPr>
                <w:rFonts w:ascii="仿宋_GB2312" w:hAnsi="仿宋_GB2312" w:eastAsia="仿宋_GB2312" w:cs="仿宋_GB2312"/>
                <w:sz w:val="24"/>
                <w:szCs w:val="24"/>
              </w:rPr>
            </w:pPr>
          </w:p>
        </w:tc>
        <w:tc>
          <w:tcPr>
            <w:tcW w:w="3650" w:type="dxa"/>
            <w:vAlign w:val="bottom"/>
          </w:tcPr>
          <w:p w14:paraId="16BED5F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X坐标</w:t>
            </w:r>
          </w:p>
        </w:tc>
        <w:tc>
          <w:tcPr>
            <w:tcW w:w="3655" w:type="dxa"/>
            <w:vAlign w:val="bottom"/>
          </w:tcPr>
          <w:p w14:paraId="5E18FB8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Y坐标</w:t>
            </w:r>
          </w:p>
        </w:tc>
      </w:tr>
      <w:tr w14:paraId="4493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F09EA36">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3650" w:type="dxa"/>
          </w:tcPr>
          <w:p w14:paraId="4FC2057D">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2554093.3821</w:t>
            </w:r>
          </w:p>
        </w:tc>
        <w:tc>
          <w:tcPr>
            <w:tcW w:w="3655" w:type="dxa"/>
          </w:tcPr>
          <w:p w14:paraId="45F607E9">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37626493.3796</w:t>
            </w:r>
          </w:p>
        </w:tc>
      </w:tr>
      <w:tr w14:paraId="2B30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633C818">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3650" w:type="dxa"/>
          </w:tcPr>
          <w:p w14:paraId="47C1BDC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2554092.22</w:t>
            </w:r>
          </w:p>
        </w:tc>
        <w:tc>
          <w:tcPr>
            <w:tcW w:w="3655" w:type="dxa"/>
          </w:tcPr>
          <w:p w14:paraId="34A3F6E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37626893.4</w:t>
            </w:r>
          </w:p>
        </w:tc>
      </w:tr>
      <w:tr w14:paraId="4789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2BA73C71">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3650" w:type="dxa"/>
          </w:tcPr>
          <w:p w14:paraId="56AE796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2553875.22</w:t>
            </w:r>
          </w:p>
        </w:tc>
        <w:tc>
          <w:tcPr>
            <w:tcW w:w="3655" w:type="dxa"/>
          </w:tcPr>
          <w:p w14:paraId="2252C8F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37626850.4</w:t>
            </w:r>
          </w:p>
        </w:tc>
      </w:tr>
      <w:tr w14:paraId="6A5E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69A74962">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3650" w:type="dxa"/>
          </w:tcPr>
          <w:p w14:paraId="7A4A588D">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2553876.2214</w:t>
            </w:r>
          </w:p>
        </w:tc>
        <w:tc>
          <w:tcPr>
            <w:tcW w:w="3655" w:type="dxa"/>
          </w:tcPr>
          <w:p w14:paraId="3ECE44F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37627322.6496</w:t>
            </w:r>
          </w:p>
        </w:tc>
      </w:tr>
      <w:tr w14:paraId="081B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2407245">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3650" w:type="dxa"/>
          </w:tcPr>
          <w:p w14:paraId="3999B6F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2553989.22</w:t>
            </w:r>
          </w:p>
        </w:tc>
        <w:tc>
          <w:tcPr>
            <w:tcW w:w="3655" w:type="dxa"/>
          </w:tcPr>
          <w:p w14:paraId="665AA436">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37627437.4</w:t>
            </w:r>
          </w:p>
        </w:tc>
      </w:tr>
      <w:tr w14:paraId="1C7B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E99D24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3650" w:type="dxa"/>
          </w:tcPr>
          <w:p w14:paraId="3D00088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2553974.8867</w:t>
            </w:r>
          </w:p>
        </w:tc>
        <w:tc>
          <w:tcPr>
            <w:tcW w:w="3655" w:type="dxa"/>
          </w:tcPr>
          <w:p w14:paraId="0020ABF2">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37627799.2459</w:t>
            </w:r>
          </w:p>
        </w:tc>
      </w:tr>
      <w:tr w14:paraId="4673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705C7C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3650" w:type="dxa"/>
          </w:tcPr>
          <w:p w14:paraId="2489D78D">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2554119.22</w:t>
            </w:r>
          </w:p>
        </w:tc>
        <w:tc>
          <w:tcPr>
            <w:tcW w:w="3655" w:type="dxa"/>
          </w:tcPr>
          <w:p w14:paraId="7C60272F">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37627961.4</w:t>
            </w:r>
          </w:p>
        </w:tc>
      </w:tr>
      <w:tr w14:paraId="0D1A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38204AEE">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3650" w:type="dxa"/>
          </w:tcPr>
          <w:p w14:paraId="7A51000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2553898.6377</w:t>
            </w:r>
          </w:p>
        </w:tc>
        <w:tc>
          <w:tcPr>
            <w:tcW w:w="3655" w:type="dxa"/>
          </w:tcPr>
          <w:p w14:paraId="20382D6F">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37628288.1591</w:t>
            </w:r>
          </w:p>
        </w:tc>
      </w:tr>
      <w:tr w14:paraId="296F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57783C5C">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3650" w:type="dxa"/>
          </w:tcPr>
          <w:p w14:paraId="7556900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2553772.2588</w:t>
            </w:r>
          </w:p>
        </w:tc>
        <w:tc>
          <w:tcPr>
            <w:tcW w:w="3655" w:type="dxa"/>
          </w:tcPr>
          <w:p w14:paraId="5254B7E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37628084.2321</w:t>
            </w:r>
          </w:p>
        </w:tc>
      </w:tr>
      <w:tr w14:paraId="2FAB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6D1B624D">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3650" w:type="dxa"/>
          </w:tcPr>
          <w:p w14:paraId="411E516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2553739.22</w:t>
            </w:r>
          </w:p>
        </w:tc>
        <w:tc>
          <w:tcPr>
            <w:tcW w:w="3655" w:type="dxa"/>
          </w:tcPr>
          <w:p w14:paraId="3CE568A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37627881.4</w:t>
            </w:r>
          </w:p>
        </w:tc>
      </w:tr>
      <w:tr w14:paraId="7F7D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340D08A7">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3650" w:type="dxa"/>
          </w:tcPr>
          <w:p w14:paraId="097EB539">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2553395.0287</w:t>
            </w:r>
          </w:p>
        </w:tc>
        <w:tc>
          <w:tcPr>
            <w:tcW w:w="3655" w:type="dxa"/>
          </w:tcPr>
          <w:p w14:paraId="34C08285">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37627822.4153</w:t>
            </w:r>
          </w:p>
        </w:tc>
      </w:tr>
      <w:tr w14:paraId="5241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54E2B115">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3650" w:type="dxa"/>
          </w:tcPr>
          <w:p w14:paraId="47580285">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2553409.5836</w:t>
            </w:r>
          </w:p>
        </w:tc>
        <w:tc>
          <w:tcPr>
            <w:tcW w:w="3655" w:type="dxa"/>
          </w:tcPr>
          <w:p w14:paraId="637EB773">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37627504.7229</w:t>
            </w:r>
          </w:p>
        </w:tc>
      </w:tr>
      <w:tr w14:paraId="2749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2B46CE1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3650" w:type="dxa"/>
          </w:tcPr>
          <w:p w14:paraId="40F9F95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2553189.4281</w:t>
            </w:r>
          </w:p>
        </w:tc>
        <w:tc>
          <w:tcPr>
            <w:tcW w:w="3655" w:type="dxa"/>
          </w:tcPr>
          <w:p w14:paraId="5DA0D55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37627324.9288</w:t>
            </w:r>
          </w:p>
        </w:tc>
      </w:tr>
      <w:tr w14:paraId="0978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14C17B44">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14</w:t>
            </w:r>
          </w:p>
        </w:tc>
        <w:tc>
          <w:tcPr>
            <w:tcW w:w="3650" w:type="dxa"/>
          </w:tcPr>
          <w:p w14:paraId="5D7B4393">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2553064.8157</w:t>
            </w:r>
          </w:p>
        </w:tc>
        <w:tc>
          <w:tcPr>
            <w:tcW w:w="3655" w:type="dxa"/>
          </w:tcPr>
          <w:p w14:paraId="5313D56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37627146.6658</w:t>
            </w:r>
          </w:p>
        </w:tc>
      </w:tr>
      <w:tr w14:paraId="174C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178659D">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3650" w:type="dxa"/>
          </w:tcPr>
          <w:p w14:paraId="758152B9">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2553193.3502</w:t>
            </w:r>
          </w:p>
        </w:tc>
        <w:tc>
          <w:tcPr>
            <w:tcW w:w="3655" w:type="dxa"/>
          </w:tcPr>
          <w:p w14:paraId="14821D5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37626844.3552</w:t>
            </w:r>
          </w:p>
        </w:tc>
      </w:tr>
      <w:tr w14:paraId="1ABE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3B1C422E">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3650" w:type="dxa"/>
          </w:tcPr>
          <w:p w14:paraId="02ED7C1D">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2552831.84</w:t>
            </w:r>
          </w:p>
        </w:tc>
        <w:tc>
          <w:tcPr>
            <w:tcW w:w="3655" w:type="dxa"/>
          </w:tcPr>
          <w:p w14:paraId="6B62A333">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37626722.22</w:t>
            </w:r>
          </w:p>
        </w:tc>
      </w:tr>
      <w:tr w14:paraId="55C9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1071204A">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17</w:t>
            </w:r>
          </w:p>
        </w:tc>
        <w:tc>
          <w:tcPr>
            <w:tcW w:w="3650" w:type="dxa"/>
          </w:tcPr>
          <w:p w14:paraId="25CEDE35">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2552665.283</w:t>
            </w:r>
          </w:p>
        </w:tc>
        <w:tc>
          <w:tcPr>
            <w:tcW w:w="3655" w:type="dxa"/>
          </w:tcPr>
          <w:p w14:paraId="03A58A2A">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37626901.0028</w:t>
            </w:r>
          </w:p>
        </w:tc>
      </w:tr>
      <w:tr w14:paraId="0EB1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C87FBA6">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18</w:t>
            </w:r>
          </w:p>
        </w:tc>
        <w:tc>
          <w:tcPr>
            <w:tcW w:w="3650" w:type="dxa"/>
          </w:tcPr>
          <w:p w14:paraId="71D4FBA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2552526.65</w:t>
            </w:r>
          </w:p>
        </w:tc>
        <w:tc>
          <w:tcPr>
            <w:tcW w:w="3655" w:type="dxa"/>
          </w:tcPr>
          <w:p w14:paraId="6E73B823">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37626771.85</w:t>
            </w:r>
          </w:p>
        </w:tc>
      </w:tr>
      <w:tr w14:paraId="5A1F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2094725">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19</w:t>
            </w:r>
          </w:p>
        </w:tc>
        <w:tc>
          <w:tcPr>
            <w:tcW w:w="3650" w:type="dxa"/>
          </w:tcPr>
          <w:p w14:paraId="561A3B4D">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2552471.98</w:t>
            </w:r>
          </w:p>
        </w:tc>
        <w:tc>
          <w:tcPr>
            <w:tcW w:w="3655" w:type="dxa"/>
          </w:tcPr>
          <w:p w14:paraId="0DC3D9EA">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37626825.2</w:t>
            </w:r>
          </w:p>
        </w:tc>
      </w:tr>
      <w:tr w14:paraId="04EA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2842F383">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20</w:t>
            </w:r>
          </w:p>
        </w:tc>
        <w:tc>
          <w:tcPr>
            <w:tcW w:w="3650" w:type="dxa"/>
          </w:tcPr>
          <w:p w14:paraId="6C35F79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2552743.14</w:t>
            </w:r>
          </w:p>
        </w:tc>
        <w:tc>
          <w:tcPr>
            <w:tcW w:w="3655" w:type="dxa"/>
          </w:tcPr>
          <w:p w14:paraId="2AA1A34A">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37627232.13</w:t>
            </w:r>
          </w:p>
        </w:tc>
      </w:tr>
      <w:tr w14:paraId="2BFD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1238858B">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3650" w:type="dxa"/>
          </w:tcPr>
          <w:p w14:paraId="3CA873C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2552408.1985</w:t>
            </w:r>
          </w:p>
        </w:tc>
        <w:tc>
          <w:tcPr>
            <w:tcW w:w="3655" w:type="dxa"/>
          </w:tcPr>
          <w:p w14:paraId="230F84B9">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37627326.3888</w:t>
            </w:r>
          </w:p>
        </w:tc>
      </w:tr>
      <w:tr w14:paraId="1576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5FD5F4A1">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3650" w:type="dxa"/>
          </w:tcPr>
          <w:p w14:paraId="5E5EC998">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2552278.084</w:t>
            </w:r>
          </w:p>
        </w:tc>
        <w:tc>
          <w:tcPr>
            <w:tcW w:w="3655" w:type="dxa"/>
          </w:tcPr>
          <w:p w14:paraId="20607EC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37627012.526</w:t>
            </w:r>
          </w:p>
        </w:tc>
      </w:tr>
      <w:tr w14:paraId="3FB8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6F1C81A">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23</w:t>
            </w:r>
          </w:p>
        </w:tc>
        <w:tc>
          <w:tcPr>
            <w:tcW w:w="3650" w:type="dxa"/>
          </w:tcPr>
          <w:p w14:paraId="214FFDA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2552063.46</w:t>
            </w:r>
          </w:p>
        </w:tc>
        <w:tc>
          <w:tcPr>
            <w:tcW w:w="3655" w:type="dxa"/>
          </w:tcPr>
          <w:p w14:paraId="0A575DE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37626899.42</w:t>
            </w:r>
          </w:p>
        </w:tc>
      </w:tr>
      <w:tr w14:paraId="5512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897A750">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3650" w:type="dxa"/>
          </w:tcPr>
          <w:p w14:paraId="23BB2D1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2551712.73</w:t>
            </w:r>
          </w:p>
        </w:tc>
        <w:tc>
          <w:tcPr>
            <w:tcW w:w="3655" w:type="dxa"/>
          </w:tcPr>
          <w:p w14:paraId="4B24D7F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37627226.33</w:t>
            </w:r>
          </w:p>
        </w:tc>
      </w:tr>
      <w:tr w14:paraId="1CB2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1A346E4">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3650" w:type="dxa"/>
          </w:tcPr>
          <w:p w14:paraId="4EDB893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2551545.17</w:t>
            </w:r>
          </w:p>
        </w:tc>
        <w:tc>
          <w:tcPr>
            <w:tcW w:w="3655" w:type="dxa"/>
          </w:tcPr>
          <w:p w14:paraId="5FDF5991">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37626855.7</w:t>
            </w:r>
          </w:p>
        </w:tc>
      </w:tr>
      <w:tr w14:paraId="32FB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3FAD4BBF">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26</w:t>
            </w:r>
          </w:p>
        </w:tc>
        <w:tc>
          <w:tcPr>
            <w:tcW w:w="3650" w:type="dxa"/>
          </w:tcPr>
          <w:p w14:paraId="016551D2">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2551660.09</w:t>
            </w:r>
          </w:p>
        </w:tc>
        <w:tc>
          <w:tcPr>
            <w:tcW w:w="3655" w:type="dxa"/>
          </w:tcPr>
          <w:p w14:paraId="13F35C5C">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37626658.5</w:t>
            </w:r>
          </w:p>
        </w:tc>
      </w:tr>
      <w:tr w14:paraId="574B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519B0BD2">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27</w:t>
            </w:r>
          </w:p>
        </w:tc>
        <w:tc>
          <w:tcPr>
            <w:tcW w:w="3650" w:type="dxa"/>
          </w:tcPr>
          <w:p w14:paraId="1FBF9C34">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2551743.2114</w:t>
            </w:r>
          </w:p>
        </w:tc>
        <w:tc>
          <w:tcPr>
            <w:tcW w:w="3655" w:type="dxa"/>
          </w:tcPr>
          <w:p w14:paraId="3AB2F92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37626056.1114</w:t>
            </w:r>
          </w:p>
        </w:tc>
      </w:tr>
      <w:tr w14:paraId="55ED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1DF594BD">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28</w:t>
            </w:r>
          </w:p>
        </w:tc>
        <w:tc>
          <w:tcPr>
            <w:tcW w:w="3650" w:type="dxa"/>
          </w:tcPr>
          <w:p w14:paraId="1972F58A">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2552969.51</w:t>
            </w:r>
          </w:p>
        </w:tc>
        <w:tc>
          <w:tcPr>
            <w:tcW w:w="3655" w:type="dxa"/>
          </w:tcPr>
          <w:p w14:paraId="5BA6ACF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37626045.05</w:t>
            </w:r>
          </w:p>
        </w:tc>
      </w:tr>
      <w:tr w14:paraId="785C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CA2F075">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29</w:t>
            </w:r>
          </w:p>
        </w:tc>
        <w:tc>
          <w:tcPr>
            <w:tcW w:w="3650" w:type="dxa"/>
          </w:tcPr>
          <w:p w14:paraId="7D3ADED1">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2553000.00</w:t>
            </w:r>
          </w:p>
        </w:tc>
        <w:tc>
          <w:tcPr>
            <w:tcW w:w="3655" w:type="dxa"/>
          </w:tcPr>
          <w:p w14:paraId="0116880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37626443.2887</w:t>
            </w:r>
          </w:p>
        </w:tc>
      </w:tr>
      <w:tr w14:paraId="682E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55843CE7">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30</w:t>
            </w:r>
          </w:p>
        </w:tc>
        <w:tc>
          <w:tcPr>
            <w:tcW w:w="3650" w:type="dxa"/>
          </w:tcPr>
          <w:p w14:paraId="055DE248">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2553285.22</w:t>
            </w:r>
          </w:p>
        </w:tc>
        <w:tc>
          <w:tcPr>
            <w:tcW w:w="3655" w:type="dxa"/>
          </w:tcPr>
          <w:p w14:paraId="466AD473">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37626669.4</w:t>
            </w:r>
          </w:p>
        </w:tc>
      </w:tr>
      <w:tr w14:paraId="1590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0E61FD71">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3650" w:type="dxa"/>
          </w:tcPr>
          <w:p w14:paraId="7C894707">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2553670.22</w:t>
            </w:r>
          </w:p>
        </w:tc>
        <w:tc>
          <w:tcPr>
            <w:tcW w:w="3655" w:type="dxa"/>
          </w:tcPr>
          <w:p w14:paraId="5F005A3B">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37626743.4</w:t>
            </w:r>
          </w:p>
        </w:tc>
      </w:tr>
      <w:tr w14:paraId="667D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7B950C4A">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3650" w:type="dxa"/>
          </w:tcPr>
          <w:p w14:paraId="07518B2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2553693.22</w:t>
            </w:r>
          </w:p>
        </w:tc>
        <w:tc>
          <w:tcPr>
            <w:tcW w:w="3655" w:type="dxa"/>
          </w:tcPr>
          <w:p w14:paraId="28DEA2D6">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37626509.4</w:t>
            </w:r>
          </w:p>
        </w:tc>
      </w:tr>
      <w:tr w14:paraId="4FFF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55" w:type="dxa"/>
            <w:vAlign w:val="center"/>
          </w:tcPr>
          <w:p w14:paraId="15ED7EC7">
            <w:pPr>
              <w:pStyle w:val="10"/>
              <w:spacing w:line="360" w:lineRule="auto"/>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3650" w:type="dxa"/>
          </w:tcPr>
          <w:p w14:paraId="2EF2D361">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2553961.22</w:t>
            </w:r>
          </w:p>
        </w:tc>
        <w:tc>
          <w:tcPr>
            <w:tcW w:w="3655" w:type="dxa"/>
          </w:tcPr>
          <w:p w14:paraId="7D5DE06E">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37626457.4</w:t>
            </w:r>
          </w:p>
        </w:tc>
      </w:tr>
      <w:tr w14:paraId="7EDD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360" w:type="dxa"/>
            <w:gridSpan w:val="3"/>
            <w:vAlign w:val="center"/>
          </w:tcPr>
          <w:p w14:paraId="2DFF4690">
            <w:pPr>
              <w:pStyle w:val="11"/>
              <w:spacing w:line="360" w:lineRule="auto"/>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矿区面积：2.3544平方公里，最低开采标高为+150米</w:t>
            </w:r>
          </w:p>
        </w:tc>
      </w:tr>
    </w:tbl>
    <w:p w14:paraId="707276D2">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2、矿种：建筑用花岗岩</w:t>
      </w:r>
    </w:p>
    <w:p w14:paraId="6C209860">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3、开采方式：露天开采</w:t>
      </w:r>
    </w:p>
    <w:p w14:paraId="7C328062">
      <w:pPr>
        <w:widowControl/>
        <w:shd w:val="clear" w:color="auto" w:fill="FFFFFF"/>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4、经广东省地质局第五地质大队对广东省云浮市云安区都杨镇观音山矿区建筑用花岗岩矿进行储量核实，并经广东省矿产资源储量评审中心评审通过《广东省云浮市云安区都杨镇观音山矿区建筑用花岗岩矿资源储量核实报告矿产资源储量评审意见书》(粤资储评审字〔2021〕123号)，拟设置的广东省云浮市云安区都杨镇观音山矿区范围内累计查明建筑用花岗岩矿推断资源量30344.1万立方米，覆盖层残坡积层体积为447.5万立方米，全风化花岗岩层3302.1万立方米，中风化花岗岩层3148.6万立方米，夹石量1056.5万立方米。</w:t>
      </w:r>
    </w:p>
    <w:p w14:paraId="0242C074">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根据广东省矿业协会《广东省云浮市云安区都杨镇观音山矿区建筑用花岗岩矿矿产资源开发利用方案审查意见书》(粤矿协审字〔2021〕31号)，广东省云浮市云安区都杨镇观音山矿区建筑用花岗岩矿设计利用的建筑用花岗岩矿资源量为30344.1万立方米，设计境界内可开采资源量22768.05万立方米，可综合利用共（伴）生矿产资源量共7812.9万立方米，其中全风化花岗岩3275.9万立方米，中风化花岗岩3085.5万立方米，残坡积层为447.1万立方米，夹石1004.4万立方米。矿山总服务年限为20年（含矿山基建期2年、复垦整治期1年），生产规模为1350万立方米/年。</w:t>
      </w:r>
    </w:p>
    <w:p w14:paraId="33BC016E">
      <w:pPr>
        <w:widowControl/>
        <w:shd w:val="clear" w:color="auto" w:fill="FFFFFF"/>
        <w:spacing w:line="580" w:lineRule="exact"/>
        <w:ind w:firstLine="643"/>
        <w:jc w:val="left"/>
        <w:rPr>
          <w:rFonts w:ascii="黑体" w:hAnsi="黑体" w:eastAsia="黑体" w:cs="仿宋_GB2312"/>
          <w:kern w:val="0"/>
          <w:sz w:val="32"/>
          <w:szCs w:val="32"/>
        </w:rPr>
      </w:pPr>
      <w:r>
        <w:rPr>
          <w:rFonts w:hint="eastAsia" w:ascii="黑体" w:hAnsi="黑体" w:eastAsia="黑体" w:cs="仿宋_GB2312"/>
          <w:kern w:val="0"/>
          <w:sz w:val="32"/>
          <w:szCs w:val="32"/>
        </w:rPr>
        <w:t>四、竞买资格及要求</w:t>
      </w:r>
    </w:p>
    <w:p w14:paraId="68D984E7">
      <w:pPr>
        <w:pStyle w:val="12"/>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（一）在中华人民共和国依法注册的具有独立法人资格的企业，除法律法规另有规定外，均可申请参加竞买，但不接受联合竞买。</w:t>
      </w:r>
    </w:p>
    <w:p w14:paraId="067840A8">
      <w:pPr>
        <w:pStyle w:val="12"/>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（二）采矿权竞买申请人一次性足额缴纳竞买保证金人民币100000万元。</w:t>
      </w:r>
    </w:p>
    <w:p w14:paraId="6A62CC03">
      <w:pPr>
        <w:pStyle w:val="12"/>
        <w:snapToGrid w:val="0"/>
        <w:spacing w:line="580" w:lineRule="exact"/>
        <w:ind w:firstLine="640" w:firstLineChars="200"/>
        <w:rPr>
          <w:rFonts w:ascii="黑体" w:hAnsi="黑体" w:eastAsia="黑体" w:cs="仿宋_GB2312"/>
          <w:kern w:val="32"/>
        </w:rPr>
      </w:pPr>
      <w:r>
        <w:rPr>
          <w:rFonts w:hint="eastAsia" w:ascii="黑体" w:hAnsi="黑体" w:eastAsia="黑体" w:cs="仿宋_GB2312"/>
          <w:kern w:val="32"/>
        </w:rPr>
        <w:t>五、本项目监管部门为</w:t>
      </w:r>
      <w:r>
        <w:rPr>
          <w:rFonts w:hint="eastAsia" w:ascii="黑体" w:hAnsi="黑体" w:eastAsia="黑体" w:cs="仿宋_GB2312"/>
        </w:rPr>
        <w:t>云浮市自然资源局</w:t>
      </w:r>
      <w:r>
        <w:rPr>
          <w:rFonts w:hint="eastAsia" w:ascii="黑体" w:hAnsi="黑体" w:eastAsia="黑体" w:cs="仿宋_GB2312"/>
          <w:kern w:val="32"/>
        </w:rPr>
        <w:t>。</w:t>
      </w:r>
    </w:p>
    <w:p w14:paraId="3975151C">
      <w:pPr>
        <w:pStyle w:val="16"/>
        <w:snapToGrid w:val="0"/>
        <w:spacing w:line="580" w:lineRule="exact"/>
        <w:ind w:firstLine="640" w:firstLineChars="200"/>
        <w:rPr>
          <w:rFonts w:ascii="黑体" w:hAnsi="黑体" w:eastAsia="黑体" w:cs="仿宋_GB2312"/>
          <w:kern w:val="32"/>
        </w:rPr>
      </w:pPr>
      <w:r>
        <w:rPr>
          <w:rFonts w:hint="eastAsia" w:ascii="黑体" w:hAnsi="黑体" w:eastAsia="黑体" w:cs="仿宋_GB2312"/>
          <w:kern w:val="32"/>
        </w:rPr>
        <w:t>六、竞买申请</w:t>
      </w:r>
    </w:p>
    <w:p w14:paraId="2BB8ED50">
      <w:pPr>
        <w:pStyle w:val="16"/>
        <w:snapToGrid w:val="0"/>
        <w:spacing w:line="580" w:lineRule="exact"/>
        <w:ind w:firstLine="640" w:firstLineChars="200"/>
        <w:rPr>
          <w:rFonts w:hint="eastAsia" w:ascii="仿宋_GB2312" w:hAnsi="仿宋_GB2312" w:eastAsia="仿宋_GB2312" w:cs="仿宋_GB2312"/>
          <w:kern w:val="32"/>
        </w:rPr>
      </w:pPr>
      <w:r>
        <w:rPr>
          <w:rFonts w:hint="eastAsia" w:ascii="仿宋_GB2312" w:hAnsi="仿宋_GB2312" w:eastAsia="仿宋_GB2312" w:cs="仿宋_GB2312"/>
          <w:kern w:val="32"/>
        </w:rPr>
        <w:t>（一）网上挂牌文件取得</w:t>
      </w:r>
    </w:p>
    <w:p w14:paraId="71DF2A3D">
      <w:pPr>
        <w:pStyle w:val="16"/>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rPr>
        <w:t xml:space="preserve"> 有意参与竞买者可登陆云浮市公共资源交易</w:t>
      </w:r>
      <w:r>
        <w:rPr>
          <w:rFonts w:hint="eastAsia" w:ascii="仿宋_GB2312" w:hAnsi="仿宋_GB2312" w:eastAsia="仿宋_GB2312" w:cs="仿宋_GB2312"/>
          <w:kern w:val="32"/>
        </w:rPr>
        <w:t>网站</w:t>
      </w:r>
      <w:r>
        <w:rPr>
          <w:rFonts w:hint="eastAsia" w:ascii="仿宋_GB2312" w:hAnsi="仿宋_GB2312" w:eastAsia="仿宋_GB2312" w:cs="仿宋_GB2312"/>
        </w:rPr>
        <w:t>下载</w:t>
      </w:r>
      <w:r>
        <w:rPr>
          <w:rFonts w:hint="eastAsia" w:ascii="仿宋_GB2312" w:hAnsi="仿宋_GB2312" w:eastAsia="仿宋_GB2312" w:cs="仿宋_GB2312"/>
          <w:kern w:val="32"/>
        </w:rPr>
        <w:t>网上挂牌</w:t>
      </w:r>
      <w:r>
        <w:rPr>
          <w:rFonts w:hint="eastAsia" w:ascii="仿宋_GB2312" w:hAnsi="仿宋_GB2312" w:eastAsia="仿宋_GB2312" w:cs="仿宋_GB2312"/>
          <w:kern w:val="2"/>
        </w:rPr>
        <w:t>出让</w:t>
      </w:r>
      <w:r>
        <w:rPr>
          <w:rFonts w:hint="eastAsia" w:ascii="仿宋_GB2312" w:hAnsi="仿宋_GB2312" w:eastAsia="仿宋_GB2312" w:cs="仿宋_GB2312"/>
          <w:kern w:val="32"/>
        </w:rPr>
        <w:t>文件，具体包括：</w:t>
      </w:r>
    </w:p>
    <w:p w14:paraId="224BF475">
      <w:pPr>
        <w:widowControl/>
        <w:shd w:val="clear" w:color="auto" w:fill="FFFFFF"/>
        <w:spacing w:line="580" w:lineRule="exact"/>
        <w:ind w:firstLine="70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pacing w:val="15"/>
          <w:kern w:val="0"/>
          <w:sz w:val="32"/>
          <w:szCs w:val="32"/>
        </w:rPr>
        <w:t>1、</w:t>
      </w:r>
      <w:r>
        <w:rPr>
          <w:rFonts w:hint="eastAsia" w:ascii="仿宋_GB2312" w:hAnsi="仿宋_GB2312" w:eastAsia="仿宋_GB2312" w:cs="仿宋_GB2312"/>
          <w:kern w:val="0"/>
          <w:sz w:val="32"/>
          <w:szCs w:val="32"/>
        </w:rPr>
        <w:t>云浮市云安区都杨镇观音山矿区建筑用花岗岩矿采矿权挂牌出让公告；</w:t>
      </w:r>
    </w:p>
    <w:p w14:paraId="6BE24F07">
      <w:pPr>
        <w:widowControl/>
        <w:shd w:val="clear" w:color="auto" w:fill="FFFFFF"/>
        <w:spacing w:line="580" w:lineRule="exact"/>
        <w:ind w:firstLine="700" w:firstLineChars="200"/>
        <w:rPr>
          <w:rFonts w:hint="eastAsia" w:ascii="仿宋_GB2312" w:hAnsi="仿宋_GB2312" w:eastAsia="仿宋_GB2312" w:cs="仿宋_GB2312"/>
          <w:spacing w:val="15"/>
          <w:kern w:val="0"/>
          <w:sz w:val="32"/>
          <w:szCs w:val="32"/>
        </w:rPr>
      </w:pPr>
      <w:r>
        <w:rPr>
          <w:rFonts w:hint="eastAsia" w:ascii="仿宋_GB2312" w:hAnsi="仿宋_GB2312" w:eastAsia="仿宋_GB2312" w:cs="仿宋_GB2312"/>
          <w:spacing w:val="15"/>
          <w:kern w:val="0"/>
          <w:sz w:val="32"/>
          <w:szCs w:val="32"/>
        </w:rPr>
        <w:t>2、采矿权挂牌出让竞买须知；</w:t>
      </w:r>
    </w:p>
    <w:p w14:paraId="38C91D85">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sz w:val="32"/>
          <w:szCs w:val="32"/>
        </w:rPr>
        <w:t>非油气采矿权出让合同</w:t>
      </w:r>
      <w:r>
        <w:rPr>
          <w:rFonts w:hint="eastAsia" w:ascii="仿宋_GB2312" w:hAnsi="仿宋_GB2312" w:eastAsia="仿宋_GB2312" w:cs="仿宋_GB2312"/>
          <w:kern w:val="0"/>
          <w:sz w:val="32"/>
          <w:szCs w:val="32"/>
        </w:rPr>
        <w:t>（样本）；</w:t>
      </w:r>
    </w:p>
    <w:p w14:paraId="18C3CE59">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4、申请新立采矿权应提交的资料；</w:t>
      </w:r>
    </w:p>
    <w:p w14:paraId="407026B3">
      <w:pPr>
        <w:widowControl/>
        <w:shd w:val="clear" w:color="auto" w:fill="FFFFFF"/>
        <w:spacing w:line="58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5、云浮市公共资源土地与矿业权交易系统操作手册。</w:t>
      </w:r>
    </w:p>
    <w:p w14:paraId="2E9D6533">
      <w:pPr>
        <w:pStyle w:val="16"/>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（二）办理数字证书</w:t>
      </w:r>
    </w:p>
    <w:p w14:paraId="150DB390">
      <w:pPr>
        <w:pStyle w:val="16"/>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kern w:val="32"/>
        </w:rPr>
        <w:t>参加本宗采矿权网上挂牌活动的必须使用数字证书，未有有效数字证书的申请人应</w:t>
      </w:r>
      <w:r>
        <w:rPr>
          <w:rFonts w:hint="eastAsia" w:ascii="仿宋_GB2312" w:hAnsi="仿宋_GB2312" w:eastAsia="仿宋_GB2312" w:cs="仿宋_GB2312"/>
        </w:rPr>
        <w:t>在参加网上挂牌交易前，</w:t>
      </w:r>
      <w:r>
        <w:rPr>
          <w:rFonts w:hint="eastAsia" w:ascii="仿宋_GB2312" w:hAnsi="仿宋_GB2312" w:eastAsia="仿宋_GB2312" w:cs="仿宋_GB2312"/>
          <w:kern w:val="32"/>
        </w:rPr>
        <w:t>携带相关有效证件到云浮市区城中路111号B座四楼CA证书办理窗口申请并办理好数字证书</w:t>
      </w:r>
      <w:r>
        <w:rPr>
          <w:rFonts w:hint="eastAsia" w:ascii="仿宋_GB2312" w:hAnsi="仿宋_GB2312" w:eastAsia="仿宋_GB2312" w:cs="仿宋_GB2312"/>
        </w:rPr>
        <w:t>（CA证书）联系人：彭雯，联系电话：0766-8838690。</w:t>
      </w:r>
    </w:p>
    <w:p w14:paraId="01422D94">
      <w:pPr>
        <w:pStyle w:val="16"/>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首次使用数字证书参加网上挂牌交易的，申请人须自行登陆网上交易系统办理登记注册,并同时激活</w:t>
      </w:r>
      <w:r>
        <w:rPr>
          <w:rFonts w:hint="eastAsia" w:ascii="仿宋_GB2312" w:hAnsi="仿宋_GB2312" w:eastAsia="仿宋_GB2312" w:cs="仿宋_GB2312"/>
          <w:kern w:val="32"/>
        </w:rPr>
        <w:t>数字证书及完善信息库信息。</w:t>
      </w:r>
    </w:p>
    <w:p w14:paraId="6E1022F9">
      <w:pPr>
        <w:pStyle w:val="16"/>
        <w:snapToGrid w:val="0"/>
        <w:spacing w:line="580" w:lineRule="exact"/>
        <w:ind w:firstLine="640" w:firstLineChars="200"/>
        <w:textAlignment w:val="baseline"/>
        <w:rPr>
          <w:rFonts w:hint="eastAsia" w:ascii="仿宋_GB2312" w:hAnsi="仿宋_GB2312" w:eastAsia="仿宋_GB2312" w:cs="仿宋_GB2312"/>
        </w:rPr>
      </w:pPr>
      <w:r>
        <w:rPr>
          <w:rFonts w:hint="eastAsia" w:ascii="仿宋_GB2312" w:hAnsi="仿宋_GB2312" w:eastAsia="仿宋_GB2312" w:cs="仿宋_GB2312"/>
        </w:rPr>
        <w:t>数字证书代表竞买人参与网上挂牌竞买活动，其使用数字证书（电子签名）在网上交易系统中竞买标的物的一切操作，均代表竞买人的真实意思表达，具备法律效力，提交竞买申请即视为竞买人对此无异议，并将无条件承担由此产生的一切后果和法律责任。</w:t>
      </w:r>
    </w:p>
    <w:p w14:paraId="1B7F6F87">
      <w:pPr>
        <w:pStyle w:val="16"/>
        <w:snapToGrid w:val="0"/>
        <w:spacing w:line="580" w:lineRule="exact"/>
        <w:rPr>
          <w:rFonts w:hint="eastAsia" w:ascii="仿宋_GB2312" w:hAnsi="仿宋_GB2312" w:eastAsia="仿宋_GB2312" w:cs="仿宋_GB2312"/>
          <w:kern w:val="32"/>
        </w:rPr>
      </w:pPr>
      <w:r>
        <w:rPr>
          <w:rFonts w:hint="eastAsia" w:ascii="仿宋_GB2312" w:hAnsi="仿宋_GB2312" w:eastAsia="仿宋_GB2312" w:cs="仿宋_GB2312"/>
        </w:rPr>
        <w:t xml:space="preserve">    申请人</w:t>
      </w:r>
      <w:r>
        <w:rPr>
          <w:rFonts w:hint="eastAsia" w:ascii="仿宋_GB2312" w:hAnsi="仿宋_GB2312" w:eastAsia="仿宋_GB2312" w:cs="仿宋_GB2312"/>
          <w:kern w:val="32"/>
        </w:rPr>
        <w:t>办理数字证书</w:t>
      </w:r>
      <w:r>
        <w:rPr>
          <w:rFonts w:hint="eastAsia" w:ascii="仿宋_GB2312" w:hAnsi="仿宋_GB2312" w:eastAsia="仿宋_GB2312" w:cs="仿宋_GB2312"/>
        </w:rPr>
        <w:t>、网上登记注册</w:t>
      </w:r>
      <w:r>
        <w:rPr>
          <w:rFonts w:hint="eastAsia" w:ascii="仿宋_GB2312" w:hAnsi="仿宋_GB2312" w:eastAsia="仿宋_GB2312" w:cs="仿宋_GB2312"/>
          <w:kern w:val="32"/>
        </w:rPr>
        <w:t>等详见云浮市公共资源交易网 — 服务指南</w:t>
      </w:r>
      <w:r>
        <w:rPr>
          <w:rFonts w:hint="eastAsia" w:ascii="仿宋_GB2312" w:hAnsi="仿宋_GB2312" w:eastAsia="仿宋_GB2312" w:cs="仿宋_GB2312"/>
        </w:rPr>
        <w:t>。</w:t>
      </w:r>
    </w:p>
    <w:p w14:paraId="6EE901DC">
      <w:pPr>
        <w:pStyle w:val="16"/>
        <w:snapToGrid w:val="0"/>
        <w:spacing w:line="580" w:lineRule="exact"/>
        <w:ind w:firstLine="640" w:firstLineChars="200"/>
        <w:rPr>
          <w:rFonts w:hint="eastAsia" w:ascii="仿宋_GB2312" w:hAnsi="仿宋_GB2312" w:eastAsia="仿宋_GB2312" w:cs="仿宋_GB2312"/>
          <w:kern w:val="32"/>
        </w:rPr>
      </w:pPr>
      <w:r>
        <w:rPr>
          <w:rFonts w:hint="eastAsia" w:ascii="仿宋_GB2312" w:hAnsi="仿宋_GB2312" w:eastAsia="仿宋_GB2312" w:cs="仿宋_GB2312"/>
          <w:kern w:val="32"/>
        </w:rPr>
        <w:t>（三）提交申请</w:t>
      </w:r>
    </w:p>
    <w:p w14:paraId="7883BD72">
      <w:pPr>
        <w:pStyle w:val="16"/>
        <w:snapToGrid w:val="0"/>
        <w:spacing w:line="580" w:lineRule="exact"/>
        <w:ind w:firstLine="640" w:firstLineChars="200"/>
        <w:textAlignment w:val="baseline"/>
        <w:rPr>
          <w:rFonts w:hint="eastAsia" w:ascii="仿宋_GB2312" w:hAnsi="仿宋_GB2312" w:eastAsia="仿宋_GB2312" w:cs="仿宋_GB2312"/>
          <w:kern w:val="32"/>
        </w:rPr>
      </w:pPr>
      <w:r>
        <w:rPr>
          <w:rFonts w:hint="eastAsia" w:ascii="仿宋_GB2312" w:hAnsi="仿宋_GB2312" w:eastAsia="仿宋_GB2312" w:cs="仿宋_GB2312"/>
        </w:rPr>
        <w:t>办理好数字证书的申请人决定参加网上挂牌出让</w:t>
      </w:r>
      <w:r>
        <w:rPr>
          <w:rFonts w:hint="eastAsia" w:ascii="仿宋_GB2312" w:hAnsi="仿宋_GB2312" w:eastAsia="仿宋_GB2312" w:cs="仿宋_GB2312"/>
          <w:kern w:val="32"/>
        </w:rPr>
        <w:t>采矿权</w:t>
      </w:r>
      <w:r>
        <w:rPr>
          <w:rFonts w:hint="eastAsia" w:ascii="仿宋_GB2312" w:hAnsi="仿宋_GB2312" w:eastAsia="仿宋_GB2312" w:cs="仿宋_GB2312"/>
        </w:rPr>
        <w:t>竞买的，应登录网上交易系统，按要求填写真实有效的身份信息，并</w:t>
      </w:r>
      <w:r>
        <w:rPr>
          <w:rFonts w:hint="eastAsia" w:ascii="仿宋_GB2312" w:hAnsi="仿宋_GB2312" w:eastAsia="仿宋_GB2312" w:cs="仿宋_GB2312"/>
          <w:kern w:val="32"/>
        </w:rPr>
        <w:t>于</w:t>
      </w:r>
      <w:r>
        <w:rPr>
          <w:rFonts w:hint="eastAsia" w:ascii="仿宋_GB2312" w:hAnsi="仿宋_GB2312" w:eastAsia="仿宋_GB2312" w:cs="仿宋_GB2312"/>
        </w:rPr>
        <w:t>保证金截止之前提交竞买申请。</w:t>
      </w:r>
    </w:p>
    <w:p w14:paraId="40CBB6F0">
      <w:pPr>
        <w:pStyle w:val="16"/>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（四）交纳竞买保证金</w:t>
      </w:r>
    </w:p>
    <w:p w14:paraId="0E74E7BC">
      <w:pPr>
        <w:pStyle w:val="16"/>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申请人登陆网上交易系统提交竞买申请后，进行交纳保证金操作：申请人选择保证金交纳银行，获得“竞买保证金入账申请单”，凭该申请单到银行柜台（或通过网上银行）办理转账手续。申请人应向“竞买保证金入账申请单”上的随机保证金账号一次性足额缴纳竞买保证金，如分多笔缴纳竞买保证金而导致出现异常情况的，所造成的损失由申请人自行负责。</w:t>
      </w:r>
    </w:p>
    <w:p w14:paraId="45A1CE24">
      <w:pPr>
        <w:pStyle w:val="16"/>
        <w:widowControl/>
        <w:spacing w:line="580" w:lineRule="exact"/>
        <w:ind w:firstLine="640" w:firstLineChars="200"/>
        <w:rPr>
          <w:rFonts w:hint="eastAsia" w:ascii="仿宋_GB2312" w:hAnsi="仿宋_GB2312" w:eastAsia="仿宋_GB2312" w:cs="仿宋_GB2312"/>
          <w:kern w:val="2"/>
        </w:rPr>
      </w:pPr>
      <w:r>
        <w:rPr>
          <w:rFonts w:hint="eastAsia" w:ascii="仿宋_GB2312" w:hAnsi="仿宋_GB2312" w:eastAsia="仿宋_GB2312" w:cs="仿宋_GB2312"/>
        </w:rPr>
        <w:t>保证金缴付账户为：开户单位：</w:t>
      </w:r>
      <w:r>
        <w:rPr>
          <w:rFonts w:hint="eastAsia" w:ascii="仿宋_GB2312" w:hAnsi="仿宋_GB2312" w:eastAsia="仿宋_GB2312" w:cs="仿宋_GB2312"/>
          <w:kern w:val="2"/>
        </w:rPr>
        <w:t>云浮市公共资源交易中心；开户银行：由竞买人在</w:t>
      </w:r>
      <w:r>
        <w:rPr>
          <w:rFonts w:hint="eastAsia" w:ascii="仿宋_GB2312" w:hAnsi="仿宋_GB2312" w:eastAsia="仿宋_GB2312" w:cs="仿宋_GB2312"/>
        </w:rPr>
        <w:t>网上挂牌交易</w:t>
      </w:r>
      <w:r>
        <w:rPr>
          <w:rFonts w:hint="eastAsia" w:ascii="仿宋_GB2312" w:hAnsi="仿宋_GB2312" w:eastAsia="仿宋_GB2312" w:cs="仿宋_GB2312"/>
          <w:kern w:val="2"/>
        </w:rPr>
        <w:t>系统中自行选择；账号：网上挂牌交易系统随机产生的子</w:t>
      </w:r>
      <w:r>
        <w:rPr>
          <w:rFonts w:hint="eastAsia" w:ascii="仿宋_GB2312" w:hAnsi="仿宋_GB2312" w:eastAsia="仿宋_GB2312" w:cs="仿宋_GB2312"/>
        </w:rPr>
        <w:t>账</w:t>
      </w:r>
      <w:r>
        <w:rPr>
          <w:rFonts w:hint="eastAsia" w:ascii="仿宋_GB2312" w:hAnsi="仿宋_GB2312" w:eastAsia="仿宋_GB2312" w:cs="仿宋_GB2312"/>
          <w:kern w:val="2"/>
        </w:rPr>
        <w:t>号。注意事项：1、人工转账：请务必把账号全部填上，2、网银转账未尽事宜可咨询：苏先生（农业银行），13826881176，0766-8812725；吴经理(工商银行)， 13927100918，0766-8839777。</w:t>
      </w:r>
    </w:p>
    <w:p w14:paraId="4DB253EB">
      <w:pPr>
        <w:pStyle w:val="16"/>
        <w:snapToGrid w:val="0"/>
        <w:spacing w:line="580" w:lineRule="exact"/>
        <w:ind w:firstLine="640" w:firstLineChars="200"/>
        <w:textAlignment w:val="baseline"/>
        <w:rPr>
          <w:rFonts w:hint="eastAsia" w:ascii="仿宋_GB2312" w:hAnsi="仿宋_GB2312" w:eastAsia="仿宋_GB2312" w:cs="仿宋_GB2312"/>
          <w:b/>
          <w:bCs/>
        </w:rPr>
      </w:pPr>
      <w:r>
        <w:rPr>
          <w:rFonts w:hint="eastAsia" w:ascii="仿宋_GB2312" w:hAnsi="仿宋_GB2312" w:eastAsia="仿宋_GB2312" w:cs="仿宋_GB2312"/>
        </w:rPr>
        <w:t>1.申请人应确保数字证书的名称与交纳保证金的账户名称完全一致，否则网上交易系统无法识别。</w:t>
      </w:r>
    </w:p>
    <w:p w14:paraId="0B563D99">
      <w:pPr>
        <w:pStyle w:val="16"/>
        <w:snapToGrid w:val="0"/>
        <w:spacing w:line="580" w:lineRule="exact"/>
        <w:ind w:firstLine="521" w:firstLineChars="163"/>
        <w:textAlignment w:val="baseline"/>
        <w:rPr>
          <w:rFonts w:hint="eastAsia" w:ascii="仿宋_GB2312" w:hAnsi="仿宋_GB2312" w:eastAsia="仿宋_GB2312" w:cs="仿宋_GB2312"/>
        </w:rPr>
      </w:pPr>
      <w:r>
        <w:rPr>
          <w:rFonts w:hint="eastAsia" w:ascii="仿宋_GB2312" w:hAnsi="仿宋_GB2312" w:eastAsia="仿宋_GB2312" w:cs="仿宋_GB2312"/>
        </w:rPr>
        <w:t>2.网上交易系统在接受竞买保证金时，仅以此随机账号作为识别申请人身份的依据，且竞买保证金在</w:t>
      </w:r>
      <w:r>
        <w:rPr>
          <w:rFonts w:hint="eastAsia" w:ascii="仿宋_GB2312" w:hAnsi="仿宋_GB2312" w:eastAsia="仿宋_GB2312" w:cs="仿宋_GB2312"/>
          <w:kern w:val="32"/>
        </w:rPr>
        <w:t>指定时间内</w:t>
      </w:r>
      <w:r>
        <w:rPr>
          <w:rFonts w:hint="eastAsia" w:ascii="仿宋_GB2312" w:hAnsi="仿宋_GB2312" w:eastAsia="仿宋_GB2312" w:cs="仿宋_GB2312"/>
        </w:rPr>
        <w:t>确认到账之后，系统才会赋予申请人对应该宗</w:t>
      </w:r>
      <w:r>
        <w:rPr>
          <w:rFonts w:hint="eastAsia" w:ascii="仿宋_GB2312" w:hAnsi="仿宋_GB2312" w:eastAsia="仿宋_GB2312" w:cs="仿宋_GB2312"/>
          <w:kern w:val="32"/>
        </w:rPr>
        <w:t>采矿权</w:t>
      </w:r>
      <w:r>
        <w:rPr>
          <w:rFonts w:hint="eastAsia" w:ascii="仿宋_GB2312" w:hAnsi="仿宋_GB2312" w:eastAsia="仿宋_GB2312" w:cs="仿宋_GB2312"/>
        </w:rPr>
        <w:t>的竞买权限。申请人应当提前交纳竞买保证金以确保在到账截止时间前到账。保证金未能在截止时间前到账的，该竞买申请无效，造成的损失由申请人自行承担。申请人在交纳保证金后，应及时登录网上交易系统查询保证金到账情况。系统确认保证金到账后，申请人则获得与此随机保证金账号相对应该宗</w:t>
      </w:r>
      <w:r>
        <w:rPr>
          <w:rFonts w:hint="eastAsia" w:ascii="仿宋_GB2312" w:hAnsi="仿宋_GB2312" w:eastAsia="仿宋_GB2312" w:cs="仿宋_GB2312"/>
          <w:kern w:val="32"/>
        </w:rPr>
        <w:t>采矿权</w:t>
      </w:r>
      <w:r>
        <w:rPr>
          <w:rFonts w:hint="eastAsia" w:ascii="仿宋_GB2312" w:hAnsi="仿宋_GB2312" w:eastAsia="仿宋_GB2312" w:cs="仿宋_GB2312"/>
        </w:rPr>
        <w:t>的竞买权限。</w:t>
      </w:r>
    </w:p>
    <w:p w14:paraId="3FB4D6DB">
      <w:pPr>
        <w:pStyle w:val="17"/>
        <w:numPr>
          <w:ilvl w:val="0"/>
          <w:numId w:val="1"/>
        </w:numPr>
        <w:snapToGrid w:val="0"/>
        <w:spacing w:line="580" w:lineRule="exact"/>
        <w:ind w:firstLine="521" w:firstLineChars="163"/>
        <w:rPr>
          <w:rFonts w:hint="eastAsia" w:ascii="仿宋_GB2312" w:hAnsi="仿宋_GB2312" w:eastAsia="仿宋_GB2312" w:cs="仿宋_GB2312"/>
        </w:rPr>
      </w:pPr>
      <w:r>
        <w:rPr>
          <w:rFonts w:hint="eastAsia" w:ascii="仿宋_GB2312" w:hAnsi="仿宋_GB2312" w:eastAsia="仿宋_GB2312" w:cs="仿宋_GB2312"/>
        </w:rPr>
        <w:t>答疑及现场踏勘</w:t>
      </w:r>
    </w:p>
    <w:p w14:paraId="27A8AD5E">
      <w:pPr>
        <w:pStyle w:val="18"/>
        <w:shd w:val="clear" w:color="auto" w:fill="FFFFFF"/>
        <w:snapToGrid w:val="0"/>
        <w:spacing w:line="580" w:lineRule="exac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竞买人需现场踏勘采矿权可与云浮市云安区自然资源局联系（云浮市云安区白沙塘行政区富云路，吴生，联系电话：0766-8638705)；网上挂牌操作相关事项的可与云浮市公共资源交易中心联系（节假日除外），</w:t>
      </w:r>
      <w:r>
        <w:rPr>
          <w:rFonts w:hint="eastAsia" w:ascii="仿宋_GB2312" w:hAnsi="仿宋_GB2312" w:eastAsia="仿宋_GB2312" w:cs="仿宋_GB2312"/>
          <w:sz w:val="32"/>
          <w:szCs w:val="32"/>
          <w:shd w:val="clear" w:color="auto" w:fill="FFFFFF"/>
        </w:rPr>
        <w:t>咨询电话：0766-8838690</w:t>
      </w:r>
      <w:r>
        <w:rPr>
          <w:rFonts w:hint="eastAsia" w:ascii="仿宋_GB2312" w:hAnsi="仿宋_GB2312" w:eastAsia="仿宋_GB2312" w:cs="仿宋_GB2312"/>
          <w:kern w:val="0"/>
          <w:sz w:val="32"/>
          <w:szCs w:val="32"/>
        </w:rPr>
        <w:t>。</w:t>
      </w:r>
    </w:p>
    <w:p w14:paraId="2751A40D">
      <w:pPr>
        <w:pStyle w:val="17"/>
        <w:snapToGrid w:val="0"/>
        <w:spacing w:line="580" w:lineRule="exact"/>
        <w:ind w:firstLine="640" w:firstLineChars="200"/>
        <w:rPr>
          <w:rFonts w:ascii="黑体" w:hAnsi="黑体" w:eastAsia="黑体" w:cs="仿宋_GB2312"/>
        </w:rPr>
      </w:pPr>
      <w:r>
        <w:rPr>
          <w:rFonts w:hint="eastAsia" w:ascii="黑体" w:hAnsi="黑体" w:eastAsia="黑体" w:cs="仿宋_GB2312"/>
          <w:kern w:val="32"/>
        </w:rPr>
        <w:t>七、</w:t>
      </w:r>
      <w:r>
        <w:rPr>
          <w:rFonts w:hint="eastAsia" w:ascii="黑体" w:hAnsi="黑体" w:eastAsia="黑体" w:cs="仿宋_GB2312"/>
        </w:rPr>
        <w:t>网上</w:t>
      </w:r>
      <w:r>
        <w:rPr>
          <w:rFonts w:hint="eastAsia" w:ascii="黑体" w:hAnsi="黑体" w:eastAsia="黑体" w:cs="仿宋_GB2312"/>
          <w:kern w:val="32"/>
        </w:rPr>
        <w:t>挂牌</w:t>
      </w:r>
      <w:r>
        <w:rPr>
          <w:rFonts w:hint="eastAsia" w:ascii="黑体" w:hAnsi="黑体" w:eastAsia="黑体" w:cs="仿宋_GB2312"/>
          <w:kern w:val="2"/>
        </w:rPr>
        <w:t>出让</w:t>
      </w:r>
      <w:r>
        <w:rPr>
          <w:rFonts w:hint="eastAsia" w:ascii="黑体" w:hAnsi="黑体" w:eastAsia="黑体" w:cs="仿宋_GB2312"/>
          <w:kern w:val="32"/>
        </w:rPr>
        <w:t>活动有关时间见《出让公告》</w:t>
      </w:r>
      <w:r>
        <w:rPr>
          <w:rFonts w:hint="eastAsia" w:ascii="黑体" w:hAnsi="黑体" w:eastAsia="黑体" w:cs="仿宋_GB2312"/>
        </w:rPr>
        <w:t>。</w:t>
      </w:r>
    </w:p>
    <w:p w14:paraId="538E64B3">
      <w:pPr>
        <w:pStyle w:val="17"/>
        <w:snapToGrid w:val="0"/>
        <w:spacing w:line="580" w:lineRule="exact"/>
        <w:ind w:firstLine="640" w:firstLineChars="200"/>
        <w:rPr>
          <w:rFonts w:ascii="黑体" w:hAnsi="黑体" w:eastAsia="黑体" w:cs="仿宋_GB2312"/>
          <w:kern w:val="32"/>
        </w:rPr>
      </w:pPr>
      <w:r>
        <w:rPr>
          <w:rFonts w:hint="eastAsia" w:ascii="黑体" w:hAnsi="黑体" w:eastAsia="黑体" w:cs="仿宋_GB2312"/>
          <w:kern w:val="32"/>
        </w:rPr>
        <w:t>八、该宗采矿权的</w:t>
      </w:r>
      <w:r>
        <w:rPr>
          <w:rFonts w:hint="eastAsia" w:ascii="黑体" w:hAnsi="黑体" w:eastAsia="黑体" w:cs="仿宋_GB2312"/>
        </w:rPr>
        <w:t>网上</w:t>
      </w:r>
      <w:r>
        <w:rPr>
          <w:rFonts w:hint="eastAsia" w:ascii="黑体" w:hAnsi="黑体" w:eastAsia="黑体" w:cs="仿宋_GB2312"/>
          <w:kern w:val="32"/>
        </w:rPr>
        <w:t>挂牌起始价、增价幅度见《出让公告》。</w:t>
      </w:r>
    </w:p>
    <w:p w14:paraId="67759FB5">
      <w:pPr>
        <w:pStyle w:val="17"/>
        <w:snapToGrid w:val="0"/>
        <w:spacing w:line="580" w:lineRule="exact"/>
        <w:ind w:firstLine="640" w:firstLineChars="200"/>
        <w:rPr>
          <w:rFonts w:ascii="黑体" w:hAnsi="黑体" w:eastAsia="黑体" w:cs="仿宋_GB2312"/>
          <w:kern w:val="32"/>
        </w:rPr>
      </w:pPr>
      <w:r>
        <w:rPr>
          <w:rFonts w:hint="eastAsia" w:ascii="黑体" w:hAnsi="黑体" w:eastAsia="黑体" w:cs="仿宋_GB2312"/>
          <w:kern w:val="32"/>
        </w:rPr>
        <w:t>九、网上交易的具体操作过程，详见《云浮市公共资源土地与矿业权交易系统操作手册》。</w:t>
      </w:r>
    </w:p>
    <w:p w14:paraId="16127659">
      <w:pPr>
        <w:pStyle w:val="17"/>
        <w:snapToGrid w:val="0"/>
        <w:spacing w:line="580" w:lineRule="exact"/>
        <w:ind w:firstLine="640" w:firstLineChars="200"/>
        <w:rPr>
          <w:rFonts w:ascii="黑体" w:hAnsi="黑体" w:eastAsia="黑体" w:cs="仿宋_GB2312"/>
          <w:kern w:val="32"/>
        </w:rPr>
      </w:pPr>
      <w:r>
        <w:rPr>
          <w:rFonts w:hint="eastAsia" w:ascii="黑体" w:hAnsi="黑体" w:eastAsia="黑体" w:cs="仿宋_GB2312"/>
          <w:kern w:val="32"/>
        </w:rPr>
        <w:t>十、报价规则</w:t>
      </w:r>
    </w:p>
    <w:p w14:paraId="06565BC4">
      <w:pPr>
        <w:widowControl/>
        <w:spacing w:line="580" w:lineRule="exact"/>
        <w:ind w:right="-334" w:rightChars="-159"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本次挂牌以价高者得为原则确定竞得人,挂牌期限届满，若只有一个竞买人报价，且不低于起始价的即可成交；若在挂牌期间有两个以上竞买人报价的，则以增价方式允许多次报价，最后由最高报价者竞得。</w:t>
      </w:r>
    </w:p>
    <w:p w14:paraId="5178ECA0">
      <w:pPr>
        <w:widowControl/>
        <w:spacing w:line="580" w:lineRule="exact"/>
        <w:ind w:right="-334" w:rightChars="-159"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（一）网上报价和网上延时竞价中报价的，遵循以下规则：</w:t>
      </w:r>
    </w:p>
    <w:p w14:paraId="6E7E463A">
      <w:pPr>
        <w:widowControl/>
        <w:spacing w:line="58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1.按增价方式进行报价；</w:t>
      </w:r>
    </w:p>
    <w:p w14:paraId="2BD29142">
      <w:pPr>
        <w:widowControl/>
        <w:spacing w:line="58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2.初次报价不得低于起始价；</w:t>
      </w:r>
    </w:p>
    <w:p w14:paraId="5281C9B9">
      <w:pPr>
        <w:widowControl/>
        <w:spacing w:line="58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3.竞买人可多次报价；</w:t>
      </w:r>
    </w:p>
    <w:p w14:paraId="131B1E40">
      <w:pPr>
        <w:widowControl/>
        <w:spacing w:line="580" w:lineRule="exact"/>
        <w:ind w:firstLine="640" w:firstLineChars="200"/>
        <w:contextualSpacing/>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4.每次报价应当比当前最高报价递增最少一个增价幅度。</w:t>
      </w:r>
    </w:p>
    <w:p w14:paraId="12A43901">
      <w:pPr>
        <w:snapToGrid w:val="0"/>
        <w:spacing w:line="580" w:lineRule="exact"/>
        <w:ind w:right="-334" w:rightChars="-159"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竞买人的报价一经提交并经系统记录即视为有效报价，不得撤回。在网上挂牌期限截止前，竞买人应当进行至少一次有效报价，方有资格参加该宗采矿权的网上延时竞价。</w:t>
      </w:r>
    </w:p>
    <w:p w14:paraId="2DF608E8">
      <w:pPr>
        <w:spacing w:line="580" w:lineRule="exact"/>
        <w:ind w:right="-334" w:rightChars="-159"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备注：</w:t>
      </w:r>
      <w:r>
        <w:rPr>
          <w:rFonts w:hint="eastAsia" w:ascii="仿宋_GB2312" w:hAnsi="仿宋_GB2312" w:eastAsia="仿宋_GB2312" w:cs="仿宋_GB2312"/>
          <w:kern w:val="0"/>
          <w:sz w:val="32"/>
          <w:szCs w:val="32"/>
        </w:rPr>
        <w:t>交易刚开始时，如果当前报价是0，则任何具备竞买资格的</w:t>
      </w:r>
      <w:r>
        <w:rPr>
          <w:rFonts w:hint="eastAsia" w:ascii="仿宋_GB2312" w:hAnsi="仿宋_GB2312" w:eastAsia="仿宋_GB2312" w:cs="仿宋_GB2312"/>
          <w:sz w:val="32"/>
          <w:szCs w:val="32"/>
        </w:rPr>
        <w:t>竞买人</w:t>
      </w:r>
      <w:r>
        <w:rPr>
          <w:rFonts w:hint="eastAsia" w:ascii="仿宋_GB2312" w:hAnsi="仿宋_GB2312" w:eastAsia="仿宋_GB2312" w:cs="仿宋_GB2312"/>
          <w:kern w:val="0"/>
          <w:sz w:val="32"/>
          <w:szCs w:val="32"/>
        </w:rPr>
        <w:t>都可以报价。</w:t>
      </w:r>
    </w:p>
    <w:p w14:paraId="466A0536">
      <w:pPr>
        <w:spacing w:line="580" w:lineRule="exact"/>
        <w:ind w:right="-334" w:rightChars="-159"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如果最新报价是当前</w:t>
      </w:r>
      <w:r>
        <w:rPr>
          <w:rFonts w:hint="eastAsia" w:ascii="仿宋_GB2312" w:hAnsi="仿宋_GB2312" w:eastAsia="仿宋_GB2312" w:cs="仿宋_GB2312"/>
          <w:sz w:val="32"/>
          <w:szCs w:val="32"/>
        </w:rPr>
        <w:t>竞买人</w:t>
      </w:r>
      <w:r>
        <w:rPr>
          <w:rFonts w:hint="eastAsia" w:ascii="仿宋_GB2312" w:hAnsi="仿宋_GB2312" w:eastAsia="仿宋_GB2312" w:cs="仿宋_GB2312"/>
          <w:kern w:val="0"/>
          <w:sz w:val="32"/>
          <w:szCs w:val="32"/>
        </w:rPr>
        <w:t>的报价，则该</w:t>
      </w:r>
      <w:r>
        <w:rPr>
          <w:rFonts w:hint="eastAsia" w:ascii="仿宋_GB2312" w:hAnsi="仿宋_GB2312" w:eastAsia="仿宋_GB2312" w:cs="仿宋_GB2312"/>
          <w:sz w:val="32"/>
          <w:szCs w:val="32"/>
        </w:rPr>
        <w:t>竞买人</w:t>
      </w:r>
      <w:r>
        <w:rPr>
          <w:rFonts w:hint="eastAsia" w:ascii="仿宋_GB2312" w:hAnsi="仿宋_GB2312" w:eastAsia="仿宋_GB2312" w:cs="仿宋_GB2312"/>
          <w:kern w:val="0"/>
          <w:sz w:val="32"/>
          <w:szCs w:val="32"/>
        </w:rPr>
        <w:t>不能进行连续报价。只有其他竞买人报价后，当前竞买人才能继续竞价。</w:t>
      </w:r>
    </w:p>
    <w:p w14:paraId="4397CE9D">
      <w:pPr>
        <w:pStyle w:val="17"/>
        <w:widowControl/>
        <w:snapToGrid w:val="0"/>
        <w:spacing w:line="580" w:lineRule="exact"/>
        <w:ind w:firstLine="681" w:firstLineChars="213"/>
        <w:rPr>
          <w:rFonts w:hint="eastAsia" w:ascii="仿宋_GB2312" w:hAnsi="仿宋_GB2312" w:eastAsia="仿宋_GB2312" w:cs="仿宋_GB2312"/>
        </w:rPr>
      </w:pPr>
      <w:r>
        <w:rPr>
          <w:rFonts w:hint="eastAsia" w:ascii="仿宋_GB2312" w:hAnsi="仿宋_GB2312" w:eastAsia="仿宋_GB2312" w:cs="仿宋_GB2312"/>
        </w:rPr>
        <w:t>5.在5分钟询问期内没有竞买人表示愿意继续竞价的，网上交易系统显示网上挂牌成交。</w:t>
      </w:r>
    </w:p>
    <w:p w14:paraId="4BC32B83">
      <w:pPr>
        <w:pStyle w:val="17"/>
        <w:widowControl/>
        <w:snapToGrid w:val="0"/>
        <w:spacing w:line="580" w:lineRule="exact"/>
        <w:ind w:firstLine="681" w:firstLineChars="213"/>
        <w:jc w:val="left"/>
        <w:rPr>
          <w:rFonts w:hint="eastAsia" w:ascii="仿宋_GB2312" w:hAnsi="仿宋_GB2312" w:eastAsia="仿宋_GB2312" w:cs="仿宋_GB2312"/>
        </w:rPr>
      </w:pPr>
      <w:r>
        <w:rPr>
          <w:rFonts w:hint="eastAsia" w:ascii="仿宋_GB2312" w:hAnsi="仿宋_GB2312" w:eastAsia="仿宋_GB2312" w:cs="仿宋_GB2312"/>
        </w:rPr>
        <w:t xml:space="preserve">6.在5分钟询问期内有竞买人表示愿意继续竞价的，网上交易系统自动进入网上延时竞价程序(在网上挂牌期限截止前，竞买人应当进行至少一次有效报价，方有资格参加网上延时竞价)。 </w:t>
      </w:r>
    </w:p>
    <w:p w14:paraId="1B0CE614">
      <w:pPr>
        <w:pStyle w:val="17"/>
        <w:widowControl/>
        <w:snapToGrid w:val="0"/>
        <w:spacing w:line="580" w:lineRule="exact"/>
        <w:ind w:firstLine="681" w:firstLineChars="213"/>
        <w:jc w:val="left"/>
        <w:rPr>
          <w:rFonts w:hint="eastAsia" w:ascii="仿宋_GB2312" w:hAnsi="仿宋_GB2312" w:eastAsia="仿宋_GB2312" w:cs="仿宋_GB2312"/>
        </w:rPr>
      </w:pPr>
      <w:r>
        <w:rPr>
          <w:rFonts w:hint="eastAsia" w:ascii="仿宋_GB2312" w:hAnsi="仿宋_GB2312" w:eastAsia="仿宋_GB2312" w:cs="仿宋_GB2312"/>
        </w:rPr>
        <w:t xml:space="preserve">7.网上延时竞价 </w:t>
      </w:r>
    </w:p>
    <w:p w14:paraId="4034FEA9">
      <w:pPr>
        <w:pStyle w:val="17"/>
        <w:snapToGrid w:val="0"/>
        <w:spacing w:line="580" w:lineRule="exact"/>
        <w:ind w:firstLine="681" w:firstLineChars="213"/>
        <w:rPr>
          <w:rFonts w:hint="eastAsia" w:ascii="仿宋_GB2312" w:hAnsi="仿宋_GB2312" w:eastAsia="仿宋_GB2312" w:cs="仿宋_GB2312"/>
        </w:rPr>
      </w:pPr>
      <w:r>
        <w:rPr>
          <w:rFonts w:hint="eastAsia" w:ascii="仿宋_GB2312" w:hAnsi="仿宋_GB2312" w:eastAsia="仿宋_GB2312" w:cs="仿宋_GB2312"/>
        </w:rPr>
        <w:t>网上延时竞价以当前最高报价增加一个增价幅度后的价格为起始价。网上交易系统以3分钟为竞价时限，竞买人应严格按照报价规则参加延时竞价。如在3分钟倒计时内有新的报价，网上交易系统即从接受新的报价起重新计时。3分钟倒计时内没有新的报价，网上交易系统将自动关闭竞价通道，并显示最高报价。</w:t>
      </w:r>
    </w:p>
    <w:p w14:paraId="40591066">
      <w:pPr>
        <w:pStyle w:val="17"/>
        <w:snapToGrid w:val="0"/>
        <w:spacing w:line="580" w:lineRule="exact"/>
        <w:ind w:firstLine="521" w:firstLineChars="163"/>
        <w:rPr>
          <w:rFonts w:hint="eastAsia" w:ascii="仿宋_GB2312" w:hAnsi="仿宋_GB2312" w:eastAsia="仿宋_GB2312" w:cs="仿宋_GB2312"/>
        </w:rPr>
      </w:pPr>
      <w:r>
        <w:rPr>
          <w:rFonts w:hint="eastAsia" w:ascii="仿宋_GB2312" w:hAnsi="仿宋_GB2312" w:eastAsia="仿宋_GB2312" w:cs="仿宋_GB2312"/>
        </w:rPr>
        <w:t>网上延时竞价截止时，网上交易系统显示网上挂牌成交。</w:t>
      </w:r>
    </w:p>
    <w:p w14:paraId="758229EE">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（二）竞买人报价有下列情形之一的，为无效报价：</w:t>
      </w:r>
    </w:p>
    <w:p w14:paraId="02E40C73">
      <w:pPr>
        <w:pStyle w:val="17"/>
        <w:snapToGrid w:val="0"/>
        <w:spacing w:line="580" w:lineRule="exact"/>
        <w:ind w:firstLine="640" w:firstLineChars="200"/>
        <w:rPr>
          <w:rFonts w:hint="eastAsia" w:ascii="仿宋_GB2312" w:hAnsi="仿宋_GB2312" w:eastAsia="仿宋_GB2312" w:cs="仿宋_GB2312"/>
          <w:kern w:val="32"/>
        </w:rPr>
      </w:pPr>
      <w:r>
        <w:rPr>
          <w:rFonts w:hint="eastAsia" w:ascii="仿宋_GB2312" w:hAnsi="仿宋_GB2312" w:eastAsia="仿宋_GB2312" w:cs="仿宋_GB2312"/>
          <w:kern w:val="32"/>
        </w:rPr>
        <w:t>1．</w:t>
      </w:r>
      <w:r>
        <w:rPr>
          <w:rFonts w:hint="eastAsia" w:ascii="仿宋_GB2312" w:hAnsi="仿宋_GB2312" w:eastAsia="仿宋_GB2312" w:cs="仿宋_GB2312"/>
        </w:rPr>
        <w:t>报价未在网上挂牌期限内收到的</w:t>
      </w:r>
      <w:r>
        <w:rPr>
          <w:rFonts w:hint="eastAsia" w:ascii="仿宋_GB2312" w:hAnsi="仿宋_GB2312" w:eastAsia="仿宋_GB2312" w:cs="仿宋_GB2312"/>
          <w:kern w:val="32"/>
        </w:rPr>
        <w:t>；</w:t>
      </w:r>
    </w:p>
    <w:p w14:paraId="1FBA42A1">
      <w:pPr>
        <w:pStyle w:val="17"/>
        <w:snapToGrid w:val="0"/>
        <w:spacing w:line="580" w:lineRule="exact"/>
        <w:ind w:firstLine="640" w:firstLineChars="200"/>
        <w:rPr>
          <w:rFonts w:hint="eastAsia" w:ascii="仿宋_GB2312" w:hAnsi="仿宋_GB2312" w:eastAsia="仿宋_GB2312" w:cs="仿宋_GB2312"/>
          <w:kern w:val="32"/>
        </w:rPr>
      </w:pPr>
      <w:r>
        <w:rPr>
          <w:rFonts w:hint="eastAsia" w:ascii="仿宋_GB2312" w:hAnsi="仿宋_GB2312" w:eastAsia="仿宋_GB2312" w:cs="仿宋_GB2312"/>
          <w:kern w:val="32"/>
        </w:rPr>
        <w:t>2．报价不符合报价规则，网上交易系统</w:t>
      </w:r>
      <w:r>
        <w:rPr>
          <w:rFonts w:hint="eastAsia" w:ascii="仿宋_GB2312" w:hAnsi="仿宋_GB2312" w:eastAsia="仿宋_GB2312" w:cs="仿宋_GB2312"/>
        </w:rPr>
        <w:t>不予确认的；</w:t>
      </w:r>
    </w:p>
    <w:p w14:paraId="008EDD92">
      <w:pPr>
        <w:pStyle w:val="17"/>
        <w:snapToGrid w:val="0"/>
        <w:spacing w:line="580" w:lineRule="exact"/>
        <w:ind w:firstLine="640" w:firstLineChars="200"/>
        <w:rPr>
          <w:rFonts w:ascii="仿宋" w:hAnsi="仿宋" w:eastAsia="仿宋" w:cs="仿宋_GB2312"/>
        </w:rPr>
      </w:pPr>
      <w:r>
        <w:rPr>
          <w:rFonts w:hint="eastAsia" w:ascii="仿宋_GB2312" w:hAnsi="仿宋_GB2312" w:eastAsia="仿宋_GB2312" w:cs="仿宋_GB2312"/>
          <w:kern w:val="32"/>
        </w:rPr>
        <w:t>3．</w:t>
      </w:r>
      <w:r>
        <w:rPr>
          <w:rFonts w:hint="eastAsia" w:ascii="仿宋_GB2312" w:hAnsi="仿宋_GB2312" w:eastAsia="仿宋_GB2312" w:cs="仿宋_GB2312"/>
        </w:rPr>
        <w:t>报价不符合网上挂牌公告、须知及相关交易文件规定的其他情形</w:t>
      </w:r>
      <w:r>
        <w:rPr>
          <w:rFonts w:hint="eastAsia" w:ascii="仿宋_GB2312" w:hAnsi="仿宋_GB2312" w:eastAsia="仿宋_GB2312" w:cs="仿宋_GB2312"/>
          <w:kern w:val="32"/>
        </w:rPr>
        <w:t>。</w:t>
      </w:r>
    </w:p>
    <w:p w14:paraId="491CD400">
      <w:pPr>
        <w:pStyle w:val="17"/>
        <w:snapToGrid w:val="0"/>
        <w:spacing w:line="580" w:lineRule="exact"/>
        <w:ind w:firstLine="521" w:firstLineChars="163"/>
        <w:rPr>
          <w:rFonts w:ascii="黑体" w:hAnsi="黑体" w:eastAsia="黑体" w:cs="仿宋_GB2312"/>
          <w:kern w:val="32"/>
        </w:rPr>
      </w:pPr>
      <w:r>
        <w:rPr>
          <w:rFonts w:hint="eastAsia" w:ascii="黑体" w:hAnsi="黑体" w:eastAsia="黑体" w:cs="仿宋_GB2312"/>
          <w:kern w:val="32"/>
        </w:rPr>
        <w:t>十一、竞得人资格审核及后续有关要求</w:t>
      </w:r>
    </w:p>
    <w:p w14:paraId="56743FDA">
      <w:pPr>
        <w:pStyle w:val="17"/>
        <w:numPr>
          <w:ilvl w:val="0"/>
          <w:numId w:val="2"/>
        </w:numPr>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竞得人资格审核和</w:t>
      </w:r>
      <w:r>
        <w:rPr>
          <w:rFonts w:hint="eastAsia" w:ascii="仿宋_GB2312" w:hAnsi="仿宋_GB2312" w:eastAsia="仿宋_GB2312" w:cs="仿宋_GB2312"/>
          <w:kern w:val="32"/>
        </w:rPr>
        <w:t>签订</w:t>
      </w:r>
      <w:r>
        <w:rPr>
          <w:rFonts w:hint="eastAsia" w:ascii="仿宋_GB2312" w:hAnsi="仿宋_GB2312" w:eastAsia="仿宋_GB2312" w:cs="仿宋_GB2312"/>
        </w:rPr>
        <w:t>《采矿权</w:t>
      </w:r>
      <w:r>
        <w:rPr>
          <w:rFonts w:hint="eastAsia" w:ascii="仿宋_GB2312" w:hAnsi="仿宋_GB2312" w:eastAsia="仿宋_GB2312" w:cs="仿宋_GB2312"/>
          <w:kern w:val="32"/>
        </w:rPr>
        <w:t>网上挂牌交易</w:t>
      </w:r>
      <w:r>
        <w:rPr>
          <w:rFonts w:hint="eastAsia" w:ascii="仿宋_GB2312" w:hAnsi="仿宋_GB2312" w:eastAsia="仿宋_GB2312" w:cs="仿宋_GB2312"/>
        </w:rPr>
        <w:t>成交确认书》</w:t>
      </w:r>
    </w:p>
    <w:p w14:paraId="03706CC6">
      <w:pPr>
        <w:pStyle w:val="17"/>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网上挂牌交易结束并公示期满，云浮市公共资源交易中心在3个工作日内出具《采矿权挂牌出让成交结果报告书》。竞得人必须在网上挂牌交易结束次日起3个工作日内递交网上打印的《竞买申请书》《保证金回函》、营业执照复印件等相关证明文件和出让公告提及所需的资料到云浮市云安区自然资源局（云浮市云安区白沙塘行政区富云路，吴生，联系电话：0766-8638705)进行资格审核。经审核通过，待公示期满无异议方可签订《采矿权</w:t>
      </w:r>
      <w:r>
        <w:rPr>
          <w:rFonts w:hint="eastAsia" w:ascii="仿宋_GB2312" w:hAnsi="仿宋_GB2312" w:eastAsia="仿宋_GB2312" w:cs="仿宋_GB2312"/>
          <w:kern w:val="32"/>
        </w:rPr>
        <w:t>网上挂牌交易</w:t>
      </w:r>
      <w:r>
        <w:rPr>
          <w:rFonts w:hint="eastAsia" w:ascii="仿宋_GB2312" w:hAnsi="仿宋_GB2312" w:eastAsia="仿宋_GB2312" w:cs="仿宋_GB2312"/>
        </w:rPr>
        <w:t>成交确认书》。若竞得人在规定的时间内不提交资料或提交资料不全的，视为违约，竞得人缴交的保证金不予以退还，并按有关法律规定处理。</w:t>
      </w:r>
    </w:p>
    <w:p w14:paraId="24752316">
      <w:pPr>
        <w:pStyle w:val="17"/>
        <w:numPr>
          <w:ilvl w:val="0"/>
          <w:numId w:val="2"/>
        </w:numPr>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kern w:val="32"/>
        </w:rPr>
        <w:t>签订</w:t>
      </w:r>
      <w:r>
        <w:rPr>
          <w:rFonts w:hint="eastAsia" w:ascii="仿宋_GB2312" w:hAnsi="仿宋_GB2312" w:eastAsia="仿宋_GB2312" w:cs="仿宋_GB2312"/>
        </w:rPr>
        <w:t>《非油气采矿权出让合同》和缴纳采矿权出让收益</w:t>
      </w:r>
    </w:p>
    <w:p w14:paraId="30383AB8">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采矿权竞得人在网上挂牌交易公示结束次日起3个工作日内与云浮市云安区自然资源局签订《</w:t>
      </w:r>
      <w:r>
        <w:rPr>
          <w:rFonts w:hint="eastAsia" w:ascii="仿宋_GB2312" w:hAnsi="仿宋_GB2312" w:eastAsia="仿宋_GB2312" w:cs="仿宋_GB2312"/>
          <w:kern w:val="0"/>
          <w:sz w:val="32"/>
          <w:szCs w:val="32"/>
        </w:rPr>
        <w:t>采矿权网上交易成交确认书</w:t>
      </w:r>
      <w:r>
        <w:rPr>
          <w:rFonts w:hint="eastAsia" w:ascii="仿宋_GB2312" w:hAnsi="仿宋_GB2312" w:eastAsia="仿宋_GB2312" w:cs="仿宋_GB2312"/>
          <w:sz w:val="32"/>
          <w:szCs w:val="32"/>
        </w:rPr>
        <w:t>》，签订《</w:t>
      </w:r>
      <w:r>
        <w:rPr>
          <w:rFonts w:hint="eastAsia" w:ascii="仿宋_GB2312" w:hAnsi="仿宋_GB2312" w:eastAsia="仿宋_GB2312" w:cs="仿宋_GB2312"/>
          <w:kern w:val="0"/>
          <w:sz w:val="32"/>
          <w:szCs w:val="32"/>
        </w:rPr>
        <w:t>采矿权网上交易成交确认书</w:t>
      </w:r>
      <w:r>
        <w:rPr>
          <w:rFonts w:hint="eastAsia" w:ascii="仿宋_GB2312" w:hAnsi="仿宋_GB2312" w:eastAsia="仿宋_GB2312" w:cs="仿宋_GB2312"/>
          <w:sz w:val="32"/>
          <w:szCs w:val="32"/>
        </w:rPr>
        <w:t>》后5日内与云浮市云安区自然资源局签订《非油气采矿权出让合同》。采矿权竞得人交纳的竞买保证金在签订《采矿权网上交易成交确认书》后直接抵充采矿权部分出让收益。采矿权竞得人签订《非油气采矿权出让合同》后30日内一次性缴纳剩余采矿权出让收益，不接受分期缴纳。逾期不签订《非油气采矿权出让合同》、未足额缴纳采矿权出让收益的，均视为违约、自动放弃采矿权，其竞买保证金不予退回并上缴国库，出让的采矿权由出让人无偿收回。</w:t>
      </w:r>
    </w:p>
    <w:p w14:paraId="121014F8">
      <w:pPr>
        <w:pStyle w:val="17"/>
        <w:snapToGrid w:val="0"/>
        <w:spacing w:line="580" w:lineRule="exact"/>
        <w:ind w:firstLine="521" w:firstLineChars="163"/>
        <w:rPr>
          <w:rFonts w:ascii="黑体" w:hAnsi="黑体" w:eastAsia="黑体" w:cs="仿宋_GB2312"/>
          <w:kern w:val="32"/>
        </w:rPr>
      </w:pPr>
      <w:r>
        <w:rPr>
          <w:rFonts w:hint="eastAsia" w:ascii="黑体" w:hAnsi="黑体" w:eastAsia="黑体" w:cs="仿宋_GB2312"/>
          <w:kern w:val="32"/>
        </w:rPr>
        <w:t xml:space="preserve"> 十二、竞买保证金退还、划转</w:t>
      </w:r>
    </w:p>
    <w:p w14:paraId="2C36FA03">
      <w:pPr>
        <w:pStyle w:val="20"/>
        <w:spacing w:line="580" w:lineRule="exact"/>
        <w:ind w:firstLine="648"/>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采矿权竞得人交纳的竞买保证金在签订《采矿权网上交易成交确认书》后直接抵充采矿权部分出让收益。</w:t>
      </w:r>
      <w:r>
        <w:rPr>
          <w:rFonts w:hint="eastAsia" w:ascii="仿宋_GB2312" w:hAnsi="仿宋_GB2312" w:eastAsia="仿宋_GB2312" w:cs="仿宋_GB2312"/>
          <w:kern w:val="0"/>
          <w:sz w:val="32"/>
          <w:szCs w:val="32"/>
        </w:rPr>
        <w:t>竞得人凭云浮市云安区自然资源局出具的《缴费函》、《采矿权网上挂牌交易成交确认书》、《关于竞买保证金划转作为出让收益的函》以及竞买保证金进账单，到云浮市公共资源交易中心办理原额无息划款手续。</w:t>
      </w:r>
    </w:p>
    <w:p w14:paraId="626F896B">
      <w:pPr>
        <w:pStyle w:val="20"/>
        <w:spacing w:line="580" w:lineRule="exact"/>
        <w:ind w:firstLine="648"/>
        <w:rPr>
          <w:rFonts w:ascii="仿宋" w:hAnsi="仿宋" w:eastAsia="仿宋" w:cs="仿宋_GB2312"/>
          <w:kern w:val="0"/>
          <w:sz w:val="32"/>
          <w:szCs w:val="32"/>
        </w:rPr>
      </w:pPr>
      <w:r>
        <w:rPr>
          <w:rFonts w:hint="eastAsia" w:ascii="仿宋_GB2312" w:hAnsi="仿宋_GB2312" w:eastAsia="仿宋_GB2312" w:cs="仿宋_GB2312"/>
          <w:kern w:val="0"/>
          <w:sz w:val="32"/>
          <w:szCs w:val="32"/>
        </w:rPr>
        <w:t>未竞得者的保证金在结果公布后5个工作日内按原额无息退回原未竞得者的账号（未竞得者必须保证以下的信息准确有效：户名、账号、开户银行的全称；如果上述信息不完整，则未竞得者提交银行汇款凭证等资料到云浮市公共资源交易中心办理书面退款手续）。</w:t>
      </w:r>
    </w:p>
    <w:p w14:paraId="27CEF032">
      <w:pPr>
        <w:pStyle w:val="17"/>
        <w:snapToGrid w:val="0"/>
        <w:spacing w:line="580" w:lineRule="exact"/>
        <w:ind w:firstLine="521" w:firstLineChars="163"/>
        <w:rPr>
          <w:rFonts w:ascii="黑体" w:hAnsi="黑体" w:eastAsia="黑体" w:cs="仿宋_GB2312"/>
          <w:kern w:val="32"/>
        </w:rPr>
      </w:pPr>
      <w:r>
        <w:rPr>
          <w:rFonts w:hint="eastAsia" w:ascii="黑体" w:hAnsi="黑体" w:eastAsia="黑体" w:cs="仿宋_GB2312"/>
          <w:kern w:val="32"/>
        </w:rPr>
        <w:t>十三、交易结果公布</w:t>
      </w:r>
    </w:p>
    <w:p w14:paraId="4547AFBB">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rPr>
        <w:t>云浮市公共资源交易平台</w:t>
      </w:r>
      <w:r>
        <w:rPr>
          <w:rFonts w:hint="eastAsia" w:ascii="仿宋_GB2312" w:hAnsi="仿宋_GB2312" w:eastAsia="仿宋_GB2312" w:cs="仿宋_GB2312"/>
          <w:kern w:val="32"/>
        </w:rPr>
        <w:t>在本次采矿权网上挂牌</w:t>
      </w:r>
      <w:r>
        <w:rPr>
          <w:rFonts w:hint="eastAsia" w:ascii="仿宋_GB2312" w:hAnsi="仿宋_GB2312" w:eastAsia="仿宋_GB2312" w:cs="仿宋_GB2312"/>
          <w:kern w:val="2"/>
        </w:rPr>
        <w:t>出让竞价</w:t>
      </w:r>
      <w:r>
        <w:rPr>
          <w:rFonts w:hint="eastAsia" w:ascii="仿宋_GB2312" w:hAnsi="仿宋_GB2312" w:eastAsia="仿宋_GB2312" w:cs="仿宋_GB2312"/>
          <w:kern w:val="32"/>
        </w:rPr>
        <w:t>活动结束后即时发布竞价结果。</w:t>
      </w:r>
    </w:p>
    <w:p w14:paraId="4A26683F">
      <w:pPr>
        <w:pStyle w:val="17"/>
        <w:snapToGrid w:val="0"/>
        <w:spacing w:line="580" w:lineRule="exact"/>
        <w:ind w:firstLine="521" w:firstLineChars="163"/>
        <w:rPr>
          <w:rFonts w:ascii="黑体" w:hAnsi="黑体" w:eastAsia="黑体" w:cs="仿宋_GB2312"/>
          <w:kern w:val="32"/>
        </w:rPr>
      </w:pPr>
      <w:r>
        <w:rPr>
          <w:rFonts w:hint="eastAsia" w:ascii="黑体" w:hAnsi="黑体" w:eastAsia="黑体" w:cs="仿宋_GB2312"/>
          <w:kern w:val="32"/>
        </w:rPr>
        <w:t>十四、注意事项</w:t>
      </w:r>
    </w:p>
    <w:p w14:paraId="2B3DA3C8">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（一）申请人须全面阅读有关网上挂牌</w:t>
      </w:r>
      <w:r>
        <w:rPr>
          <w:rFonts w:hint="eastAsia" w:ascii="仿宋_GB2312" w:hAnsi="仿宋_GB2312" w:eastAsia="仿宋_GB2312" w:cs="仿宋_GB2312"/>
          <w:kern w:val="2"/>
        </w:rPr>
        <w:t>出让</w:t>
      </w:r>
      <w:r>
        <w:rPr>
          <w:rFonts w:hint="eastAsia" w:ascii="仿宋_GB2312" w:hAnsi="仿宋_GB2312" w:eastAsia="仿宋_GB2312" w:cs="仿宋_GB2312"/>
          <w:kern w:val="32"/>
        </w:rPr>
        <w:t>文件，如有疑问可以在网上挂牌活动开始日之前以书面或口头方式向</w:t>
      </w:r>
      <w:r>
        <w:rPr>
          <w:rFonts w:hint="eastAsia" w:ascii="仿宋_GB2312" w:hAnsi="仿宋_GB2312" w:eastAsia="仿宋_GB2312" w:cs="仿宋_GB2312"/>
        </w:rPr>
        <w:t>云浮市云安区自然资源局</w:t>
      </w:r>
      <w:r>
        <w:rPr>
          <w:rFonts w:hint="eastAsia" w:ascii="仿宋_GB2312" w:hAnsi="仿宋_GB2312" w:eastAsia="仿宋_GB2312" w:cs="仿宋_GB2312"/>
          <w:kern w:val="32"/>
        </w:rPr>
        <w:t>和</w:t>
      </w:r>
      <w:r>
        <w:rPr>
          <w:rFonts w:hint="eastAsia" w:ascii="仿宋_GB2312" w:hAnsi="仿宋_GB2312" w:eastAsia="仿宋_GB2312" w:cs="仿宋_GB2312"/>
        </w:rPr>
        <w:t>云浮市公共资源交易中心</w:t>
      </w:r>
      <w:r>
        <w:rPr>
          <w:rFonts w:hint="eastAsia" w:ascii="仿宋_GB2312" w:hAnsi="仿宋_GB2312" w:eastAsia="仿宋_GB2312" w:cs="仿宋_GB2312"/>
          <w:kern w:val="32"/>
        </w:rPr>
        <w:t>咨询，申请人通过网上交易系统提交竞买申请，即视为申请人对网上挂牌</w:t>
      </w:r>
      <w:r>
        <w:rPr>
          <w:rFonts w:hint="eastAsia" w:ascii="仿宋_GB2312" w:hAnsi="仿宋_GB2312" w:eastAsia="仿宋_GB2312" w:cs="仿宋_GB2312"/>
          <w:kern w:val="2"/>
        </w:rPr>
        <w:t>出让</w:t>
      </w:r>
      <w:r>
        <w:rPr>
          <w:rFonts w:hint="eastAsia" w:ascii="仿宋_GB2312" w:hAnsi="仿宋_GB2312" w:eastAsia="仿宋_GB2312" w:cs="仿宋_GB2312"/>
          <w:kern w:val="32"/>
        </w:rPr>
        <w:t>文件及采矿权现状无异议并全部接受，并对有关承诺承担法律责任。</w:t>
      </w:r>
    </w:p>
    <w:p w14:paraId="4D66F89B">
      <w:pPr>
        <w:pStyle w:val="17"/>
        <w:snapToGrid w:val="0"/>
        <w:spacing w:line="580" w:lineRule="exact"/>
        <w:ind w:firstLine="521" w:firstLineChars="163"/>
        <w:rPr>
          <w:rFonts w:hint="eastAsia" w:ascii="仿宋_GB2312" w:hAnsi="仿宋_GB2312" w:eastAsia="仿宋_GB2312" w:cs="仿宋_GB2312"/>
        </w:rPr>
      </w:pPr>
      <w:r>
        <w:rPr>
          <w:rFonts w:hint="eastAsia" w:ascii="仿宋_GB2312" w:hAnsi="仿宋_GB2312" w:eastAsia="仿宋_GB2312" w:cs="仿宋_GB2312"/>
          <w:kern w:val="32"/>
        </w:rPr>
        <w:t>网上</w:t>
      </w:r>
      <w:r>
        <w:rPr>
          <w:rFonts w:hint="eastAsia" w:ascii="仿宋_GB2312" w:hAnsi="仿宋_GB2312" w:eastAsia="仿宋_GB2312" w:cs="仿宋_GB2312"/>
        </w:rPr>
        <w:t>挂牌</w:t>
      </w:r>
      <w:r>
        <w:rPr>
          <w:rFonts w:hint="eastAsia" w:ascii="仿宋_GB2312" w:hAnsi="仿宋_GB2312" w:eastAsia="仿宋_GB2312" w:cs="仿宋_GB2312"/>
          <w:kern w:val="2"/>
        </w:rPr>
        <w:t>出让</w:t>
      </w:r>
      <w:r>
        <w:rPr>
          <w:rFonts w:hint="eastAsia" w:ascii="仿宋_GB2312" w:hAnsi="仿宋_GB2312" w:eastAsia="仿宋_GB2312" w:cs="仿宋_GB2312"/>
        </w:rPr>
        <w:t>文件如有修改或补充，</w:t>
      </w:r>
      <w:r>
        <w:rPr>
          <w:rFonts w:hint="eastAsia" w:ascii="仿宋_GB2312" w:hAnsi="仿宋_GB2312" w:eastAsia="仿宋_GB2312" w:cs="仿宋_GB2312"/>
          <w:kern w:val="32"/>
        </w:rPr>
        <w:t>云浮市自然资源局</w:t>
      </w:r>
      <w:r>
        <w:rPr>
          <w:rFonts w:hint="eastAsia" w:ascii="仿宋_GB2312" w:hAnsi="仿宋_GB2312" w:eastAsia="仿宋_GB2312" w:cs="仿宋_GB2312"/>
        </w:rPr>
        <w:t>将在网上交易系统、</w:t>
      </w:r>
      <w:r>
        <w:rPr>
          <w:rFonts w:hint="eastAsia" w:ascii="仿宋_GB2312" w:hAnsi="仿宋_GB2312" w:eastAsia="仿宋_GB2312" w:cs="仿宋_GB2312"/>
          <w:kern w:val="2"/>
        </w:rPr>
        <w:t>云浮市公共资源交易中心</w:t>
      </w:r>
      <w:r>
        <w:rPr>
          <w:rFonts w:hint="eastAsia" w:ascii="仿宋_GB2312" w:hAnsi="仿宋_GB2312" w:eastAsia="仿宋_GB2312" w:cs="仿宋_GB2312"/>
          <w:kern w:val="32"/>
        </w:rPr>
        <w:t>网站</w:t>
      </w:r>
      <w:r>
        <w:rPr>
          <w:rFonts w:hint="eastAsia" w:ascii="仿宋_GB2312" w:hAnsi="仿宋_GB2312" w:eastAsia="仿宋_GB2312" w:cs="仿宋_GB2312"/>
        </w:rPr>
        <w:t>进行发布，请有意参与竞买者密切留意，竞买人凡报价的，则视为已接受此种修改或补充。修改、补充公告与本网上挂牌竞买须知、公告及相关交易文件具有同等法律效力。</w:t>
      </w:r>
    </w:p>
    <w:p w14:paraId="79C3DC12">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（二）</w:t>
      </w:r>
      <w:r>
        <w:rPr>
          <w:rFonts w:hint="eastAsia" w:ascii="仿宋_GB2312" w:hAnsi="仿宋_GB2312" w:eastAsia="仿宋_GB2312" w:cs="仿宋_GB2312"/>
        </w:rPr>
        <w:t>为避免网络延迟问题，竞买人尽量避免在网上挂牌截止前最后几分钟才出价，以防止网上交易系统无法及时接收到报价的情况发生</w:t>
      </w:r>
      <w:r>
        <w:rPr>
          <w:rFonts w:hint="eastAsia" w:ascii="仿宋_GB2312" w:hAnsi="仿宋_GB2312" w:eastAsia="仿宋_GB2312" w:cs="仿宋_GB2312"/>
          <w:kern w:val="32"/>
        </w:rPr>
        <w:t>。</w:t>
      </w:r>
    </w:p>
    <w:p w14:paraId="547CC37F">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 xml:space="preserve"> 交易过程中，出现异常导致不能在网上交易系统进行竞买申请、报价等操作的，应立即向</w:t>
      </w:r>
      <w:r>
        <w:rPr>
          <w:rFonts w:hint="eastAsia" w:ascii="仿宋_GB2312" w:hAnsi="仿宋_GB2312" w:eastAsia="仿宋_GB2312" w:cs="仿宋_GB2312"/>
        </w:rPr>
        <w:t>云浮市公共资源交易中心</w:t>
      </w:r>
      <w:r>
        <w:rPr>
          <w:rFonts w:hint="eastAsia" w:ascii="仿宋_GB2312" w:hAnsi="仿宋_GB2312" w:eastAsia="仿宋_GB2312" w:cs="仿宋_GB2312"/>
          <w:kern w:val="32"/>
        </w:rPr>
        <w:t>反映。若未及时反映的，由此造成的损失由申请人自行承担，且不能对抗网上挂牌交易结果的法律效力。</w:t>
      </w:r>
    </w:p>
    <w:p w14:paraId="0AEAEE5D">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 xml:space="preserve"> 操作系统要求：操作系统使用Windows 7及以上版本操作系统；显示器分辨率要求：1366*768及以上分辨率；硬件网络要求：配备2G以上内存，2M以上有线宽带网络。 </w:t>
      </w:r>
    </w:p>
    <w:p w14:paraId="277DBE0F">
      <w:pPr>
        <w:pStyle w:val="17"/>
        <w:snapToGrid w:val="0"/>
        <w:spacing w:line="580" w:lineRule="exact"/>
        <w:ind w:firstLine="521" w:firstLineChars="163"/>
        <w:rPr>
          <w:rFonts w:hint="eastAsia" w:ascii="仿宋_GB2312" w:hAnsi="仿宋_GB2312" w:eastAsia="仿宋_GB2312" w:cs="仿宋_GB2312"/>
          <w:kern w:val="32"/>
        </w:rPr>
      </w:pPr>
      <w:r>
        <w:rPr>
          <w:rFonts w:hint="eastAsia" w:ascii="仿宋_GB2312" w:hAnsi="仿宋_GB2312" w:eastAsia="仿宋_GB2312" w:cs="仿宋_GB2312"/>
          <w:kern w:val="32"/>
        </w:rPr>
        <w:t xml:space="preserve"> 请各竞买人务必使用IE11以上版本的32位IE浏览器进行竞买活动，并按中心官网首页–服务指南–常见问题解答中教程，完成浏览器的兼容性，active控件和添加信任站点等设置，关闭阻止弹窗。在竞价期间，因安全软件策略不同原因，建议竞买人暂时退出竞价电脑上所安装的安全软件，防止安全软件的拦截而可能造成的竞买失败。如因竞买人电脑的原因造成的竞买失败，由此产生的所有责任由竞买人自行承担。</w:t>
      </w:r>
    </w:p>
    <w:p w14:paraId="28DDA53B">
      <w:pPr>
        <w:pStyle w:val="17"/>
        <w:snapToGrid w:val="0"/>
        <w:spacing w:line="580" w:lineRule="exact"/>
        <w:ind w:firstLine="681" w:firstLineChars="213"/>
        <w:rPr>
          <w:rFonts w:hint="eastAsia" w:ascii="仿宋_GB2312" w:hAnsi="仿宋_GB2312" w:eastAsia="仿宋_GB2312" w:cs="仿宋_GB2312"/>
          <w:kern w:val="32"/>
        </w:rPr>
      </w:pPr>
      <w:r>
        <w:rPr>
          <w:rFonts w:hint="eastAsia" w:ascii="仿宋_GB2312" w:hAnsi="仿宋_GB2312" w:eastAsia="仿宋_GB2312" w:cs="仿宋_GB2312"/>
          <w:kern w:val="32"/>
        </w:rPr>
        <w:t>温馨提示：本次竞价采用网上竞价系统，因各竞买人使用的网络类型和网段有所差异，为避免网络的突发故障影响保证金的缴纳，竞买人应留有充足安全时间，尽量避免在保证金缴纳截止时点时匆忙缴交保证金。为确认保证金切实到账，请竞买人缴交后在平台查询保证金到账情况。如因竞买人自身原因导致保证金未按时到账或其他因素竞买失败，由此产生的所有责任由竞买人自行承担。</w:t>
      </w:r>
    </w:p>
    <w:p w14:paraId="12FC89A7">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（三）网上挂牌交易活动的暂停、中止或终止</w:t>
      </w:r>
    </w:p>
    <w:p w14:paraId="61640FBB">
      <w:pPr>
        <w:snapToGrid w:val="0"/>
        <w:spacing w:line="580" w:lineRule="exact"/>
        <w:ind w:firstLine="640" w:firstLineChars="200"/>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1、有下列情形之一的，挂牌人将暂停、中止或终止网上挂牌交易活动：</w:t>
      </w:r>
    </w:p>
    <w:p w14:paraId="7136E3B0">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（1）挂牌人根据有关规定要求暂停、中止或终止网上挂牌交易活动的；</w:t>
      </w:r>
    </w:p>
    <w:p w14:paraId="2ADEAE89">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（2）涉及矿业权权属纠纷，不能及时解决的；</w:t>
      </w:r>
    </w:p>
    <w:p w14:paraId="30EDD3D9">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（3）司法机关要求暂停、中止或终止网上挂牌交易活动的；</w:t>
      </w:r>
    </w:p>
    <w:p w14:paraId="31B82451">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（4）自然资源管理部门等监管机构认为应当暂停、中止或终止网上挂牌交易活动的其他情形。</w:t>
      </w:r>
    </w:p>
    <w:p w14:paraId="36F6165D">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2、有下列情形之一的，交易中心将暂停、中止网上挂牌交易活动：</w:t>
      </w:r>
    </w:p>
    <w:p w14:paraId="00B91F58">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（1）网上交易系统发生故障的；</w:t>
      </w:r>
    </w:p>
    <w:p w14:paraId="4FF73637">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（2）网上交易系统遭受外力破坏、恶意攻击、电力故障、网络故障等不可预估因素，导致网上交易系统不能正常运行的；</w:t>
      </w:r>
    </w:p>
    <w:p w14:paraId="6AAC6CC3">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（3）司法机关要求暂停、中止网上挂牌交易活动的；</w:t>
      </w:r>
    </w:p>
    <w:p w14:paraId="1C78AC8A">
      <w:pPr>
        <w:snapToGrid w:val="0"/>
        <w:spacing w:line="580" w:lineRule="exact"/>
        <w:ind w:firstLine="521"/>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（4）公共资源交易中心及其上级监管机构认为应当暂停、中止网上挂牌交易活动的其他情形。</w:t>
      </w:r>
    </w:p>
    <w:p w14:paraId="1D99D11D">
      <w:pPr>
        <w:snapToGrid w:val="0"/>
        <w:spacing w:line="580" w:lineRule="exact"/>
        <w:ind w:firstLine="640" w:firstLineChars="200"/>
        <w:jc w:val="left"/>
        <w:rPr>
          <w:rFonts w:hint="eastAsia"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暂停、中止网上挂牌交易活动的，上述问题处理或解除后，挂牌人应及时恢复网上挂牌交易活动。</w:t>
      </w:r>
    </w:p>
    <w:p w14:paraId="6E832765">
      <w:pPr>
        <w:pStyle w:val="17"/>
        <w:snapToGrid w:val="0"/>
        <w:spacing w:line="580" w:lineRule="exact"/>
        <w:ind w:firstLine="480" w:firstLineChars="150"/>
        <w:rPr>
          <w:rFonts w:hint="eastAsia" w:ascii="仿宋_GB2312" w:hAnsi="仿宋_GB2312" w:eastAsia="仿宋_GB2312" w:cs="仿宋_GB2312"/>
          <w:kern w:val="32"/>
        </w:rPr>
      </w:pPr>
      <w:r>
        <w:rPr>
          <w:rFonts w:hint="eastAsia" w:ascii="仿宋_GB2312" w:hAnsi="仿宋_GB2312" w:eastAsia="仿宋_GB2312" w:cs="仿宋_GB2312"/>
          <w:kern w:val="32"/>
        </w:rPr>
        <w:t>（</w:t>
      </w:r>
      <w:r>
        <w:rPr>
          <w:rFonts w:hint="eastAsia" w:ascii="仿宋_GB2312" w:hAnsi="仿宋_GB2312" w:eastAsia="仿宋_GB2312" w:cs="仿宋_GB2312"/>
        </w:rPr>
        <w:t>四</w:t>
      </w:r>
      <w:r>
        <w:rPr>
          <w:rFonts w:hint="eastAsia" w:ascii="仿宋_GB2312" w:hAnsi="仿宋_GB2312" w:eastAsia="仿宋_GB2312" w:cs="仿宋_GB2312"/>
          <w:kern w:val="32"/>
        </w:rPr>
        <w:t>）竞得人有下列情形之一的，视为违约，竞得结果无效，云浮市自然资源局有权取消其竞得资格，其所缴纳的竞买保证金不予退还，且按网上挂牌</w:t>
      </w:r>
      <w:r>
        <w:rPr>
          <w:rFonts w:hint="eastAsia" w:ascii="仿宋_GB2312" w:hAnsi="仿宋_GB2312" w:eastAsia="仿宋_GB2312" w:cs="仿宋_GB2312"/>
          <w:kern w:val="2"/>
        </w:rPr>
        <w:t>出让</w:t>
      </w:r>
      <w:r>
        <w:rPr>
          <w:rFonts w:hint="eastAsia" w:ascii="仿宋_GB2312" w:hAnsi="仿宋_GB2312" w:eastAsia="仿宋_GB2312" w:cs="仿宋_GB2312"/>
          <w:kern w:val="32"/>
        </w:rPr>
        <w:t>文件中的规定，由有关部门依法处理，造成损失的，竞得人还应依法承担赔偿责任：</w:t>
      </w:r>
    </w:p>
    <w:p w14:paraId="5BD55F90">
      <w:pPr>
        <w:pStyle w:val="17"/>
        <w:snapToGrid w:val="0"/>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kern w:val="32"/>
        </w:rPr>
        <w:t>1.</w:t>
      </w:r>
      <w:r>
        <w:rPr>
          <w:rFonts w:hint="eastAsia" w:ascii="仿宋_GB2312" w:hAnsi="仿宋_GB2312" w:eastAsia="仿宋_GB2312" w:cs="仿宋_GB2312"/>
        </w:rPr>
        <w:t>竞得人逾期或拒绝签订《采矿权网上挂牌交易成交确认书》的；</w:t>
      </w:r>
    </w:p>
    <w:p w14:paraId="6F338243">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kern w:val="32"/>
        </w:rPr>
        <w:t>2.</w:t>
      </w:r>
      <w:r>
        <w:rPr>
          <w:rFonts w:hint="eastAsia" w:ascii="仿宋_GB2312" w:hAnsi="仿宋_GB2312" w:eastAsia="仿宋_GB2312" w:cs="仿宋_GB2312"/>
        </w:rPr>
        <w:t>竞得人逾期或拒绝签订《非油气采矿权出让合同》的；</w:t>
      </w:r>
    </w:p>
    <w:p w14:paraId="3AC87061">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kern w:val="32"/>
        </w:rPr>
        <w:t>3.</w:t>
      </w:r>
      <w:r>
        <w:rPr>
          <w:rFonts w:hint="eastAsia" w:ascii="仿宋_GB2312" w:hAnsi="仿宋_GB2312" w:eastAsia="仿宋_GB2312" w:cs="仿宋_GB2312"/>
        </w:rPr>
        <w:t xml:space="preserve">不按本须知规定提供有关纸质文件材料，或提供虚假文件材料、隐瞒重要事实，引起交易纠纷的； </w:t>
      </w:r>
    </w:p>
    <w:p w14:paraId="308CB605">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rPr>
        <w:t>4.不符合竞买条件的；</w:t>
      </w:r>
    </w:p>
    <w:p w14:paraId="156CFB9B">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rPr>
        <w:t>5.不足额缴纳采矿权出让收益的；</w:t>
      </w:r>
    </w:p>
    <w:p w14:paraId="0C2D0D2A">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kern w:val="32"/>
        </w:rPr>
        <w:t>6.</w:t>
      </w:r>
      <w:r>
        <w:rPr>
          <w:rFonts w:hint="eastAsia" w:ascii="仿宋_GB2312" w:hAnsi="仿宋_GB2312" w:eastAsia="仿宋_GB2312" w:cs="仿宋_GB2312"/>
        </w:rPr>
        <w:t>采取行贿、恶意串通等非法手段竞得的；</w:t>
      </w:r>
    </w:p>
    <w:p w14:paraId="7A0ABC93">
      <w:pPr>
        <w:pStyle w:val="17"/>
        <w:widowControl/>
        <w:snapToGrid w:val="0"/>
        <w:spacing w:line="580" w:lineRule="exact"/>
        <w:ind w:firstLine="640" w:firstLineChars="200"/>
        <w:jc w:val="left"/>
        <w:rPr>
          <w:rFonts w:hint="eastAsia" w:ascii="仿宋_GB2312" w:hAnsi="仿宋_GB2312" w:eastAsia="仿宋_GB2312" w:cs="仿宋_GB2312"/>
        </w:rPr>
      </w:pPr>
      <w:r>
        <w:rPr>
          <w:rFonts w:hint="eastAsia" w:ascii="仿宋_GB2312" w:hAnsi="仿宋_GB2312" w:eastAsia="仿宋_GB2312" w:cs="仿宋_GB2312"/>
          <w:kern w:val="32"/>
        </w:rPr>
        <w:t>7.</w:t>
      </w:r>
      <w:r>
        <w:rPr>
          <w:rFonts w:hint="eastAsia" w:ascii="仿宋_GB2312" w:hAnsi="仿宋_GB2312" w:eastAsia="仿宋_GB2312" w:cs="仿宋_GB2312"/>
        </w:rPr>
        <w:t>竞得人以其他非法手段竞得的；</w:t>
      </w:r>
    </w:p>
    <w:p w14:paraId="17918EBF">
      <w:pPr>
        <w:pStyle w:val="17"/>
        <w:snapToGrid w:val="0"/>
        <w:spacing w:line="580" w:lineRule="exact"/>
        <w:ind w:firstLine="640" w:firstLineChars="200"/>
        <w:rPr>
          <w:rFonts w:hint="eastAsia" w:ascii="仿宋_GB2312" w:hAnsi="仿宋_GB2312" w:eastAsia="仿宋_GB2312" w:cs="仿宋_GB2312"/>
          <w:kern w:val="32"/>
        </w:rPr>
      </w:pPr>
      <w:r>
        <w:rPr>
          <w:rFonts w:hint="eastAsia" w:ascii="仿宋_GB2312" w:hAnsi="仿宋_GB2312" w:eastAsia="仿宋_GB2312" w:cs="仿宋_GB2312"/>
          <w:kern w:val="32"/>
        </w:rPr>
        <w:t>8.</w:t>
      </w:r>
      <w:r>
        <w:rPr>
          <w:rFonts w:hint="eastAsia" w:ascii="仿宋_GB2312" w:hAnsi="仿宋_GB2312" w:eastAsia="仿宋_GB2312" w:cs="仿宋_GB2312"/>
        </w:rPr>
        <w:t>构成违约责任的其他行为。</w:t>
      </w:r>
      <w:r>
        <w:rPr>
          <w:rFonts w:hint="eastAsia" w:ascii="仿宋_GB2312" w:hAnsi="仿宋_GB2312" w:eastAsia="仿宋_GB2312" w:cs="仿宋_GB2312"/>
          <w:kern w:val="32"/>
        </w:rPr>
        <w:t xml:space="preserve"> </w:t>
      </w:r>
    </w:p>
    <w:p w14:paraId="6DAC2821">
      <w:pPr>
        <w:pStyle w:val="17"/>
        <w:snapToGrid w:val="0"/>
        <w:spacing w:line="580" w:lineRule="exact"/>
        <w:ind w:firstLine="521" w:firstLineChars="163"/>
        <w:rPr>
          <w:rFonts w:hint="eastAsia" w:ascii="仿宋_GB2312" w:hAnsi="仿宋_GB2312" w:eastAsia="仿宋_GB2312" w:cs="仿宋_GB2312"/>
        </w:rPr>
      </w:pPr>
      <w:r>
        <w:rPr>
          <w:rFonts w:hint="eastAsia" w:ascii="仿宋_GB2312" w:hAnsi="仿宋_GB2312" w:eastAsia="仿宋_GB2312" w:cs="仿宋_GB2312"/>
        </w:rPr>
        <w:t>（五）本须知及公告涉及的时间期限，以</w:t>
      </w:r>
      <w:r>
        <w:rPr>
          <w:rFonts w:hint="eastAsia" w:ascii="仿宋_GB2312" w:hAnsi="仿宋_GB2312" w:eastAsia="仿宋_GB2312" w:cs="仿宋_GB2312"/>
          <w:kern w:val="2"/>
        </w:rPr>
        <w:t>云浮市公共资源交易中心</w:t>
      </w:r>
      <w:r>
        <w:rPr>
          <w:rFonts w:hint="eastAsia" w:ascii="仿宋_GB2312" w:hAnsi="仿宋_GB2312" w:eastAsia="仿宋_GB2312" w:cs="仿宋_GB2312"/>
          <w:kern w:val="32"/>
        </w:rPr>
        <w:t>网</w:t>
      </w:r>
      <w:r>
        <w:rPr>
          <w:rFonts w:hint="eastAsia" w:ascii="仿宋_GB2312" w:hAnsi="仿宋_GB2312" w:eastAsia="仿宋_GB2312" w:cs="仿宋_GB2312"/>
        </w:rPr>
        <w:t>上交易系统服务器的时间为准。</w:t>
      </w:r>
    </w:p>
    <w:p w14:paraId="72537E4E">
      <w:pPr>
        <w:pStyle w:val="17"/>
        <w:snapToGrid w:val="0"/>
        <w:spacing w:line="580" w:lineRule="exact"/>
        <w:ind w:firstLine="640" w:firstLineChars="200"/>
        <w:rPr>
          <w:rFonts w:hint="eastAsia" w:ascii="黑体" w:hAnsi="黑体" w:eastAsia="黑体" w:cs="黑体"/>
        </w:rPr>
      </w:pPr>
      <w:r>
        <w:rPr>
          <w:rFonts w:hint="eastAsia" w:ascii="黑体" w:hAnsi="黑体" w:eastAsia="黑体" w:cs="黑体"/>
        </w:rPr>
        <w:t>十五、其他约定</w:t>
      </w:r>
    </w:p>
    <w:p w14:paraId="54DD6AD1">
      <w:pPr>
        <w:autoSpaceDE w:val="0"/>
        <w:autoSpaceDN w:val="0"/>
        <w:adjustRightInd w:val="0"/>
        <w:spacing w:line="580" w:lineRule="exact"/>
        <w:ind w:right="-50" w:rightChars="-24"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（一）为解决矿区日常生活、生产经营以及确保石料运输过程沿线居民出行安全问题，并为今后实现矿地统筹创造条件，须由采矿权竞得人出资新建一条连接</w:t>
      </w:r>
      <w:r>
        <w:rPr>
          <w:rFonts w:hint="eastAsia" w:ascii="仿宋_GB2312" w:hAnsi="仿宋_GB2312" w:eastAsia="仿宋_GB2312" w:cs="仿宋_GB2312"/>
          <w:sz w:val="32"/>
          <w:szCs w:val="32"/>
        </w:rPr>
        <w:t>省道S537的矿区道路</w:t>
      </w:r>
      <w:r>
        <w:rPr>
          <w:rFonts w:hint="eastAsia" w:ascii="仿宋_GB2312" w:hAnsi="仿宋_GB2312" w:eastAsia="仿宋_GB2312" w:cs="仿宋_GB2312"/>
          <w:sz w:val="32"/>
          <w:szCs w:val="32"/>
          <w:shd w:val="clear" w:color="auto" w:fill="FFFFFF"/>
        </w:rPr>
        <w:t>。另须改建</w:t>
      </w:r>
      <w:r>
        <w:rPr>
          <w:rFonts w:hint="eastAsia" w:ascii="仿宋_GB2312" w:hAnsi="仿宋_GB2312" w:eastAsia="仿宋_GB2312" w:cs="仿宋_GB2312"/>
          <w:sz w:val="32"/>
          <w:szCs w:val="32"/>
        </w:rPr>
        <w:t>省道S537云安区段K9+000-K18+400项目（</w:t>
      </w:r>
      <w:r>
        <w:rPr>
          <w:rFonts w:hint="eastAsia" w:ascii="仿宋_GB2312" w:hAnsi="仿宋_GB2312" w:eastAsia="仿宋_GB2312" w:cs="仿宋_GB2312"/>
          <w:sz w:val="32"/>
          <w:szCs w:val="32"/>
          <w:shd w:val="clear" w:color="auto" w:fill="FFFFFF"/>
        </w:rPr>
        <w:t>道路</w:t>
      </w:r>
      <w:r>
        <w:rPr>
          <w:rFonts w:hint="eastAsia" w:ascii="仿宋_GB2312" w:hAnsi="仿宋_GB2312" w:eastAsia="仿宋_GB2312" w:cs="仿宋_GB2312"/>
          <w:sz w:val="32"/>
          <w:szCs w:val="32"/>
        </w:rPr>
        <w:t>按设计速度60km/h,一级公路技术标准，采用双向四车道，路基宽21.50米，路线长9.4公里），估算总出资人民币46000万元，</w:t>
      </w:r>
      <w:r>
        <w:rPr>
          <w:rFonts w:hint="eastAsia" w:ascii="仿宋_GB2312" w:hAnsi="仿宋_GB2312" w:eastAsia="仿宋_GB2312" w:cs="仿宋_GB2312"/>
          <w:sz w:val="32"/>
          <w:szCs w:val="32"/>
          <w:shd w:val="clear" w:color="auto" w:fill="FFFFFF"/>
        </w:rPr>
        <w:t>该省道改建项目按估算总出资由采矿权竞得人承担，采矿权竞得人须在签订《非油气采矿权出让合同》后30日内一次性支付到云浮市云安区财政局指定银行账户；该省道改建项目由云浮市云安区交通运输局负责统筹建设，交付使用后，养护工作由采矿权竞得人按照省道养护规范与标准执行（截至采矿许可证有效期届满）；该省道</w:t>
      </w:r>
      <w:r>
        <w:rPr>
          <w:rFonts w:hint="eastAsia" w:ascii="仿宋_GB2312" w:hAnsi="仿宋_GB2312" w:eastAsia="仿宋_GB2312" w:cs="仿宋_GB2312"/>
          <w:sz w:val="32"/>
          <w:szCs w:val="32"/>
        </w:rPr>
        <w:t>改建</w:t>
      </w:r>
      <w:r>
        <w:rPr>
          <w:rFonts w:hint="eastAsia" w:ascii="仿宋_GB2312" w:hAnsi="仿宋_GB2312" w:eastAsia="仿宋_GB2312" w:cs="仿宋_GB2312"/>
          <w:sz w:val="32"/>
          <w:szCs w:val="32"/>
          <w:shd w:val="clear" w:color="auto" w:fill="FFFFFF"/>
        </w:rPr>
        <w:t>项目具体情况由竞买申请人自行向云浮市云安区交通运输局了解。</w:t>
      </w:r>
    </w:p>
    <w:p w14:paraId="7013481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采矿权出让矿区面积为2.3544平方公里（3531.6亩），矿区开采范围内的土地以租赁方式使用,租赁期限为2021年12月31日至2041年12月31日，土地的租金、青苗补偿款及矿区影响范围内的房屋（都杨镇西坑村委向阳村）拆迁安置费等费用合计人民币40350万元，由采矿权竞得人承担，并在签订《非油气采矿权出让合同》后30日内一次性支付到</w:t>
      </w:r>
      <w:r>
        <w:rPr>
          <w:rFonts w:hint="eastAsia" w:ascii="仿宋_GB2312" w:hAnsi="仿宋_GB2312" w:eastAsia="仿宋_GB2312" w:cs="仿宋_GB2312"/>
          <w:sz w:val="32"/>
          <w:szCs w:val="32"/>
          <w:shd w:val="clear" w:color="auto" w:fill="FFFFFF"/>
        </w:rPr>
        <w:t>云浮市</w:t>
      </w:r>
      <w:r>
        <w:rPr>
          <w:rFonts w:hint="eastAsia" w:ascii="仿宋_GB2312" w:hAnsi="仿宋_GB2312" w:eastAsia="仿宋_GB2312" w:cs="仿宋_GB2312"/>
          <w:sz w:val="32"/>
          <w:szCs w:val="32"/>
        </w:rPr>
        <w:t>云安区财政局指定银行账号。迁坟费、管线迁移费等由竞得人按实际另行支付。云浮市</w:t>
      </w:r>
      <w:r>
        <w:rPr>
          <w:rFonts w:hint="eastAsia" w:ascii="仿宋_GB2312" w:hAnsi="仿宋_GB2312" w:eastAsia="仿宋_GB2312" w:cs="仿宋_GB2312"/>
          <w:sz w:val="32"/>
          <w:szCs w:val="32"/>
          <w:shd w:val="clear" w:color="auto" w:fill="FFFFFF"/>
        </w:rPr>
        <w:t>云安区</w:t>
      </w:r>
      <w:r>
        <w:rPr>
          <w:rFonts w:hint="eastAsia" w:ascii="仿宋_GB2312" w:hAnsi="仿宋_GB2312" w:eastAsia="仿宋_GB2312" w:cs="仿宋_GB2312"/>
          <w:sz w:val="32"/>
          <w:szCs w:val="32"/>
        </w:rPr>
        <w:t>都杨镇人民政府负责协调完成租地后交由采矿权竞得人使用，</w:t>
      </w:r>
      <w:r>
        <w:rPr>
          <w:rFonts w:hint="eastAsia" w:ascii="仿宋_GB2312" w:hAnsi="仿宋_GB2312" w:eastAsia="仿宋_GB2312" w:cs="仿宋_GB2312"/>
          <w:sz w:val="32"/>
          <w:szCs w:val="32"/>
          <w:shd w:val="clear" w:color="auto" w:fill="FFFFFF"/>
        </w:rPr>
        <w:t>具体租地情况由竞买申请人自行向云浮市云安区</w:t>
      </w:r>
      <w:r>
        <w:rPr>
          <w:rFonts w:hint="eastAsia" w:ascii="仿宋_GB2312" w:hAnsi="仿宋_GB2312" w:eastAsia="仿宋_GB2312" w:cs="仿宋_GB2312"/>
          <w:sz w:val="32"/>
          <w:szCs w:val="32"/>
        </w:rPr>
        <w:t>都杨镇人民政府</w:t>
      </w:r>
      <w:r>
        <w:rPr>
          <w:rFonts w:hint="eastAsia" w:ascii="仿宋_GB2312" w:hAnsi="仿宋_GB2312" w:eastAsia="仿宋_GB2312" w:cs="仿宋_GB2312"/>
          <w:sz w:val="32"/>
          <w:szCs w:val="32"/>
          <w:shd w:val="clear" w:color="auto" w:fill="FFFFFF"/>
        </w:rPr>
        <w:t>了解</w:t>
      </w:r>
      <w:r>
        <w:rPr>
          <w:rFonts w:hint="eastAsia" w:ascii="仿宋_GB2312" w:hAnsi="仿宋_GB2312" w:eastAsia="仿宋_GB2312" w:cs="仿宋_GB2312"/>
          <w:sz w:val="32"/>
          <w:szCs w:val="32"/>
        </w:rPr>
        <w:t>。</w:t>
      </w:r>
    </w:p>
    <w:p w14:paraId="17B0F0B5">
      <w:pPr>
        <w:shd w:val="solid" w:color="FFFFFF" w:fill="auto"/>
        <w:autoSpaceDN w:val="0"/>
        <w:spacing w:line="58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（三）采矿权竞得人需在出让期限内，每年支付给云浮市云安区人民政府</w:t>
      </w:r>
      <w:r>
        <w:rPr>
          <w:rFonts w:hint="eastAsia" w:ascii="仿宋_GB2312" w:hAnsi="仿宋_GB2312" w:eastAsia="仿宋_GB2312" w:cs="仿宋_GB2312"/>
          <w:sz w:val="32"/>
          <w:szCs w:val="32"/>
        </w:rPr>
        <w:t>乡村振兴建设和社会维稳帮扶资金人民币100万元，每年支付给云浮市云安区都杨镇人民政府乡村振兴建设和社会维稳帮扶资金人民币200万元。上述资金用于</w:t>
      </w:r>
      <w:r>
        <w:rPr>
          <w:rFonts w:hint="eastAsia" w:ascii="仿宋_GB2312" w:hAnsi="仿宋_GB2312" w:eastAsia="仿宋_GB2312" w:cs="仿宋_GB2312"/>
          <w:sz w:val="32"/>
          <w:szCs w:val="32"/>
          <w:shd w:val="clear" w:color="auto" w:fill="FFFFFF"/>
        </w:rPr>
        <w:t>支持矿区周边群众的生产生活、环境改善等，促进矿地和谐、社会稳定，实现办矿一处、造福一方。资金</w:t>
      </w:r>
      <w:r>
        <w:rPr>
          <w:rFonts w:hint="eastAsia" w:ascii="仿宋_GB2312" w:hAnsi="仿宋_GB2312" w:eastAsia="仿宋_GB2312" w:cs="仿宋_GB2312"/>
          <w:sz w:val="32"/>
          <w:szCs w:val="32"/>
        </w:rPr>
        <w:t>须于2022年起，每年6月30日前支付到云浮市云安区财政局指定银行账户。</w:t>
      </w:r>
    </w:p>
    <w:p w14:paraId="1AB39163">
      <w:pPr>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rPr>
        <w:t>（四）若采矿权竞得人并非云浮市云安区范围注册的公司，则应在签订《非油气采矿权出让合同》之日起2个月内，在云浮市云安区设立独立核算的全资子公司开发运营该矿山。</w:t>
      </w:r>
    </w:p>
    <w:p w14:paraId="11E596D4">
      <w:pPr>
        <w:spacing w:line="580" w:lineRule="exact"/>
        <w:ind w:firstLine="640"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（五）采矿权竞买申请人需提供中华人民共和国境内银行或其分支机构出具的人民币500000万元（含）以上的银行贷款意向书（挂牌报价之日起两年内有效）或人民币500000万元（含）以上的存款证明文件。</w:t>
      </w:r>
    </w:p>
    <w:p w14:paraId="60512B2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（六）采矿权竞得人除缴纳挂牌出让收益外，应按照有关规定缴纳采矿权使用费、计提矿山地质环境治理恢复基金和预存土地复垦费，按签订的有关合同约定办理。</w:t>
      </w:r>
    </w:p>
    <w:p w14:paraId="6118A8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（七）采矿权竞得人须在领取《采矿许可证》之日起24个月内建设投产。除不可抗力或政策因素影响外，逾期不建设投产的，由出让人依法依规无偿收回已出让的采矿权。</w:t>
      </w:r>
    </w:p>
    <w:p w14:paraId="7A724625">
      <w:pPr>
        <w:shd w:val="solid" w:color="FFFFFF" w:fill="auto"/>
        <w:autoSpaceDN w:val="0"/>
        <w:spacing w:line="580" w:lineRule="exact"/>
        <w:ind w:firstLine="645"/>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八）在矿山开发利用过程中（包括基建期和闭坑期），根据《矿产资源开发利用方案》进行开发建设所涉及占用土地、山林、道路、安全生产、环境保护、水土保持、取水等事项，由采矿权竞得人按照有关法律法规规定自行与相关单位协商处理，所产生的费用由采矿权竞得人自行承担。</w:t>
      </w:r>
    </w:p>
    <w:p w14:paraId="1BDAACC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采矿权竞得人应按照“谁开采谁治理”的原则，编制《矿山地质环境保护与土地复垦方案》，坚持“边开采、边复绿、边治理、边复垦”，履行矿山地质环境恢复治理和土地复垦义务，严格按照绿色矿山标准要求进行建设和生产，并在正式投产后2年内建成广东省绿色矿山，3年内须通过国家级绿色矿山认证，未按期通过绿色矿山建设验收的，出让方可责令其停产整顿，整改完成后方可恢复开采。</w:t>
      </w:r>
    </w:p>
    <w:p w14:paraId="4E7FB097">
      <w:pPr>
        <w:shd w:val="solid" w:color="FFFFFF" w:fill="auto"/>
        <w:autoSpaceDN w:val="0"/>
        <w:spacing w:line="58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（十）采矿权不得非法转让，不得倒卖牟利。一经发现核实，依法处以没收违法所得、罚款、吊销采矿许可证等处罚。</w:t>
      </w:r>
    </w:p>
    <w:p w14:paraId="7C44BCD4">
      <w:pPr>
        <w:pStyle w:val="2"/>
        <w:spacing w:line="58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sz w:val="32"/>
          <w:szCs w:val="32"/>
          <w:shd w:val="clear" w:color="auto" w:fill="FFFFFF"/>
        </w:rPr>
        <w:t>（十一）本次出让的资源量为一次性出让，出让期限届满或该矿区内出让的资源提前开采完毕，出让人无偿收回采矿权。矿山企业在采矿权终止之日起3个月内应进行清场，无条件关闭矿山，按规定办理采矿权注销登记手续，自行拆除相关设备以及矿区地面建筑物、构筑物等，并开展复垦复绿、矿山闭坑等工作。逾期仍未开展上述工作的，视为该矿山企业自愿放弃遗留在矿区范围内的所有资产，出让人及有关政府部门有权自行处理，无需予以补偿。</w:t>
      </w:r>
    </w:p>
    <w:p w14:paraId="0FC3345C">
      <w:pPr>
        <w:spacing w:line="580" w:lineRule="exact"/>
        <w:ind w:left="638" w:leftChars="304"/>
        <w:rPr>
          <w:rFonts w:ascii="黑体" w:hAnsi="黑体" w:eastAsia="黑体" w:cs="仿宋_GB2312"/>
          <w:sz w:val="32"/>
          <w:szCs w:val="32"/>
        </w:rPr>
      </w:pPr>
      <w:r>
        <w:rPr>
          <w:rFonts w:hint="eastAsia" w:ascii="黑体" w:hAnsi="黑体" w:eastAsia="黑体" w:cs="仿宋_GB2312"/>
          <w:sz w:val="32"/>
          <w:szCs w:val="32"/>
        </w:rPr>
        <w:t>十六、风险提示</w:t>
      </w:r>
    </w:p>
    <w:p w14:paraId="4F2557D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采矿权竞买人必须充分了解和熟悉有关矿产资源开发的法律法规及政策，因法律法规及政策变化所造成的风险由采矿权竞买人自行承担。该采矿权的《资源储量核实报告》《矿产资源开发利用方案》等已由具有相应资质的机构出具，并经主管部门组织评审备案，但有关矿体的规模、形态、储量、品位等可能与实际开采有差距，存在不可预见的风险。有意竞买人可以自行到矿区现场踏勘，出让人不统一安排现场踏勘。对此，采矿权竞买申请人应知悉并自行评估和承担风险。 </w:t>
      </w:r>
    </w:p>
    <w:p w14:paraId="29755D7E">
      <w:pPr>
        <w:pStyle w:val="5"/>
        <w:spacing w:beforeAutospacing="0" w:afterAutospacing="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自然资源部门依职权负责采矿权出让。采矿权竞得人在矿山开发利用过程中，如因涉及生产生活等配套设施范围的土地、林地等权益问题，与当地企业、村委、村小组及村民等无法达成协议，或因建设运输道路、码头、皮带廊、排土场、生产加工区和生活区等配套设施项目无法通过相关部门审批，从而导致矿山无法按期建设和生产的，采矿权竞得人自愿承担由此引起的一切风险和损失。</w:t>
      </w:r>
    </w:p>
    <w:p w14:paraId="044B16E5">
      <w:pPr>
        <w:pStyle w:val="5"/>
        <w:spacing w:beforeAutospacing="0" w:afterAutospacing="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（三）用于矿山开采及生产销售等配套设施应符合相关法律法规和部门文件规定，采矿权竞得人应自行评估投资费用。 </w:t>
      </w:r>
    </w:p>
    <w:p w14:paraId="44DA42BB">
      <w:pPr>
        <w:pStyle w:val="5"/>
        <w:spacing w:beforeAutospacing="0" w:afterAutospacing="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（四）办理采矿权登记的前置审批要件，如产能核定、环保、水利、林业等部门法律法规政策的要求，采矿权竞买申请人应充分了解，慎重决策，风险自担。 </w:t>
      </w:r>
    </w:p>
    <w:p w14:paraId="11176E16">
      <w:pPr>
        <w:pStyle w:val="5"/>
        <w:spacing w:beforeAutospacing="0" w:afterAutospacing="0"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（五）采矿权竞买申请人应详尽了解本次出让采矿权实地现状及本须知所列条件、约定等，采矿权竞买申请人缴纳竞买保证金，则视为对本次出让活动所列条款无异议并全部接受，自愿承担一切法律责任。</w:t>
      </w:r>
    </w:p>
    <w:p w14:paraId="2D4F0E94">
      <w:pPr>
        <w:pStyle w:val="17"/>
        <w:snapToGrid w:val="0"/>
        <w:spacing w:line="580" w:lineRule="exact"/>
        <w:ind w:firstLine="640" w:firstLineChars="200"/>
        <w:rPr>
          <w:rFonts w:ascii="黑体" w:hAnsi="黑体" w:eastAsia="黑体" w:cs="仿宋_GB2312"/>
        </w:rPr>
      </w:pPr>
      <w:r>
        <w:rPr>
          <w:rFonts w:hint="eastAsia" w:ascii="黑体" w:hAnsi="黑体" w:eastAsia="黑体" w:cs="仿宋_GB2312"/>
        </w:rPr>
        <w:t>十七、本须知及各相关网上挂牌</w:t>
      </w:r>
      <w:r>
        <w:rPr>
          <w:rFonts w:hint="eastAsia" w:ascii="黑体" w:hAnsi="黑体" w:eastAsia="黑体" w:cs="仿宋_GB2312"/>
          <w:kern w:val="2"/>
        </w:rPr>
        <w:t>出让</w:t>
      </w:r>
      <w:r>
        <w:rPr>
          <w:rFonts w:hint="eastAsia" w:ascii="黑体" w:hAnsi="黑体" w:eastAsia="黑体" w:cs="仿宋_GB2312"/>
        </w:rPr>
        <w:t>文件有关内容的解释权属于云浮市自然资源局和云浮市公共资源交易中心,未尽事宜依照有关规定办理。</w:t>
      </w:r>
    </w:p>
    <w:p w14:paraId="434DA665">
      <w:pPr>
        <w:pStyle w:val="17"/>
        <w:snapToGrid w:val="0"/>
        <w:spacing w:line="580" w:lineRule="exact"/>
        <w:ind w:firstLine="640" w:firstLineChars="200"/>
        <w:rPr>
          <w:rFonts w:hint="eastAsia" w:ascii="仿宋_GB2312" w:hAnsi="仿宋_GB2312" w:eastAsia="仿宋_GB2312" w:cs="仿宋_GB2312"/>
        </w:rPr>
      </w:pPr>
    </w:p>
    <w:p w14:paraId="446B8CEE">
      <w:pPr>
        <w:pStyle w:val="17"/>
        <w:widowControl/>
        <w:shd w:val="clear" w:color="auto" w:fill="FFFFFF"/>
        <w:spacing w:line="580" w:lineRule="exact"/>
        <w:jc w:val="center"/>
        <w:rPr>
          <w:rFonts w:hint="eastAsia" w:ascii="仿宋_GB2312" w:hAnsi="仿宋_GB2312" w:eastAsia="仿宋_GB2312" w:cs="仿宋_GB2312"/>
        </w:rPr>
      </w:pPr>
    </w:p>
    <w:p w14:paraId="58BAE153">
      <w:pPr>
        <w:pStyle w:val="17"/>
        <w:widowControl/>
        <w:shd w:val="clear" w:color="auto" w:fill="FFFFFF"/>
        <w:spacing w:line="580" w:lineRule="exact"/>
        <w:jc w:val="center"/>
        <w:rPr>
          <w:rFonts w:hint="eastAsia" w:ascii="仿宋_GB2312" w:hAnsi="仿宋_GB2312" w:eastAsia="仿宋_GB2312" w:cs="仿宋_GB2312"/>
        </w:rPr>
      </w:pPr>
      <w:r>
        <w:rPr>
          <w:rFonts w:hint="eastAsia" w:ascii="仿宋_GB2312" w:hAnsi="仿宋_GB2312" w:eastAsia="仿宋_GB2312" w:cs="仿宋_GB2312"/>
        </w:rPr>
        <w:t xml:space="preserve">                             云浮市自然资源局</w:t>
      </w:r>
    </w:p>
    <w:p w14:paraId="7071D952">
      <w:pPr>
        <w:pStyle w:val="16"/>
        <w:snapToGrid w:val="0"/>
        <w:spacing w:line="580" w:lineRule="exact"/>
        <w:ind w:firstLine="521" w:firstLineChars="163"/>
        <w:textAlignment w:val="baseline"/>
        <w:rPr>
          <w:rFonts w:hint="eastAsia" w:ascii="仿宋_GB2312" w:hAnsi="仿宋_GB2312" w:eastAsia="仿宋_GB2312" w:cs="仿宋_GB2312"/>
        </w:rPr>
      </w:pPr>
      <w:r>
        <w:rPr>
          <w:rFonts w:hint="eastAsia" w:ascii="仿宋_GB2312" w:hAnsi="仿宋_GB2312" w:eastAsia="仿宋_GB2312" w:cs="仿宋_GB2312"/>
        </w:rPr>
        <w:t xml:space="preserve">                               2021年12月31日</w:t>
      </w:r>
    </w:p>
    <w:p w14:paraId="1BD1FDF3">
      <w:pPr>
        <w:spacing w:line="580" w:lineRule="exact"/>
        <w:rPr>
          <w:rFonts w:hint="eastAsia" w:ascii="仿宋_GB2312" w:hAnsi="仿宋_GB2312" w:eastAsia="仿宋_GB2312" w:cs="仿宋_GB2312"/>
          <w:sz w:val="32"/>
          <w:szCs w:val="32"/>
        </w:rPr>
      </w:pPr>
    </w:p>
    <w:sectPr>
      <w:headerReference r:id="rId3" w:type="default"/>
      <w:footerReference r:id="rId4" w:type="default"/>
      <w:pgSz w:w="11906" w:h="16838"/>
      <w:pgMar w:top="1440" w:right="1587"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11511">
    <w:pPr>
      <w:pStyle w:val="3"/>
      <w:framePr w:wrap="around" w:vAnchor="text" w:hAnchor="margin" w:xAlign="center" w:yAlign="top"/>
    </w:pPr>
    <w:r>
      <w:fldChar w:fldCharType="begin"/>
    </w:r>
    <w:r>
      <w:rPr>
        <w:rStyle w:val="9"/>
      </w:rPr>
      <w:instrText xml:space="preserve"> PAGE  </w:instrText>
    </w:r>
    <w:r>
      <w:fldChar w:fldCharType="separate"/>
    </w:r>
    <w:r>
      <w:rPr>
        <w:rStyle w:val="9"/>
      </w:rPr>
      <w:t>16</w:t>
    </w:r>
    <w:r>
      <w:fldChar w:fldCharType="end"/>
    </w:r>
  </w:p>
  <w:p w14:paraId="23699B4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3F96">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0FAFA"/>
    <w:multiLevelType w:val="singleLevel"/>
    <w:tmpl w:val="8160FAFA"/>
    <w:lvl w:ilvl="0" w:tentative="0">
      <w:start w:val="1"/>
      <w:numFmt w:val="chineseCounting"/>
      <w:suff w:val="nothing"/>
      <w:lvlText w:val="（%1）"/>
      <w:lvlJc w:val="left"/>
      <w:rPr>
        <w:rFonts w:hint="eastAsia"/>
      </w:rPr>
    </w:lvl>
  </w:abstractNum>
  <w:abstractNum w:abstractNumId="1">
    <w:nsid w:val="0000000A"/>
    <w:multiLevelType w:val="singleLevel"/>
    <w:tmpl w:val="0000000A"/>
    <w:lvl w:ilvl="0" w:tentative="0">
      <w:start w:val="5"/>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0DB3DCC"/>
    <w:rsid w:val="00160468"/>
    <w:rsid w:val="003F46E3"/>
    <w:rsid w:val="005009DC"/>
    <w:rsid w:val="005576EC"/>
    <w:rsid w:val="005E5D63"/>
    <w:rsid w:val="0061704A"/>
    <w:rsid w:val="007E3933"/>
    <w:rsid w:val="008B7AA8"/>
    <w:rsid w:val="00B82578"/>
    <w:rsid w:val="00DF77DE"/>
    <w:rsid w:val="00E9491F"/>
    <w:rsid w:val="00EA0BA1"/>
    <w:rsid w:val="00ED22ED"/>
    <w:rsid w:val="00FD45A5"/>
    <w:rsid w:val="0146757F"/>
    <w:rsid w:val="03B11E64"/>
    <w:rsid w:val="12600157"/>
    <w:rsid w:val="1A673A25"/>
    <w:rsid w:val="3B3744E5"/>
    <w:rsid w:val="4377234E"/>
    <w:rsid w:val="52332A32"/>
    <w:rsid w:val="5D313130"/>
    <w:rsid w:val="6D482483"/>
    <w:rsid w:val="70DB3DCC"/>
    <w:rsid w:val="72387FE4"/>
    <w:rsid w:val="7B653038"/>
    <w:rsid w:val="7C215322"/>
    <w:rsid w:val="7F364A5D"/>
    <w:rsid w:val="7F6FA129"/>
    <w:rsid w:val="7F8796A2"/>
    <w:rsid w:val="EEFF2289"/>
    <w:rsid w:val="FFFFA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heme="minorBidi"/>
      <w:kern w:val="2"/>
      <w:sz w:val="21"/>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widowControl/>
      <w:spacing w:beforeAutospacing="1" w:afterAutospacing="1"/>
      <w:jc w:val="left"/>
    </w:pPr>
    <w:rPr>
      <w:rFonts w:ascii="宋体" w:hAnsi="宋体" w:cs="宋体"/>
      <w:kern w:val="0"/>
      <w:sz w:val="24"/>
      <w:szCs w:val="24"/>
    </w:rPr>
  </w:style>
  <w:style w:type="character" w:styleId="8">
    <w:name w:val="Strong"/>
    <w:basedOn w:val="7"/>
    <w:qFormat/>
    <w:uiPriority w:val="0"/>
    <w:rPr>
      <w:b/>
    </w:rPr>
  </w:style>
  <w:style w:type="character" w:styleId="9">
    <w:name w:val="page number"/>
    <w:basedOn w:val="7"/>
    <w:qFormat/>
    <w:uiPriority w:val="0"/>
  </w:style>
  <w:style w:type="paragraph" w:customStyle="1" w:styleId="10">
    <w:name w:val="正文 New"/>
    <w:qFormat/>
    <w:uiPriority w:val="0"/>
    <w:pPr>
      <w:widowControl w:val="0"/>
      <w:adjustRightInd w:val="0"/>
      <w:spacing w:line="312" w:lineRule="atLeast"/>
      <w:jc w:val="both"/>
    </w:pPr>
    <w:rPr>
      <w:rFonts w:ascii="Times New Roman" w:hAnsi="Times New Roman" w:eastAsia="方正仿宋简体" w:cstheme="minorBidi"/>
      <w:sz w:val="32"/>
      <w:szCs w:val="32"/>
      <w:lang w:val="en-US" w:eastAsia="zh-CN" w:bidi="ar-SA"/>
    </w:rPr>
  </w:style>
  <w:style w:type="paragraph" w:customStyle="1" w:styleId="11">
    <w:name w:val="正文 New New"/>
    <w:qFormat/>
    <w:uiPriority w:val="0"/>
    <w:pPr>
      <w:widowControl w:val="0"/>
      <w:adjustRightInd w:val="0"/>
      <w:spacing w:line="312" w:lineRule="atLeast"/>
      <w:jc w:val="both"/>
    </w:pPr>
    <w:rPr>
      <w:rFonts w:ascii="Times New Roman" w:hAnsi="Times New Roman" w:eastAsia="方正仿宋简体" w:cstheme="minorBidi"/>
      <w:sz w:val="32"/>
      <w:szCs w:val="32"/>
      <w:lang w:val="en-US" w:eastAsia="zh-CN" w:bidi="ar-SA"/>
    </w:rPr>
  </w:style>
  <w:style w:type="paragraph" w:customStyle="1" w:styleId="12">
    <w:name w:val="正文 New New New New"/>
    <w:qFormat/>
    <w:uiPriority w:val="0"/>
    <w:pPr>
      <w:widowControl w:val="0"/>
      <w:adjustRightInd w:val="0"/>
      <w:spacing w:line="312" w:lineRule="atLeast"/>
      <w:jc w:val="both"/>
    </w:pPr>
    <w:rPr>
      <w:rFonts w:ascii="Times New Roman" w:hAnsi="Times New Roman" w:eastAsia="方正仿宋简体" w:cstheme="minorBidi"/>
      <w:sz w:val="32"/>
      <w:szCs w:val="32"/>
      <w:lang w:val="en-US" w:eastAsia="zh-CN" w:bidi="ar-SA"/>
    </w:rPr>
  </w:style>
  <w:style w:type="character" w:customStyle="1" w:styleId="13">
    <w:name w:val="超链接 New"/>
    <w:basedOn w:val="7"/>
    <w:qFormat/>
    <w:uiPriority w:val="0"/>
    <w:rPr>
      <w:rFonts w:cs="Times New Roman"/>
      <w:color w:val="003366"/>
      <w:u w:val="none"/>
    </w:rPr>
  </w:style>
  <w:style w:type="paragraph" w:customStyle="1" w:styleId="14">
    <w:name w:val="Char Char Char"/>
    <w:basedOn w:val="15"/>
    <w:qFormat/>
    <w:uiPriority w:val="0"/>
  </w:style>
  <w:style w:type="paragraph" w:customStyle="1" w:styleId="15">
    <w:name w:val="正文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6">
    <w:name w:val="正文 New New New New New"/>
    <w:qFormat/>
    <w:uiPriority w:val="0"/>
    <w:pPr>
      <w:widowControl w:val="0"/>
      <w:adjustRightInd w:val="0"/>
      <w:spacing w:line="312" w:lineRule="atLeast"/>
      <w:jc w:val="both"/>
    </w:pPr>
    <w:rPr>
      <w:rFonts w:ascii="Times New Roman" w:hAnsi="Times New Roman" w:eastAsia="方正仿宋简体" w:cstheme="minorBidi"/>
      <w:sz w:val="32"/>
      <w:szCs w:val="32"/>
      <w:lang w:val="en-US" w:eastAsia="zh-CN" w:bidi="ar-SA"/>
    </w:rPr>
  </w:style>
  <w:style w:type="paragraph" w:customStyle="1" w:styleId="17">
    <w:name w:val="正文 New New New New New New"/>
    <w:qFormat/>
    <w:uiPriority w:val="0"/>
    <w:pPr>
      <w:widowControl w:val="0"/>
      <w:adjustRightInd w:val="0"/>
      <w:spacing w:line="312" w:lineRule="atLeast"/>
      <w:jc w:val="both"/>
    </w:pPr>
    <w:rPr>
      <w:rFonts w:ascii="Times New Roman" w:hAnsi="Times New Roman" w:eastAsia="方正仿宋简体" w:cstheme="minorBidi"/>
      <w:sz w:val="32"/>
      <w:szCs w:val="32"/>
      <w:lang w:val="en-US" w:eastAsia="zh-CN" w:bidi="ar-SA"/>
    </w:rPr>
  </w:style>
  <w:style w:type="paragraph" w:customStyle="1" w:styleId="18">
    <w:name w:val="正文 New New New New New New New New New New New New"/>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9">
    <w:name w:val="正文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0">
    <w:name w:val="正文 New New New New New New New"/>
    <w:qFormat/>
    <w:uiPriority w:val="0"/>
    <w:pPr>
      <w:widowControl w:val="0"/>
      <w:jc w:val="both"/>
    </w:pPr>
    <w:rPr>
      <w:rFonts w:ascii="Times New Roman" w:hAnsi="Times New Roman" w:eastAsia="宋体" w:cstheme="minorBidi"/>
      <w:kern w:val="2"/>
      <w:sz w:val="21"/>
      <w:lang w:val="en-US" w:eastAsia="zh-CN" w:bidi="ar-SA"/>
    </w:rPr>
  </w:style>
  <w:style w:type="paragraph" w:customStyle="1" w:styleId="21">
    <w:name w:val="普通(网站)1"/>
    <w:basedOn w:val="1"/>
    <w:qFormat/>
    <w:uiPriority w:val="0"/>
    <w:pPr>
      <w:widowControl/>
      <w:jc w:val="left"/>
    </w:pPr>
    <w:rPr>
      <w:rFonts w:hint="eastAsia" w:ascii="宋体" w:hAnsi="宋体" w:cs="宋体"/>
      <w:kern w:val="0"/>
      <w:sz w:val="24"/>
      <w:szCs w:val="24"/>
    </w:rPr>
  </w:style>
  <w:style w:type="character" w:customStyle="1" w:styleId="22">
    <w:name w:val="页码1"/>
    <w:basedOn w:val="7"/>
    <w:qFormat/>
    <w:uiPriority w:val="0"/>
  </w:style>
  <w:style w:type="character" w:customStyle="1" w:styleId="23">
    <w:name w:val="UserStyle_4"/>
    <w:qFormat/>
    <w:uiPriority w:val="0"/>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8036</Words>
  <Characters>9098</Characters>
  <Lines>68</Lines>
  <Paragraphs>19</Paragraphs>
  <TotalTime>73</TotalTime>
  <ScaleCrop>false</ScaleCrop>
  <LinksUpToDate>false</LinksUpToDate>
  <CharactersWithSpaces>9191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2021-12-17T09:26:00Z</dcterms:created>
  <dc:creator>Administrator</dc:creator>
  <cp:lastModifiedBy>tony</cp:lastModifiedBy>
  <cp:lastPrinted>2021-12-30T17:20:00Z</cp:lastPrinted>
  <dcterms:modified xsi:type="dcterms:W3CDTF">2026-09-02T09:08:08Z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C11B55FC7060418BB17F479518596BC6</vt:lpwstr>
  </property>
  <property fmtid="{D5CDD505-2E9C-101B-9397-08002B2CF9AE}" pid="4" name="KSOTemplateDocerSaveRecord">
    <vt:lpwstr>eyJoZGlkIjoiODIzNTIxMTNlY2E0YzVhMTM0MmNiMTdmMWZlYjRjMjMiLCJ1c2VySWQiOiIzMjY4MzgxODUifQ==</vt:lpwstr>
  </property>
</Properties>
</file>