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A4155">
      <w:pPr>
        <w:pStyle w:val="7"/>
        <w:spacing w:line="600" w:lineRule="exact"/>
        <w:jc w:val="center"/>
        <w:rPr>
          <w:rFonts w:hint="eastAsia" w:ascii="方正小标宋简体" w:hAnsi="方正小标宋简体" w:eastAsia="方正小标宋简体" w:cs="方正小标宋简体"/>
          <w:color w:val="000000"/>
          <w:sz w:val="44"/>
          <w:szCs w:val="44"/>
          <w:highlight w:val="none"/>
          <w:u w:val="none" w:color="auto"/>
        </w:rPr>
      </w:pPr>
      <w:r>
        <w:rPr>
          <w:rFonts w:hint="eastAsia" w:ascii="方正小标宋简体" w:hAnsi="方正小标宋简体" w:eastAsia="方正小标宋简体" w:cs="方正小标宋简体"/>
          <w:color w:val="000000"/>
          <w:kern w:val="0"/>
          <w:sz w:val="44"/>
          <w:szCs w:val="44"/>
          <w:highlight w:val="none"/>
          <w:u w:val="none" w:color="auto"/>
        </w:rPr>
        <w:t>云浮市教育发展“十</w:t>
      </w:r>
      <w:r>
        <w:rPr>
          <w:rFonts w:hint="eastAsia" w:ascii="方正小标宋简体" w:hAnsi="方正小标宋简体" w:eastAsia="方正小标宋简体" w:cs="方正小标宋简体"/>
          <w:color w:val="000000"/>
          <w:kern w:val="0"/>
          <w:sz w:val="44"/>
          <w:szCs w:val="44"/>
          <w:highlight w:val="none"/>
          <w:u w:val="none" w:color="auto"/>
          <w:lang w:eastAsia="zh-CN"/>
        </w:rPr>
        <w:t>五</w:t>
      </w:r>
      <w:r>
        <w:rPr>
          <w:rFonts w:hint="eastAsia" w:ascii="方正小标宋简体" w:hAnsi="方正小标宋简体" w:eastAsia="方正小标宋简体" w:cs="方正小标宋简体"/>
          <w:color w:val="000000"/>
          <w:kern w:val="0"/>
          <w:sz w:val="44"/>
          <w:szCs w:val="44"/>
          <w:highlight w:val="none"/>
          <w:u w:val="none" w:color="auto"/>
        </w:rPr>
        <w:t>五”规划</w:t>
      </w:r>
    </w:p>
    <w:p w14:paraId="0D081F16">
      <w:pPr>
        <w:pStyle w:val="8"/>
        <w:spacing w:line="570" w:lineRule="exact"/>
        <w:jc w:val="center"/>
        <w:rPr>
          <w:rFonts w:hint="eastAsia" w:ascii="Times New Roman" w:hAnsi="Times New Roman" w:eastAsia="仿宋_GB2312"/>
          <w:color w:val="000000"/>
          <w:sz w:val="32"/>
          <w:szCs w:val="32"/>
          <w:highlight w:val="none"/>
          <w:u w:val="none" w:color="auto"/>
          <w:lang w:val="en-US" w:eastAsia="zh-CN"/>
        </w:rPr>
      </w:pPr>
      <w:r>
        <w:rPr>
          <w:rFonts w:hint="eastAsia" w:ascii="Times New Roman" w:hAnsi="Times New Roman" w:eastAsia="仿宋_GB2312"/>
          <w:color w:val="000000"/>
          <w:sz w:val="32"/>
          <w:szCs w:val="32"/>
          <w:highlight w:val="none"/>
          <w:u w:val="none" w:color="auto"/>
          <w:lang w:val="en-US" w:eastAsia="zh-CN"/>
        </w:rPr>
        <w:t>（2026年8月28日稿）</w:t>
      </w:r>
    </w:p>
    <w:p w14:paraId="100DCB75">
      <w:pPr>
        <w:pStyle w:val="8"/>
        <w:spacing w:line="570" w:lineRule="exact"/>
        <w:ind w:firstLine="420"/>
        <w:rPr>
          <w:rFonts w:ascii="Times New Roman" w:hAnsi="Times New Roman" w:eastAsia="仿宋_GB2312"/>
          <w:color w:val="000000"/>
          <w:sz w:val="32"/>
          <w:szCs w:val="32"/>
          <w:highlight w:val="none"/>
          <w:u w:val="none" w:color="auto"/>
        </w:rPr>
      </w:pPr>
    </w:p>
    <w:p w14:paraId="00C49C05">
      <w:pPr>
        <w:pStyle w:val="9"/>
        <w:keepNext w:val="0"/>
        <w:keepLines w:val="0"/>
        <w:pageBreakBefore w:val="0"/>
        <w:widowControl w:val="0"/>
        <w:kinsoku/>
        <w:wordWrap/>
        <w:overflowPunct/>
        <w:topLinePunct w:val="0"/>
        <w:autoSpaceDE/>
        <w:autoSpaceDN/>
        <w:bidi w:val="0"/>
        <w:snapToGrid/>
        <w:spacing w:before="0" w:beforeLines="0" w:after="0" w:afterLines="0" w:line="240" w:lineRule="auto"/>
        <w:ind w:firstLine="640" w:firstLineChars="200"/>
        <w:textAlignment w:val="auto"/>
        <w:rPr>
          <w:rFonts w:ascii="Times New Roman" w:hAnsi="Times New Roman" w:eastAsia="仿宋_GB2312"/>
          <w:color w:val="000000"/>
          <w:sz w:val="36"/>
          <w:szCs w:val="36"/>
          <w:highlight w:val="none"/>
          <w:u w:val="none" w:color="auto"/>
        </w:rPr>
      </w:pPr>
      <w:bookmarkStart w:id="0" w:name="_Toc3190"/>
      <w:bookmarkStart w:id="1" w:name="_Toc6737"/>
      <w:bookmarkStart w:id="2" w:name="_Toc18895"/>
      <w:bookmarkStart w:id="3" w:name="_Toc24153"/>
      <w:r>
        <w:rPr>
          <w:rFonts w:hint="default" w:ascii="Times New Roman" w:hAnsi="Times New Roman" w:eastAsia="仿宋_GB2312"/>
          <w:b w:val="0"/>
          <w:bCs w:val="0"/>
          <w:color w:val="000000"/>
          <w:sz w:val="32"/>
          <w:highlight w:val="none"/>
          <w:u w:val="none" w:color="auto"/>
        </w:rPr>
        <w:t>为建设高质量教育体系、</w:t>
      </w:r>
      <w:r>
        <w:rPr>
          <w:rFonts w:hint="eastAsia" w:ascii="Times New Roman" w:hAnsi="Times New Roman" w:eastAsia="仿宋_GB2312"/>
          <w:b w:val="0"/>
          <w:bCs w:val="0"/>
          <w:color w:val="000000"/>
          <w:sz w:val="32"/>
          <w:highlight w:val="none"/>
          <w:u w:val="none" w:color="auto"/>
          <w:lang w:eastAsia="zh-CN"/>
        </w:rPr>
        <w:t>打造教育强市</w:t>
      </w:r>
      <w:r>
        <w:rPr>
          <w:rFonts w:hint="default" w:ascii="Times New Roman" w:hAnsi="Times New Roman" w:eastAsia="仿宋_GB2312"/>
          <w:b w:val="0"/>
          <w:bCs w:val="0"/>
          <w:color w:val="000000"/>
          <w:sz w:val="32"/>
          <w:highlight w:val="none"/>
          <w:u w:val="none" w:color="auto"/>
        </w:rPr>
        <w:t>，根据《教育强国建设规划纲要（2024－2035年）》《教育发展</w:t>
      </w:r>
      <w:r>
        <w:rPr>
          <w:rFonts w:ascii="Times New Roman" w:hAnsi="Times New Roman" w:eastAsia="仿宋_GB2312"/>
          <w:b w:val="0"/>
          <w:bCs w:val="0"/>
          <w:color w:val="000000"/>
          <w:sz w:val="32"/>
          <w:highlight w:val="none"/>
          <w:u w:val="none" w:color="auto"/>
        </w:rPr>
        <w:t>“</w:t>
      </w:r>
      <w:r>
        <w:rPr>
          <w:rFonts w:hint="default" w:ascii="Times New Roman" w:hAnsi="Times New Roman" w:eastAsia="仿宋_GB2312"/>
          <w:b w:val="0"/>
          <w:bCs w:val="0"/>
          <w:color w:val="000000"/>
          <w:sz w:val="32"/>
          <w:highlight w:val="none"/>
          <w:u w:val="none" w:color="auto"/>
        </w:rPr>
        <w:t>十</w:t>
      </w:r>
      <w:r>
        <w:rPr>
          <w:rFonts w:hint="eastAsia" w:ascii="Times New Roman" w:hAnsi="Times New Roman" w:eastAsia="仿宋_GB2312"/>
          <w:b w:val="0"/>
          <w:bCs w:val="0"/>
          <w:color w:val="000000"/>
          <w:sz w:val="32"/>
          <w:highlight w:val="none"/>
          <w:u w:val="none" w:color="auto"/>
          <w:lang w:val="en-US" w:eastAsia="zh-CN"/>
        </w:rPr>
        <w:t>五</w:t>
      </w:r>
      <w:r>
        <w:rPr>
          <w:rFonts w:hint="default" w:ascii="Times New Roman" w:hAnsi="Times New Roman" w:eastAsia="仿宋_GB2312"/>
          <w:b w:val="0"/>
          <w:bCs w:val="0"/>
          <w:color w:val="000000"/>
          <w:sz w:val="32"/>
          <w:highlight w:val="none"/>
          <w:u w:val="none" w:color="auto"/>
        </w:rPr>
        <w:t>五</w:t>
      </w:r>
      <w:r>
        <w:rPr>
          <w:rFonts w:ascii="Times New Roman" w:hAnsi="Times New Roman" w:eastAsia="仿宋_GB2312"/>
          <w:b w:val="0"/>
          <w:bCs w:val="0"/>
          <w:color w:val="000000"/>
          <w:sz w:val="32"/>
          <w:highlight w:val="none"/>
          <w:u w:val="none" w:color="auto"/>
        </w:rPr>
        <w:t>”</w:t>
      </w:r>
      <w:r>
        <w:rPr>
          <w:rFonts w:hint="default" w:ascii="Times New Roman" w:hAnsi="Times New Roman" w:eastAsia="仿宋_GB2312"/>
          <w:b w:val="0"/>
          <w:bCs w:val="0"/>
          <w:color w:val="000000"/>
          <w:sz w:val="32"/>
          <w:highlight w:val="none"/>
          <w:u w:val="none" w:color="auto"/>
        </w:rPr>
        <w:t>规划》《广东省教育发展</w:t>
      </w:r>
      <w:r>
        <w:rPr>
          <w:rFonts w:ascii="Times New Roman" w:hAnsi="Times New Roman" w:eastAsia="仿宋_GB2312"/>
          <w:b w:val="0"/>
          <w:bCs w:val="0"/>
          <w:color w:val="000000"/>
          <w:sz w:val="32"/>
          <w:highlight w:val="none"/>
          <w:u w:val="none" w:color="auto"/>
        </w:rPr>
        <w:t>“</w:t>
      </w:r>
      <w:r>
        <w:rPr>
          <w:rFonts w:hint="default" w:ascii="Times New Roman" w:hAnsi="Times New Roman" w:eastAsia="仿宋_GB2312"/>
          <w:b w:val="0"/>
          <w:bCs w:val="0"/>
          <w:color w:val="000000"/>
          <w:sz w:val="32"/>
          <w:highlight w:val="none"/>
          <w:u w:val="none" w:color="auto"/>
        </w:rPr>
        <w:t>十</w:t>
      </w:r>
      <w:r>
        <w:rPr>
          <w:rFonts w:hint="eastAsia" w:ascii="Times New Roman" w:hAnsi="Times New Roman" w:eastAsia="仿宋_GB2312"/>
          <w:b w:val="0"/>
          <w:bCs w:val="0"/>
          <w:color w:val="000000"/>
          <w:sz w:val="32"/>
          <w:highlight w:val="none"/>
          <w:u w:val="none" w:color="auto"/>
          <w:lang w:val="en-US" w:eastAsia="zh-CN"/>
        </w:rPr>
        <w:t>五</w:t>
      </w:r>
      <w:r>
        <w:rPr>
          <w:rFonts w:hint="default" w:ascii="Times New Roman" w:hAnsi="Times New Roman" w:eastAsia="仿宋_GB2312"/>
          <w:b w:val="0"/>
          <w:bCs w:val="0"/>
          <w:color w:val="000000"/>
          <w:sz w:val="32"/>
          <w:highlight w:val="none"/>
          <w:u w:val="none" w:color="auto"/>
        </w:rPr>
        <w:t>五</w:t>
      </w:r>
      <w:r>
        <w:rPr>
          <w:rFonts w:ascii="Times New Roman" w:hAnsi="Times New Roman" w:eastAsia="仿宋_GB2312"/>
          <w:b w:val="0"/>
          <w:bCs w:val="0"/>
          <w:color w:val="000000"/>
          <w:sz w:val="32"/>
          <w:highlight w:val="none"/>
          <w:u w:val="none" w:color="auto"/>
        </w:rPr>
        <w:t>”</w:t>
      </w:r>
      <w:r>
        <w:rPr>
          <w:rFonts w:hint="default" w:ascii="Times New Roman" w:hAnsi="Times New Roman" w:eastAsia="仿宋_GB2312"/>
          <w:b w:val="0"/>
          <w:bCs w:val="0"/>
          <w:color w:val="000000"/>
          <w:sz w:val="32"/>
          <w:highlight w:val="none"/>
          <w:u w:val="none" w:color="auto"/>
        </w:rPr>
        <w:t>规划》和《云浮市国民经济和社会发展第十五个五年规划纲要》等文件精神，制定</w:t>
      </w:r>
      <w:r>
        <w:rPr>
          <w:rFonts w:hint="eastAsia" w:ascii="Times New Roman" w:hAnsi="Times New Roman" w:eastAsia="仿宋_GB2312"/>
          <w:b w:val="0"/>
          <w:bCs w:val="0"/>
          <w:color w:val="000000"/>
          <w:sz w:val="32"/>
          <w:highlight w:val="none"/>
          <w:u w:val="none" w:color="auto"/>
          <w:lang w:eastAsia="zh-CN"/>
        </w:rPr>
        <w:t>全</w:t>
      </w:r>
      <w:r>
        <w:rPr>
          <w:rFonts w:hint="default" w:ascii="Times New Roman" w:hAnsi="Times New Roman" w:eastAsia="仿宋_GB2312"/>
          <w:b w:val="0"/>
          <w:bCs w:val="0"/>
          <w:color w:val="000000"/>
          <w:sz w:val="32"/>
          <w:highlight w:val="none"/>
          <w:u w:val="none" w:color="auto"/>
        </w:rPr>
        <w:t>市教育发展“十五五”规划。</w:t>
      </w:r>
      <w:bookmarkEnd w:id="0"/>
      <w:bookmarkEnd w:id="1"/>
      <w:bookmarkEnd w:id="2"/>
      <w:bookmarkEnd w:id="3"/>
    </w:p>
    <w:p w14:paraId="594D098F">
      <w:pPr>
        <w:pStyle w:val="10"/>
        <w:keepNext w:val="0"/>
        <w:keepLines w:val="0"/>
        <w:pageBreakBefore w:val="0"/>
        <w:widowControl w:val="0"/>
        <w:kinsoku/>
        <w:wordWrap/>
        <w:overflowPunct/>
        <w:topLinePunct w:val="0"/>
        <w:autoSpaceDE/>
        <w:autoSpaceDN/>
        <w:bidi w:val="0"/>
        <w:snapToGrid/>
        <w:spacing w:before="0" w:beforeLines="0" w:after="0" w:afterLines="0" w:line="240" w:lineRule="auto"/>
        <w:ind w:firstLine="640" w:firstLineChars="200"/>
        <w:textAlignment w:val="auto"/>
        <w:rPr>
          <w:rFonts w:hint="default" w:ascii="Times New Roman" w:hAnsi="Times New Roman" w:eastAsia="黑体"/>
          <w:b w:val="0"/>
          <w:bCs/>
          <w:i w:val="0"/>
          <w:color w:val="000000"/>
          <w:sz w:val="32"/>
          <w:szCs w:val="28"/>
          <w:highlight w:val="none"/>
          <w:u w:val="none" w:color="auto"/>
        </w:rPr>
      </w:pPr>
      <w:bookmarkStart w:id="4" w:name="_Toc324"/>
      <w:bookmarkStart w:id="5" w:name="_Toc13479"/>
      <w:bookmarkStart w:id="6" w:name="_Toc18272"/>
      <w:bookmarkStart w:id="7" w:name="_Toc11936"/>
      <w:bookmarkStart w:id="8" w:name="_Toc28784"/>
      <w:bookmarkStart w:id="9" w:name="_Toc6345"/>
      <w:bookmarkStart w:id="10" w:name="_Toc23616"/>
      <w:bookmarkStart w:id="11" w:name="_Toc4643"/>
      <w:bookmarkStart w:id="12" w:name="_Toc18572"/>
      <w:bookmarkStart w:id="13" w:name="_Toc26281"/>
      <w:bookmarkStart w:id="14" w:name="_Toc7004"/>
      <w:bookmarkStart w:id="15" w:name="_Toc118068106"/>
      <w:r>
        <w:rPr>
          <w:rFonts w:hint="eastAsia" w:ascii="Times New Roman" w:hAnsi="Times New Roman" w:eastAsia="黑体"/>
          <w:b w:val="0"/>
          <w:bCs/>
          <w:i w:val="0"/>
          <w:color w:val="000000"/>
          <w:sz w:val="32"/>
          <w:szCs w:val="28"/>
          <w:highlight w:val="none"/>
          <w:u w:val="none" w:color="auto"/>
          <w:lang w:eastAsia="zh-CN"/>
        </w:rPr>
        <w:t>一、总体要求</w:t>
      </w:r>
      <w:bookmarkEnd w:id="4"/>
      <w:bookmarkEnd w:id="5"/>
      <w:bookmarkEnd w:id="6"/>
      <w:bookmarkEnd w:id="7"/>
      <w:bookmarkEnd w:id="8"/>
      <w:bookmarkEnd w:id="9"/>
      <w:bookmarkEnd w:id="10"/>
      <w:bookmarkEnd w:id="11"/>
      <w:bookmarkEnd w:id="12"/>
      <w:bookmarkEnd w:id="13"/>
      <w:bookmarkEnd w:id="14"/>
      <w:bookmarkEnd w:id="15"/>
    </w:p>
    <w:p w14:paraId="44EAFD1D">
      <w:pPr>
        <w:keepNext w:val="0"/>
        <w:keepLines w:val="0"/>
        <w:pageBreakBefore w:val="0"/>
        <w:widowControl w:val="0"/>
        <w:tabs>
          <w:tab w:val="left" w:pos="3520"/>
        </w:tabs>
        <w:kinsoku/>
        <w:wordWrap/>
        <w:overflowPunct/>
        <w:topLinePunct w:val="0"/>
        <w:autoSpaceDE/>
        <w:autoSpaceDN/>
        <w:bidi w:val="0"/>
        <w:adjustRightInd w:val="0"/>
        <w:snapToGrid/>
        <w:spacing w:line="240" w:lineRule="auto"/>
        <w:ind w:firstLine="640" w:firstLineChars="200"/>
        <w:textAlignment w:val="auto"/>
        <w:rPr>
          <w:rFonts w:hint="eastAsia" w:ascii="仿宋_GB2312" w:hAnsi="仿宋_GB2312" w:eastAsia="仿宋_GB2312"/>
          <w:color w:val="000000"/>
          <w:sz w:val="32"/>
          <w:highlight w:val="none"/>
          <w:u w:val="none" w:color="auto"/>
          <w:lang w:val="en-US" w:eastAsia="zh-CN"/>
        </w:rPr>
      </w:pPr>
      <w:r>
        <w:rPr>
          <w:rFonts w:hint="eastAsia" w:ascii="仿宋_GB2312" w:hAnsi="仿宋_GB2312" w:eastAsia="仿宋_GB2312"/>
          <w:color w:val="000000"/>
          <w:sz w:val="32"/>
          <w:highlight w:val="none"/>
          <w:u w:val="none" w:color="auto"/>
          <w:lang w:val="en-US" w:eastAsia="zh-CN"/>
        </w:rPr>
        <w:t>以习近平新时代中国特色社会主义思想为指导，全面贯彻党的二十大及二十届历次全会精神，</w:t>
      </w:r>
      <w:r>
        <w:rPr>
          <w:rFonts w:hint="default" w:ascii="Times New Roman" w:hAnsi="Times New Roman" w:eastAsia="仿宋_GB2312"/>
          <w:color w:val="000000"/>
          <w:sz w:val="32"/>
          <w:szCs w:val="24"/>
          <w:highlight w:val="none"/>
          <w:u w:val="none" w:color="auto"/>
        </w:rPr>
        <w:t>全面落实习近平总书记关于教育的重要论述，全面贯彻党的教育方针，坚定不移走中国特色社会主义教育发展道路，坚持社会主义办学方向，全面把握教育的政治属性、人民属性、战略属性，锚定建设教育强市和办好人民满意教育的目标</w:t>
      </w:r>
      <w:r>
        <w:rPr>
          <w:rFonts w:hint="eastAsia" w:ascii="Times New Roman" w:hAnsi="Times New Roman" w:eastAsia="仿宋_GB2312"/>
          <w:color w:val="000000"/>
          <w:sz w:val="32"/>
          <w:szCs w:val="24"/>
          <w:highlight w:val="none"/>
          <w:u w:val="none" w:color="auto"/>
          <w:lang w:eastAsia="zh-CN"/>
        </w:rPr>
        <w:t>，</w:t>
      </w:r>
      <w:r>
        <w:rPr>
          <w:rFonts w:hint="eastAsia" w:ascii="仿宋_GB2312" w:hAnsi="仿宋_GB2312" w:eastAsia="仿宋_GB2312"/>
          <w:color w:val="000000"/>
          <w:sz w:val="32"/>
          <w:highlight w:val="none"/>
          <w:u w:val="none" w:color="auto"/>
          <w:lang w:val="en-US" w:eastAsia="zh-CN"/>
        </w:rPr>
        <w:t>塑造立德树人新格局，健全与人口变化相适应的基础教育资源统筹调配机制，加快建设现代职业教育体系，打造新时代高素质教师队伍，持续深化教育综合改革，培养在社会主义现代化建设中可堪大用、能担重任的栋梁之才，为奋进第二个“云浮30年”提供人才保障和智力支持。</w:t>
      </w:r>
    </w:p>
    <w:p w14:paraId="137A140A">
      <w:pPr>
        <w:pStyle w:val="8"/>
        <w:keepNext w:val="0"/>
        <w:keepLines w:val="0"/>
        <w:pageBreakBefore w:val="0"/>
        <w:widowControl w:val="0"/>
        <w:kinsoku/>
        <w:wordWrap/>
        <w:overflowPunct/>
        <w:topLinePunct w:val="0"/>
        <w:autoSpaceDE/>
        <w:autoSpaceDN/>
        <w:bidi w:val="0"/>
        <w:snapToGrid/>
        <w:spacing w:line="240" w:lineRule="auto"/>
        <w:ind w:firstLine="640"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color w:val="000000"/>
          <w:sz w:val="32"/>
          <w:szCs w:val="24"/>
          <w:highlight w:val="none"/>
          <w:u w:val="none" w:color="auto"/>
        </w:rPr>
        <w:t>到2030年，全市各级各类教育协调发展，教育发展整体水平显著提升，教育治理制度更健全、公共教育体系更优化、教育综合保障更全面，“五育并举”的培养体系更完善，具有云浮特色的高质量教育体系基本构成，教育服务经济社会高质量发展能力显著增强，教育现代化、教育综合实力争先进位，完成全国义务教育优质均衡发展县和学前教育普及普惠县</w:t>
      </w:r>
      <w:r>
        <w:rPr>
          <w:rFonts w:hint="eastAsia" w:ascii="Times New Roman" w:hAnsi="Times New Roman" w:eastAsia="仿宋_GB2312"/>
          <w:color w:val="000000"/>
          <w:sz w:val="32"/>
          <w:szCs w:val="24"/>
          <w:highlight w:val="none"/>
          <w:u w:val="none" w:color="auto"/>
          <w:lang w:eastAsia="zh-CN"/>
        </w:rPr>
        <w:t>建设</w:t>
      </w:r>
      <w:r>
        <w:rPr>
          <w:rFonts w:hint="eastAsia" w:ascii="Times New Roman" w:hAnsi="Times New Roman" w:eastAsia="仿宋_GB2312"/>
          <w:color w:val="000000"/>
          <w:sz w:val="32"/>
          <w:szCs w:val="24"/>
          <w:highlight w:val="none"/>
          <w:u w:val="none" w:color="auto"/>
        </w:rPr>
        <w:t>全覆盖，教育竞争力和影响力在粤东粤西粤北地区中有更大优势，更好地满足人民群众对教育多样化的需求。</w:t>
      </w:r>
    </w:p>
    <w:p w14:paraId="2EE69C41">
      <w:pPr>
        <w:pStyle w:val="8"/>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color w:val="000000"/>
          <w:sz w:val="36"/>
          <w:szCs w:val="28"/>
          <w:highlight w:val="none"/>
          <w:u w:val="none" w:color="auto"/>
          <w:lang w:eastAsia="zh-CN"/>
        </w:rPr>
      </w:pPr>
      <w:r>
        <w:rPr>
          <w:rFonts w:hint="eastAsia" w:ascii="方正小标宋简体" w:hAnsi="方正小标宋简体" w:eastAsia="方正小标宋简体" w:cs="方正小标宋简体"/>
          <w:color w:val="000000"/>
          <w:sz w:val="36"/>
          <w:szCs w:val="28"/>
          <w:highlight w:val="none"/>
          <w:u w:val="none" w:color="auto"/>
          <w:lang w:eastAsia="zh-CN"/>
        </w:rPr>
        <w:t>“十五五”时期云浮教育事业发展主要目标</w:t>
      </w:r>
    </w:p>
    <w:tbl>
      <w:tblPr>
        <w:tblStyle w:val="4"/>
        <w:tblW w:w="9342" w:type="dxa"/>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47"/>
        <w:gridCol w:w="4907"/>
        <w:gridCol w:w="1123"/>
        <w:gridCol w:w="1246"/>
        <w:gridCol w:w="1319"/>
      </w:tblGrid>
      <w:tr w14:paraId="5026F6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tblHeader/>
          <w:tblCellSpacing w:w="0" w:type="dxa"/>
          <w:jc w:val="center"/>
        </w:trPr>
        <w:tc>
          <w:tcPr>
            <w:tcW w:w="5654" w:type="dxa"/>
            <w:gridSpan w:val="2"/>
            <w:tcBorders>
              <w:tl2br w:val="nil"/>
              <w:tr2bl w:val="nil"/>
            </w:tcBorders>
            <w:noWrap w:val="0"/>
            <w:vAlign w:val="center"/>
          </w:tcPr>
          <w:p w14:paraId="52712645">
            <w:pPr>
              <w:pStyle w:val="8"/>
              <w:adjustRightInd w:val="0"/>
              <w:snapToGrid w:val="0"/>
              <w:spacing w:line="400" w:lineRule="exact"/>
              <w:jc w:val="center"/>
              <w:rPr>
                <w:rFonts w:ascii="Times New Roman" w:hAnsi="Times New Roman" w:eastAsia="黑体"/>
                <w:b w:val="0"/>
                <w:bCs/>
                <w:color w:val="000000"/>
                <w:sz w:val="24"/>
                <w:szCs w:val="24"/>
              </w:rPr>
            </w:pPr>
            <w:r>
              <w:rPr>
                <w:rFonts w:ascii="Times New Roman" w:hAnsi="Times New Roman" w:eastAsia="黑体"/>
                <w:b w:val="0"/>
                <w:bCs/>
                <w:color w:val="000000"/>
                <w:kern w:val="0"/>
                <w:sz w:val="24"/>
                <w:szCs w:val="24"/>
              </w:rPr>
              <w:t>指 标</w:t>
            </w:r>
          </w:p>
        </w:tc>
        <w:tc>
          <w:tcPr>
            <w:tcW w:w="1123" w:type="dxa"/>
            <w:tcBorders>
              <w:tl2br w:val="nil"/>
              <w:tr2bl w:val="nil"/>
            </w:tcBorders>
            <w:noWrap w:val="0"/>
            <w:vAlign w:val="center"/>
          </w:tcPr>
          <w:p w14:paraId="4D604461">
            <w:pPr>
              <w:pStyle w:val="8"/>
              <w:adjustRightInd w:val="0"/>
              <w:snapToGrid w:val="0"/>
              <w:spacing w:line="400" w:lineRule="exact"/>
              <w:jc w:val="center"/>
              <w:rPr>
                <w:rFonts w:ascii="Times New Roman" w:hAnsi="Times New Roman" w:eastAsia="黑体"/>
                <w:b w:val="0"/>
                <w:bCs/>
                <w:color w:val="000000"/>
                <w:kern w:val="0"/>
                <w:sz w:val="24"/>
                <w:szCs w:val="24"/>
              </w:rPr>
            </w:pPr>
            <w:r>
              <w:rPr>
                <w:rFonts w:ascii="Times New Roman" w:hAnsi="Times New Roman" w:eastAsia="黑体"/>
                <w:b w:val="0"/>
                <w:bCs/>
                <w:color w:val="000000"/>
                <w:kern w:val="0"/>
                <w:sz w:val="24"/>
                <w:szCs w:val="24"/>
              </w:rPr>
              <w:t>2025年</w:t>
            </w:r>
          </w:p>
        </w:tc>
        <w:tc>
          <w:tcPr>
            <w:tcW w:w="1246" w:type="dxa"/>
            <w:tcBorders>
              <w:tl2br w:val="nil"/>
              <w:tr2bl w:val="nil"/>
            </w:tcBorders>
            <w:noWrap w:val="0"/>
            <w:vAlign w:val="center"/>
          </w:tcPr>
          <w:p w14:paraId="2C95E144">
            <w:pPr>
              <w:pStyle w:val="8"/>
              <w:adjustRightInd w:val="0"/>
              <w:snapToGrid w:val="0"/>
              <w:spacing w:line="400" w:lineRule="exact"/>
              <w:jc w:val="center"/>
              <w:rPr>
                <w:rFonts w:hint="eastAsia" w:ascii="Times New Roman" w:hAnsi="Times New Roman" w:eastAsia="黑体"/>
                <w:b w:val="0"/>
                <w:bCs/>
                <w:color w:val="000000"/>
                <w:kern w:val="0"/>
                <w:sz w:val="24"/>
                <w:szCs w:val="24"/>
                <w:lang w:val="en-US" w:eastAsia="zh-CN"/>
              </w:rPr>
            </w:pPr>
            <w:r>
              <w:rPr>
                <w:rFonts w:hint="eastAsia" w:ascii="Times New Roman" w:hAnsi="Times New Roman" w:eastAsia="黑体"/>
                <w:b w:val="0"/>
                <w:bCs/>
                <w:color w:val="000000"/>
                <w:kern w:val="0"/>
                <w:sz w:val="24"/>
                <w:szCs w:val="24"/>
                <w:lang w:val="en-US" w:eastAsia="zh-CN"/>
              </w:rPr>
              <w:t>2030年</w:t>
            </w:r>
          </w:p>
        </w:tc>
        <w:tc>
          <w:tcPr>
            <w:tcW w:w="1319" w:type="dxa"/>
            <w:tcBorders>
              <w:tl2br w:val="nil"/>
              <w:tr2bl w:val="nil"/>
            </w:tcBorders>
            <w:noWrap w:val="0"/>
            <w:vAlign w:val="center"/>
          </w:tcPr>
          <w:p w14:paraId="4E540A02">
            <w:pPr>
              <w:pStyle w:val="8"/>
              <w:adjustRightInd w:val="0"/>
              <w:snapToGrid w:val="0"/>
              <w:spacing w:line="400" w:lineRule="exact"/>
              <w:jc w:val="center"/>
              <w:rPr>
                <w:rFonts w:hint="eastAsia" w:ascii="Times New Roman" w:hAnsi="Times New Roman" w:eastAsia="黑体"/>
                <w:b w:val="0"/>
                <w:bCs/>
                <w:color w:val="000000"/>
                <w:kern w:val="0"/>
                <w:sz w:val="24"/>
                <w:szCs w:val="24"/>
                <w:lang w:val="en-US" w:eastAsia="zh-CN"/>
              </w:rPr>
            </w:pPr>
            <w:r>
              <w:rPr>
                <w:rFonts w:hint="eastAsia" w:ascii="Times New Roman" w:hAnsi="Times New Roman" w:eastAsia="黑体"/>
                <w:b w:val="0"/>
                <w:bCs/>
                <w:color w:val="000000"/>
                <w:kern w:val="0"/>
                <w:sz w:val="24"/>
                <w:szCs w:val="24"/>
                <w:lang w:val="en-US" w:eastAsia="zh-CN"/>
              </w:rPr>
              <w:t>属性</w:t>
            </w:r>
          </w:p>
        </w:tc>
      </w:tr>
      <w:tr w14:paraId="20936A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5" w:hRule="exact"/>
          <w:tblCellSpacing w:w="0" w:type="dxa"/>
          <w:jc w:val="center"/>
        </w:trPr>
        <w:tc>
          <w:tcPr>
            <w:tcW w:w="747" w:type="dxa"/>
            <w:vMerge w:val="restart"/>
            <w:tcBorders>
              <w:tl2br w:val="nil"/>
              <w:tr2bl w:val="nil"/>
            </w:tcBorders>
            <w:noWrap w:val="0"/>
            <w:vAlign w:val="center"/>
          </w:tcPr>
          <w:p w14:paraId="336CFDBC">
            <w:pPr>
              <w:pStyle w:val="8"/>
              <w:adjustRightInd w:val="0"/>
              <w:snapToGrid w:val="0"/>
              <w:spacing w:line="360" w:lineRule="exact"/>
              <w:jc w:val="center"/>
              <w:rPr>
                <w:rFonts w:ascii="Times New Roman" w:hAnsi="Times New Roman"/>
                <w:b w:val="0"/>
                <w:bCs/>
                <w:color w:val="000000"/>
                <w:kern w:val="0"/>
                <w:sz w:val="24"/>
                <w:szCs w:val="24"/>
              </w:rPr>
            </w:pPr>
            <w:r>
              <w:rPr>
                <w:rFonts w:ascii="Times New Roman" w:hAnsi="Times New Roman"/>
                <w:b w:val="0"/>
                <w:bCs/>
                <w:color w:val="000000"/>
                <w:kern w:val="0"/>
                <w:sz w:val="24"/>
                <w:szCs w:val="24"/>
              </w:rPr>
              <w:t>学前</w:t>
            </w:r>
          </w:p>
          <w:p w14:paraId="06464CE6">
            <w:pPr>
              <w:pStyle w:val="8"/>
              <w:adjustRightInd w:val="0"/>
              <w:snapToGrid w:val="0"/>
              <w:spacing w:line="360" w:lineRule="exact"/>
              <w:jc w:val="center"/>
              <w:rPr>
                <w:rFonts w:ascii="Times New Roman" w:hAnsi="Times New Roman"/>
                <w:b w:val="0"/>
                <w:bCs/>
                <w:color w:val="000000"/>
                <w:sz w:val="24"/>
                <w:szCs w:val="24"/>
              </w:rPr>
            </w:pPr>
            <w:r>
              <w:rPr>
                <w:rFonts w:ascii="Times New Roman" w:hAnsi="Times New Roman"/>
                <w:b w:val="0"/>
                <w:bCs/>
                <w:color w:val="000000"/>
                <w:kern w:val="0"/>
                <w:sz w:val="24"/>
                <w:szCs w:val="24"/>
              </w:rPr>
              <w:t>教育</w:t>
            </w:r>
          </w:p>
        </w:tc>
        <w:tc>
          <w:tcPr>
            <w:tcW w:w="4907" w:type="dxa"/>
            <w:tcBorders>
              <w:tl2br w:val="nil"/>
              <w:tr2bl w:val="nil"/>
            </w:tcBorders>
            <w:noWrap w:val="0"/>
            <w:vAlign w:val="center"/>
          </w:tcPr>
          <w:p w14:paraId="08E4414C">
            <w:pPr>
              <w:pStyle w:val="8"/>
              <w:adjustRightInd w:val="0"/>
              <w:snapToGrid w:val="0"/>
              <w:spacing w:line="400" w:lineRule="exact"/>
              <w:rPr>
                <w:rFonts w:ascii="Times New Roman" w:hAnsi="Times New Roman"/>
                <w:b w:val="0"/>
                <w:bCs/>
                <w:color w:val="000000"/>
                <w:sz w:val="24"/>
                <w:szCs w:val="24"/>
              </w:rPr>
            </w:pPr>
            <w:r>
              <w:rPr>
                <w:rFonts w:ascii="Times New Roman" w:hAnsi="Times New Roman"/>
                <w:b w:val="0"/>
                <w:bCs/>
                <w:color w:val="000000"/>
                <w:kern w:val="0"/>
                <w:sz w:val="24"/>
                <w:szCs w:val="24"/>
              </w:rPr>
              <w:t>学前三年毛入园率（%）</w:t>
            </w:r>
          </w:p>
        </w:tc>
        <w:tc>
          <w:tcPr>
            <w:tcW w:w="1123" w:type="dxa"/>
            <w:tcBorders>
              <w:tl2br w:val="nil"/>
              <w:tr2bl w:val="nil"/>
            </w:tcBorders>
            <w:noWrap w:val="0"/>
            <w:vAlign w:val="center"/>
          </w:tcPr>
          <w:p w14:paraId="11DBE031">
            <w:pPr>
              <w:pStyle w:val="8"/>
              <w:adjustRightInd w:val="0"/>
              <w:snapToGrid w:val="0"/>
              <w:spacing w:line="400" w:lineRule="exact"/>
              <w:jc w:val="center"/>
              <w:rPr>
                <w:rFonts w:ascii="Times New Roman" w:hAnsi="Times New Roman"/>
                <w:b w:val="0"/>
                <w:bCs/>
                <w:color w:val="000000"/>
                <w:sz w:val="24"/>
                <w:szCs w:val="24"/>
              </w:rPr>
            </w:pPr>
            <w:r>
              <w:rPr>
                <w:rFonts w:ascii="Times New Roman" w:hAnsi="Times New Roman"/>
                <w:b w:val="0"/>
                <w:bCs/>
                <w:color w:val="000000"/>
                <w:sz w:val="24"/>
                <w:szCs w:val="24"/>
              </w:rPr>
              <w:t>100</w:t>
            </w:r>
          </w:p>
        </w:tc>
        <w:tc>
          <w:tcPr>
            <w:tcW w:w="1246" w:type="dxa"/>
            <w:tcBorders>
              <w:tl2br w:val="nil"/>
              <w:tr2bl w:val="nil"/>
            </w:tcBorders>
            <w:noWrap w:val="0"/>
            <w:vAlign w:val="center"/>
          </w:tcPr>
          <w:p w14:paraId="46ADCA6E">
            <w:pPr>
              <w:pStyle w:val="8"/>
              <w:adjustRightInd w:val="0"/>
              <w:snapToGrid w:val="0"/>
              <w:spacing w:line="400" w:lineRule="exact"/>
              <w:jc w:val="center"/>
              <w:rPr>
                <w:rFonts w:hint="default" w:ascii="Times New Roman" w:hAnsi="Times New Roman" w:eastAsia="宋体"/>
                <w:b w:val="0"/>
                <w:bCs/>
                <w:color w:val="000000"/>
                <w:sz w:val="24"/>
                <w:szCs w:val="24"/>
                <w:lang w:val="en-US" w:eastAsia="zh-CN"/>
              </w:rPr>
            </w:pPr>
            <w:r>
              <w:rPr>
                <w:rFonts w:hint="eastAsia" w:ascii="Times New Roman" w:hAnsi="Times New Roman"/>
                <w:b w:val="0"/>
                <w:bCs/>
                <w:color w:val="000000"/>
                <w:sz w:val="24"/>
                <w:szCs w:val="24"/>
                <w:lang w:val="en-US" w:eastAsia="zh-CN"/>
              </w:rPr>
              <w:t>100</w:t>
            </w:r>
          </w:p>
        </w:tc>
        <w:tc>
          <w:tcPr>
            <w:tcW w:w="1319" w:type="dxa"/>
            <w:tcBorders>
              <w:tl2br w:val="nil"/>
              <w:tr2bl w:val="nil"/>
            </w:tcBorders>
            <w:noWrap w:val="0"/>
            <w:vAlign w:val="center"/>
          </w:tcPr>
          <w:p w14:paraId="3CEA4A44">
            <w:pPr>
              <w:pStyle w:val="8"/>
              <w:adjustRightInd w:val="0"/>
              <w:snapToGrid w:val="0"/>
              <w:spacing w:line="400" w:lineRule="exact"/>
              <w:jc w:val="center"/>
              <w:rPr>
                <w:rFonts w:hint="eastAsia" w:ascii="Times New Roman" w:hAnsi="Times New Roman"/>
                <w:b w:val="0"/>
                <w:bCs/>
                <w:color w:val="000000"/>
                <w:sz w:val="24"/>
                <w:szCs w:val="24"/>
                <w:lang w:val="en-US" w:eastAsia="zh-CN"/>
              </w:rPr>
            </w:pPr>
            <w:r>
              <w:rPr>
                <w:rFonts w:hint="eastAsia" w:ascii="Times New Roman" w:hAnsi="Times New Roman"/>
                <w:b w:val="0"/>
                <w:bCs/>
                <w:color w:val="000000"/>
                <w:sz w:val="24"/>
                <w:szCs w:val="24"/>
                <w:lang w:val="en-US" w:eastAsia="zh-CN"/>
              </w:rPr>
              <w:t>预期性</w:t>
            </w:r>
          </w:p>
        </w:tc>
      </w:tr>
      <w:tr w14:paraId="6348B1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exact"/>
          <w:tblCellSpacing w:w="0" w:type="dxa"/>
          <w:jc w:val="center"/>
        </w:trPr>
        <w:tc>
          <w:tcPr>
            <w:tcW w:w="747" w:type="dxa"/>
            <w:vMerge w:val="continue"/>
            <w:tcBorders>
              <w:tl2br w:val="nil"/>
              <w:tr2bl w:val="nil"/>
            </w:tcBorders>
            <w:noWrap w:val="0"/>
            <w:vAlign w:val="center"/>
          </w:tcPr>
          <w:p w14:paraId="6E603983">
            <w:pPr>
              <w:pStyle w:val="8"/>
              <w:snapToGrid w:val="0"/>
              <w:spacing w:line="360" w:lineRule="exact"/>
              <w:jc w:val="center"/>
              <w:rPr>
                <w:rFonts w:ascii="Times New Roman" w:hAnsi="Times New Roman"/>
                <w:b w:val="0"/>
                <w:bCs/>
                <w:color w:val="000000"/>
                <w:sz w:val="24"/>
                <w:szCs w:val="24"/>
              </w:rPr>
            </w:pPr>
          </w:p>
        </w:tc>
        <w:tc>
          <w:tcPr>
            <w:tcW w:w="4907" w:type="dxa"/>
            <w:tcBorders>
              <w:tl2br w:val="nil"/>
              <w:tr2bl w:val="nil"/>
            </w:tcBorders>
            <w:noWrap w:val="0"/>
            <w:vAlign w:val="center"/>
          </w:tcPr>
          <w:p w14:paraId="02DB4913">
            <w:pPr>
              <w:pStyle w:val="8"/>
              <w:adjustRightInd w:val="0"/>
              <w:snapToGrid w:val="0"/>
              <w:spacing w:line="400" w:lineRule="exact"/>
              <w:rPr>
                <w:rFonts w:ascii="Times New Roman" w:hAnsi="Times New Roman"/>
                <w:b w:val="0"/>
                <w:bCs/>
                <w:color w:val="000000"/>
                <w:kern w:val="0"/>
                <w:sz w:val="24"/>
                <w:szCs w:val="24"/>
              </w:rPr>
            </w:pPr>
            <w:r>
              <w:rPr>
                <w:rFonts w:ascii="Times New Roman" w:hAnsi="Times New Roman"/>
                <w:b w:val="0"/>
                <w:bCs/>
                <w:color w:val="000000"/>
                <w:kern w:val="0"/>
                <w:sz w:val="24"/>
                <w:szCs w:val="24"/>
              </w:rPr>
              <w:t>公办幼儿园和普惠性民办幼儿园覆盖率（%）</w:t>
            </w:r>
          </w:p>
        </w:tc>
        <w:tc>
          <w:tcPr>
            <w:tcW w:w="1123" w:type="dxa"/>
            <w:tcBorders>
              <w:tl2br w:val="nil"/>
              <w:tr2bl w:val="nil"/>
            </w:tcBorders>
            <w:noWrap w:val="0"/>
            <w:vAlign w:val="center"/>
          </w:tcPr>
          <w:p w14:paraId="79ABD2A3">
            <w:pPr>
              <w:pStyle w:val="8"/>
              <w:adjustRightInd w:val="0"/>
              <w:snapToGrid w:val="0"/>
              <w:spacing w:line="400" w:lineRule="exact"/>
              <w:jc w:val="center"/>
              <w:rPr>
                <w:rFonts w:ascii="Times New Roman" w:hAnsi="Times New Roman"/>
                <w:b w:val="0"/>
                <w:bCs/>
                <w:color w:val="000000"/>
                <w:sz w:val="24"/>
                <w:szCs w:val="24"/>
              </w:rPr>
            </w:pPr>
            <w:r>
              <w:rPr>
                <w:rFonts w:ascii="Times New Roman" w:hAnsi="Times New Roman"/>
                <w:b w:val="0"/>
                <w:bCs/>
                <w:color w:val="000000"/>
                <w:sz w:val="24"/>
                <w:szCs w:val="24"/>
              </w:rPr>
              <w:t>85</w:t>
            </w:r>
          </w:p>
        </w:tc>
        <w:tc>
          <w:tcPr>
            <w:tcW w:w="1246" w:type="dxa"/>
            <w:tcBorders>
              <w:tl2br w:val="nil"/>
              <w:tr2bl w:val="nil"/>
            </w:tcBorders>
            <w:noWrap w:val="0"/>
            <w:vAlign w:val="center"/>
          </w:tcPr>
          <w:p w14:paraId="778AF47A">
            <w:pPr>
              <w:pStyle w:val="8"/>
              <w:adjustRightInd w:val="0"/>
              <w:snapToGrid w:val="0"/>
              <w:spacing w:line="400" w:lineRule="exact"/>
              <w:jc w:val="center"/>
              <w:rPr>
                <w:rFonts w:hint="default" w:ascii="Times New Roman" w:hAnsi="Times New Roman" w:eastAsia="宋体"/>
                <w:b w:val="0"/>
                <w:bCs/>
                <w:color w:val="000000"/>
                <w:sz w:val="24"/>
                <w:szCs w:val="24"/>
                <w:lang w:val="en-US" w:eastAsia="zh-CN"/>
              </w:rPr>
            </w:pPr>
            <w:r>
              <w:rPr>
                <w:rFonts w:hint="eastAsia" w:ascii="Times New Roman" w:hAnsi="Times New Roman"/>
                <w:b w:val="0"/>
                <w:bCs/>
                <w:color w:val="000000"/>
                <w:sz w:val="24"/>
                <w:szCs w:val="24"/>
                <w:lang w:val="en-US" w:eastAsia="zh-CN"/>
              </w:rPr>
              <w:t>90</w:t>
            </w:r>
          </w:p>
        </w:tc>
        <w:tc>
          <w:tcPr>
            <w:tcW w:w="1319" w:type="dxa"/>
            <w:tcBorders>
              <w:tl2br w:val="nil"/>
              <w:tr2bl w:val="nil"/>
            </w:tcBorders>
            <w:noWrap w:val="0"/>
            <w:vAlign w:val="center"/>
          </w:tcPr>
          <w:p w14:paraId="26B5D2B4">
            <w:pPr>
              <w:adjustRightInd w:val="0"/>
              <w:snapToGrid w:val="0"/>
              <w:spacing w:line="400" w:lineRule="exact"/>
              <w:jc w:val="center"/>
              <w:rPr>
                <w:rFonts w:hint="eastAsia" w:ascii="Times New Roman" w:hAnsi="Times New Roman"/>
                <w:b w:val="0"/>
                <w:bCs/>
                <w:color w:val="000000"/>
                <w:sz w:val="24"/>
                <w:szCs w:val="24"/>
                <w:lang w:val="en-US" w:eastAsia="zh-CN"/>
              </w:rPr>
            </w:pPr>
            <w:r>
              <w:rPr>
                <w:rFonts w:hint="eastAsia" w:ascii="Times New Roman" w:hAnsi="Times New Roman"/>
                <w:b w:val="0"/>
                <w:bCs/>
                <w:color w:val="000000"/>
                <w:sz w:val="24"/>
                <w:szCs w:val="24"/>
                <w:lang w:val="en-US" w:eastAsia="zh-CN"/>
              </w:rPr>
              <w:t>预期性</w:t>
            </w:r>
          </w:p>
        </w:tc>
      </w:tr>
      <w:tr w14:paraId="24D4DA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exact"/>
          <w:tblCellSpacing w:w="0" w:type="dxa"/>
          <w:jc w:val="center"/>
        </w:trPr>
        <w:tc>
          <w:tcPr>
            <w:tcW w:w="747" w:type="dxa"/>
            <w:vMerge w:val="continue"/>
            <w:tcBorders>
              <w:tl2br w:val="nil"/>
              <w:tr2bl w:val="nil"/>
            </w:tcBorders>
            <w:noWrap w:val="0"/>
            <w:vAlign w:val="center"/>
          </w:tcPr>
          <w:p w14:paraId="4F2061AB">
            <w:pPr>
              <w:pStyle w:val="8"/>
              <w:snapToGrid w:val="0"/>
              <w:spacing w:line="360" w:lineRule="exact"/>
              <w:jc w:val="center"/>
              <w:rPr>
                <w:rFonts w:ascii="Times New Roman" w:hAnsi="Times New Roman"/>
                <w:b w:val="0"/>
                <w:bCs/>
                <w:color w:val="000000"/>
                <w:sz w:val="24"/>
                <w:szCs w:val="24"/>
              </w:rPr>
            </w:pPr>
          </w:p>
        </w:tc>
        <w:tc>
          <w:tcPr>
            <w:tcW w:w="4907" w:type="dxa"/>
            <w:tcBorders>
              <w:tl2br w:val="nil"/>
              <w:tr2bl w:val="nil"/>
            </w:tcBorders>
            <w:shd w:val="clear" w:color="auto" w:fill="auto"/>
            <w:noWrap w:val="0"/>
            <w:vAlign w:val="center"/>
          </w:tcPr>
          <w:p w14:paraId="4CAC2898">
            <w:pPr>
              <w:pStyle w:val="8"/>
              <w:adjustRightInd w:val="0"/>
              <w:snapToGrid w:val="0"/>
              <w:spacing w:line="400" w:lineRule="exact"/>
              <w:rPr>
                <w:rFonts w:ascii="Times New Roman" w:hAnsi="Times New Roman" w:eastAsia="宋体" w:cs="黑体"/>
                <w:b w:val="0"/>
                <w:bCs/>
                <w:color w:val="000000"/>
                <w:kern w:val="0"/>
                <w:sz w:val="24"/>
                <w:szCs w:val="24"/>
                <w:lang w:val="en-US" w:eastAsia="zh-CN"/>
              </w:rPr>
            </w:pPr>
            <w:r>
              <w:rPr>
                <w:rFonts w:ascii="Times New Roman" w:hAnsi="Times New Roman"/>
                <w:b w:val="0"/>
                <w:bCs/>
                <w:color w:val="000000"/>
                <w:kern w:val="0"/>
                <w:sz w:val="24"/>
                <w:szCs w:val="24"/>
              </w:rPr>
              <w:t>幼儿教师资格证持证率（%）</w:t>
            </w:r>
          </w:p>
        </w:tc>
        <w:tc>
          <w:tcPr>
            <w:tcW w:w="1123" w:type="dxa"/>
            <w:tcBorders>
              <w:tl2br w:val="nil"/>
              <w:tr2bl w:val="nil"/>
            </w:tcBorders>
            <w:shd w:val="clear" w:color="auto" w:fill="auto"/>
            <w:noWrap w:val="0"/>
            <w:vAlign w:val="center"/>
          </w:tcPr>
          <w:p w14:paraId="1DBBB1CE">
            <w:pPr>
              <w:pStyle w:val="8"/>
              <w:adjustRightInd w:val="0"/>
              <w:snapToGrid w:val="0"/>
              <w:spacing w:line="400" w:lineRule="exact"/>
              <w:jc w:val="center"/>
              <w:rPr>
                <w:rFonts w:ascii="Times New Roman" w:hAnsi="Times New Roman" w:eastAsia="宋体" w:cs="黑体"/>
                <w:b w:val="0"/>
                <w:bCs/>
                <w:color w:val="000000"/>
                <w:kern w:val="2"/>
                <w:sz w:val="24"/>
                <w:szCs w:val="24"/>
                <w:lang w:val="en-US" w:eastAsia="zh-CN"/>
              </w:rPr>
            </w:pPr>
            <w:r>
              <w:rPr>
                <w:rFonts w:ascii="Times New Roman" w:hAnsi="Times New Roman"/>
                <w:b w:val="0"/>
                <w:bCs/>
                <w:color w:val="000000"/>
                <w:kern w:val="0"/>
                <w:sz w:val="24"/>
                <w:szCs w:val="24"/>
              </w:rPr>
              <w:t>65</w:t>
            </w:r>
          </w:p>
        </w:tc>
        <w:tc>
          <w:tcPr>
            <w:tcW w:w="1246" w:type="dxa"/>
            <w:tcBorders>
              <w:tl2br w:val="nil"/>
              <w:tr2bl w:val="nil"/>
            </w:tcBorders>
            <w:shd w:val="clear" w:color="auto" w:fill="auto"/>
            <w:noWrap w:val="0"/>
            <w:vAlign w:val="center"/>
          </w:tcPr>
          <w:p w14:paraId="4719E04B">
            <w:pPr>
              <w:pStyle w:val="8"/>
              <w:adjustRightInd w:val="0"/>
              <w:snapToGrid w:val="0"/>
              <w:spacing w:line="400" w:lineRule="exact"/>
              <w:jc w:val="center"/>
              <w:rPr>
                <w:rFonts w:hint="eastAsia" w:ascii="Times New Roman" w:hAnsi="Times New Roman" w:eastAsia="宋体" w:cs="黑体"/>
                <w:b w:val="0"/>
                <w:bCs/>
                <w:color w:val="000000"/>
                <w:kern w:val="0"/>
                <w:sz w:val="24"/>
                <w:szCs w:val="24"/>
                <w:lang w:val="en-US" w:eastAsia="zh-CN"/>
              </w:rPr>
            </w:pPr>
            <w:r>
              <w:rPr>
                <w:rFonts w:hint="eastAsia" w:ascii="Times New Roman" w:hAnsi="Times New Roman"/>
                <w:b w:val="0"/>
                <w:bCs/>
                <w:color w:val="000000"/>
                <w:kern w:val="0"/>
                <w:sz w:val="24"/>
                <w:szCs w:val="24"/>
                <w:lang w:val="en-US" w:eastAsia="zh-CN"/>
              </w:rPr>
              <w:t>100</w:t>
            </w:r>
          </w:p>
        </w:tc>
        <w:tc>
          <w:tcPr>
            <w:tcW w:w="1319" w:type="dxa"/>
            <w:tcBorders>
              <w:tl2br w:val="nil"/>
              <w:tr2bl w:val="nil"/>
            </w:tcBorders>
            <w:shd w:val="clear" w:color="auto" w:fill="auto"/>
            <w:noWrap w:val="0"/>
            <w:vAlign w:val="center"/>
          </w:tcPr>
          <w:p w14:paraId="5F35A250">
            <w:pPr>
              <w:adjustRightInd w:val="0"/>
              <w:snapToGrid w:val="0"/>
              <w:spacing w:line="400" w:lineRule="exact"/>
              <w:jc w:val="center"/>
              <w:rPr>
                <w:rFonts w:hint="eastAsia" w:ascii="Times New Roman" w:hAnsi="Times New Roman"/>
                <w:b w:val="0"/>
                <w:bCs/>
                <w:color w:val="000000"/>
                <w:kern w:val="0"/>
                <w:sz w:val="24"/>
                <w:szCs w:val="24"/>
                <w:lang w:val="en-US" w:eastAsia="zh-CN"/>
              </w:rPr>
            </w:pPr>
            <w:r>
              <w:rPr>
                <w:rFonts w:hint="eastAsia" w:ascii="Times New Roman" w:hAnsi="Times New Roman"/>
                <w:b w:val="0"/>
                <w:bCs/>
                <w:color w:val="000000"/>
                <w:sz w:val="24"/>
                <w:szCs w:val="24"/>
                <w:lang w:val="en-US" w:eastAsia="zh-CN"/>
              </w:rPr>
              <w:t>预期性</w:t>
            </w:r>
          </w:p>
        </w:tc>
      </w:tr>
      <w:tr w14:paraId="79E6A8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exact"/>
          <w:tblCellSpacing w:w="0" w:type="dxa"/>
          <w:jc w:val="center"/>
        </w:trPr>
        <w:tc>
          <w:tcPr>
            <w:tcW w:w="747" w:type="dxa"/>
            <w:vMerge w:val="restart"/>
            <w:tcBorders>
              <w:tl2br w:val="nil"/>
              <w:tr2bl w:val="nil"/>
            </w:tcBorders>
            <w:noWrap w:val="0"/>
            <w:vAlign w:val="center"/>
          </w:tcPr>
          <w:p w14:paraId="6FC25066">
            <w:pPr>
              <w:pStyle w:val="8"/>
              <w:adjustRightInd w:val="0"/>
              <w:snapToGrid w:val="0"/>
              <w:spacing w:line="360" w:lineRule="exact"/>
              <w:jc w:val="center"/>
              <w:rPr>
                <w:rFonts w:ascii="Times New Roman" w:hAnsi="Times New Roman"/>
                <w:b w:val="0"/>
                <w:bCs/>
                <w:color w:val="000000"/>
                <w:kern w:val="0"/>
                <w:sz w:val="24"/>
                <w:szCs w:val="24"/>
              </w:rPr>
            </w:pPr>
            <w:r>
              <w:rPr>
                <w:rFonts w:ascii="Times New Roman" w:hAnsi="Times New Roman"/>
                <w:b w:val="0"/>
                <w:bCs/>
                <w:color w:val="000000"/>
                <w:kern w:val="0"/>
                <w:sz w:val="24"/>
                <w:szCs w:val="24"/>
              </w:rPr>
              <w:t>九年</w:t>
            </w:r>
          </w:p>
          <w:p w14:paraId="3EE79F0F">
            <w:pPr>
              <w:pStyle w:val="8"/>
              <w:adjustRightInd w:val="0"/>
              <w:snapToGrid w:val="0"/>
              <w:spacing w:line="360" w:lineRule="exact"/>
              <w:jc w:val="center"/>
              <w:rPr>
                <w:rFonts w:ascii="Times New Roman" w:hAnsi="Times New Roman"/>
                <w:b w:val="0"/>
                <w:bCs/>
                <w:color w:val="000000"/>
                <w:kern w:val="0"/>
                <w:sz w:val="24"/>
                <w:szCs w:val="24"/>
              </w:rPr>
            </w:pPr>
            <w:r>
              <w:rPr>
                <w:rFonts w:ascii="Times New Roman" w:hAnsi="Times New Roman"/>
                <w:b w:val="0"/>
                <w:bCs/>
                <w:color w:val="000000"/>
                <w:kern w:val="0"/>
                <w:sz w:val="24"/>
                <w:szCs w:val="24"/>
              </w:rPr>
              <w:t>义务</w:t>
            </w:r>
          </w:p>
          <w:p w14:paraId="540E5CA5">
            <w:pPr>
              <w:pStyle w:val="8"/>
              <w:adjustRightInd w:val="0"/>
              <w:snapToGrid w:val="0"/>
              <w:spacing w:line="360" w:lineRule="exact"/>
              <w:jc w:val="center"/>
              <w:rPr>
                <w:rFonts w:ascii="Times New Roman" w:hAnsi="Times New Roman"/>
                <w:b w:val="0"/>
                <w:bCs/>
                <w:color w:val="000000"/>
                <w:kern w:val="0"/>
                <w:sz w:val="24"/>
                <w:szCs w:val="24"/>
              </w:rPr>
            </w:pPr>
            <w:r>
              <w:rPr>
                <w:rFonts w:ascii="Times New Roman" w:hAnsi="Times New Roman"/>
                <w:b w:val="0"/>
                <w:bCs/>
                <w:color w:val="000000"/>
                <w:kern w:val="0"/>
                <w:sz w:val="24"/>
                <w:szCs w:val="24"/>
              </w:rPr>
              <w:t>教育</w:t>
            </w:r>
          </w:p>
        </w:tc>
        <w:tc>
          <w:tcPr>
            <w:tcW w:w="4907" w:type="dxa"/>
            <w:tcBorders>
              <w:tl2br w:val="nil"/>
              <w:tr2bl w:val="nil"/>
            </w:tcBorders>
            <w:shd w:val="clear" w:color="auto" w:fill="auto"/>
            <w:noWrap w:val="0"/>
            <w:vAlign w:val="center"/>
          </w:tcPr>
          <w:p w14:paraId="159275B8">
            <w:pPr>
              <w:pStyle w:val="8"/>
              <w:tabs>
                <w:tab w:val="center" w:pos="2567"/>
              </w:tabs>
              <w:adjustRightInd w:val="0"/>
              <w:snapToGrid w:val="0"/>
              <w:spacing w:line="400" w:lineRule="exact"/>
              <w:rPr>
                <w:rFonts w:ascii="Times New Roman" w:hAnsi="Times New Roman" w:eastAsia="宋体" w:cs="黑体"/>
                <w:b w:val="0"/>
                <w:bCs/>
                <w:color w:val="000000"/>
                <w:kern w:val="2"/>
                <w:sz w:val="24"/>
                <w:szCs w:val="24"/>
                <w:lang w:val="en-US" w:eastAsia="zh-CN"/>
              </w:rPr>
            </w:pPr>
            <w:r>
              <w:rPr>
                <w:rFonts w:ascii="Times New Roman" w:hAnsi="Times New Roman"/>
                <w:b w:val="0"/>
                <w:bCs/>
                <w:color w:val="000000"/>
                <w:sz w:val="24"/>
                <w:szCs w:val="24"/>
              </w:rPr>
              <w:t>九年义务教育巩固率（%）</w:t>
            </w:r>
          </w:p>
        </w:tc>
        <w:tc>
          <w:tcPr>
            <w:tcW w:w="1123" w:type="dxa"/>
            <w:tcBorders>
              <w:tl2br w:val="nil"/>
              <w:tr2bl w:val="nil"/>
            </w:tcBorders>
            <w:shd w:val="clear" w:color="auto" w:fill="auto"/>
            <w:noWrap w:val="0"/>
            <w:vAlign w:val="center"/>
          </w:tcPr>
          <w:p w14:paraId="19156937">
            <w:pPr>
              <w:pStyle w:val="8"/>
              <w:adjustRightInd w:val="0"/>
              <w:snapToGrid w:val="0"/>
              <w:spacing w:line="400" w:lineRule="exact"/>
              <w:jc w:val="center"/>
              <w:rPr>
                <w:rFonts w:ascii="Times New Roman" w:hAnsi="Times New Roman" w:eastAsia="宋体" w:cs="黑体"/>
                <w:b w:val="0"/>
                <w:bCs/>
                <w:color w:val="000000"/>
                <w:kern w:val="2"/>
                <w:sz w:val="24"/>
                <w:szCs w:val="24"/>
                <w:lang w:val="en-US" w:eastAsia="zh-CN"/>
              </w:rPr>
            </w:pPr>
            <w:r>
              <w:rPr>
                <w:rFonts w:ascii="Times New Roman" w:hAnsi="Times New Roman"/>
                <w:b w:val="0"/>
                <w:bCs/>
                <w:color w:val="000000"/>
                <w:sz w:val="24"/>
                <w:szCs w:val="24"/>
              </w:rPr>
              <w:t>97</w:t>
            </w:r>
          </w:p>
        </w:tc>
        <w:tc>
          <w:tcPr>
            <w:tcW w:w="1246" w:type="dxa"/>
            <w:tcBorders>
              <w:tl2br w:val="nil"/>
              <w:tr2bl w:val="nil"/>
            </w:tcBorders>
            <w:shd w:val="clear" w:color="auto" w:fill="auto"/>
            <w:noWrap w:val="0"/>
            <w:vAlign w:val="center"/>
          </w:tcPr>
          <w:p w14:paraId="6D2CF64B">
            <w:pPr>
              <w:pStyle w:val="8"/>
              <w:adjustRightInd w:val="0"/>
              <w:snapToGrid w:val="0"/>
              <w:spacing w:line="400" w:lineRule="exact"/>
              <w:jc w:val="center"/>
              <w:rPr>
                <w:rFonts w:hint="default" w:ascii="Times New Roman" w:hAnsi="Times New Roman"/>
                <w:b w:val="0"/>
                <w:bCs/>
                <w:color w:val="000000"/>
                <w:sz w:val="24"/>
                <w:szCs w:val="24"/>
                <w:lang w:val="en-US" w:eastAsia="zh-CN"/>
              </w:rPr>
            </w:pPr>
            <w:r>
              <w:rPr>
                <w:rFonts w:hint="eastAsia" w:ascii="Times New Roman" w:hAnsi="Times New Roman"/>
                <w:b w:val="0"/>
                <w:bCs/>
                <w:color w:val="000000"/>
                <w:sz w:val="24"/>
                <w:szCs w:val="24"/>
                <w:lang w:val="en-US" w:eastAsia="zh-CN"/>
              </w:rPr>
              <w:t>97</w:t>
            </w:r>
          </w:p>
        </w:tc>
        <w:tc>
          <w:tcPr>
            <w:tcW w:w="1319" w:type="dxa"/>
            <w:tcBorders>
              <w:tl2br w:val="nil"/>
              <w:tr2bl w:val="nil"/>
            </w:tcBorders>
            <w:shd w:val="clear" w:color="auto" w:fill="auto"/>
            <w:noWrap w:val="0"/>
            <w:vAlign w:val="center"/>
          </w:tcPr>
          <w:p w14:paraId="5680E9F0">
            <w:pPr>
              <w:adjustRightInd w:val="0"/>
              <w:snapToGrid w:val="0"/>
              <w:spacing w:line="400" w:lineRule="exact"/>
              <w:jc w:val="center"/>
              <w:rPr>
                <w:rFonts w:hint="eastAsia" w:ascii="Times New Roman" w:hAnsi="Times New Roman"/>
                <w:b w:val="0"/>
                <w:bCs/>
                <w:color w:val="000000"/>
                <w:sz w:val="24"/>
                <w:szCs w:val="24"/>
                <w:lang w:val="en-US" w:eastAsia="zh-CN"/>
              </w:rPr>
            </w:pPr>
            <w:r>
              <w:rPr>
                <w:rFonts w:hint="eastAsia" w:ascii="Times New Roman" w:hAnsi="Times New Roman"/>
                <w:b w:val="0"/>
                <w:bCs/>
                <w:color w:val="000000"/>
                <w:sz w:val="24"/>
                <w:szCs w:val="24"/>
                <w:lang w:val="en-US" w:eastAsia="zh-CN"/>
              </w:rPr>
              <w:t>约束性</w:t>
            </w:r>
          </w:p>
        </w:tc>
      </w:tr>
      <w:tr w14:paraId="5518F3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5" w:hRule="exact"/>
          <w:tblCellSpacing w:w="0" w:type="dxa"/>
          <w:jc w:val="center"/>
        </w:trPr>
        <w:tc>
          <w:tcPr>
            <w:tcW w:w="747" w:type="dxa"/>
            <w:vMerge w:val="continue"/>
            <w:tcBorders>
              <w:tl2br w:val="nil"/>
              <w:tr2bl w:val="nil"/>
            </w:tcBorders>
            <w:noWrap w:val="0"/>
            <w:vAlign w:val="center"/>
          </w:tcPr>
          <w:p w14:paraId="528CD54C">
            <w:pPr>
              <w:pStyle w:val="8"/>
              <w:adjustRightInd w:val="0"/>
              <w:snapToGrid w:val="0"/>
              <w:spacing w:line="360" w:lineRule="exact"/>
              <w:jc w:val="center"/>
              <w:rPr>
                <w:rFonts w:ascii="Times New Roman" w:hAnsi="Times New Roman"/>
                <w:b w:val="0"/>
                <w:bCs/>
                <w:color w:val="000000"/>
                <w:sz w:val="24"/>
                <w:szCs w:val="24"/>
              </w:rPr>
            </w:pPr>
          </w:p>
        </w:tc>
        <w:tc>
          <w:tcPr>
            <w:tcW w:w="4907" w:type="dxa"/>
            <w:tcBorders>
              <w:tl2br w:val="nil"/>
              <w:tr2bl w:val="nil"/>
            </w:tcBorders>
            <w:noWrap w:val="0"/>
            <w:vAlign w:val="center"/>
          </w:tcPr>
          <w:p w14:paraId="2CC6E27D">
            <w:pPr>
              <w:pStyle w:val="8"/>
              <w:tabs>
                <w:tab w:val="center" w:pos="2567"/>
              </w:tabs>
              <w:adjustRightInd w:val="0"/>
              <w:snapToGrid w:val="0"/>
              <w:spacing w:line="400" w:lineRule="exact"/>
              <w:rPr>
                <w:rFonts w:ascii="Times New Roman" w:hAnsi="Times New Roman"/>
                <w:b w:val="0"/>
                <w:bCs/>
                <w:color w:val="000000"/>
                <w:sz w:val="24"/>
                <w:szCs w:val="24"/>
              </w:rPr>
            </w:pPr>
            <w:r>
              <w:rPr>
                <w:rFonts w:ascii="Times New Roman" w:hAnsi="Times New Roman"/>
                <w:b w:val="0"/>
                <w:bCs/>
                <w:color w:val="000000"/>
                <w:sz w:val="24"/>
                <w:szCs w:val="24"/>
              </w:rPr>
              <w:t>适龄残疾儿童义务教育入学率（%）</w:t>
            </w:r>
          </w:p>
        </w:tc>
        <w:tc>
          <w:tcPr>
            <w:tcW w:w="1123" w:type="dxa"/>
            <w:tcBorders>
              <w:tl2br w:val="nil"/>
              <w:tr2bl w:val="nil"/>
            </w:tcBorders>
            <w:noWrap w:val="0"/>
            <w:vAlign w:val="center"/>
          </w:tcPr>
          <w:p w14:paraId="6397D1A7">
            <w:pPr>
              <w:pStyle w:val="8"/>
              <w:adjustRightInd w:val="0"/>
              <w:snapToGrid w:val="0"/>
              <w:spacing w:line="400" w:lineRule="exact"/>
              <w:jc w:val="center"/>
              <w:rPr>
                <w:rFonts w:ascii="Times New Roman" w:hAnsi="Times New Roman"/>
                <w:b w:val="0"/>
                <w:bCs/>
                <w:color w:val="000000"/>
                <w:sz w:val="24"/>
                <w:szCs w:val="24"/>
              </w:rPr>
            </w:pPr>
            <w:r>
              <w:rPr>
                <w:rFonts w:ascii="Times New Roman" w:hAnsi="Times New Roman"/>
                <w:b w:val="0"/>
                <w:bCs/>
                <w:color w:val="000000"/>
                <w:sz w:val="24"/>
                <w:szCs w:val="24"/>
              </w:rPr>
              <w:t>98.7</w:t>
            </w:r>
          </w:p>
        </w:tc>
        <w:tc>
          <w:tcPr>
            <w:tcW w:w="1246" w:type="dxa"/>
            <w:tcBorders>
              <w:tl2br w:val="nil"/>
              <w:tr2bl w:val="nil"/>
            </w:tcBorders>
            <w:noWrap w:val="0"/>
            <w:vAlign w:val="center"/>
          </w:tcPr>
          <w:p w14:paraId="26E1FC0F">
            <w:pPr>
              <w:pStyle w:val="8"/>
              <w:adjustRightInd w:val="0"/>
              <w:snapToGrid w:val="0"/>
              <w:spacing w:line="400" w:lineRule="exact"/>
              <w:jc w:val="center"/>
              <w:rPr>
                <w:rFonts w:hint="eastAsia" w:ascii="Times New Roman" w:hAnsi="Times New Roman"/>
                <w:b w:val="0"/>
                <w:bCs/>
                <w:color w:val="000000"/>
                <w:sz w:val="24"/>
                <w:szCs w:val="24"/>
                <w:lang w:val="en-US" w:eastAsia="zh-CN"/>
              </w:rPr>
            </w:pPr>
            <w:r>
              <w:rPr>
                <w:rFonts w:hint="eastAsia" w:ascii="Times New Roman" w:hAnsi="Times New Roman"/>
                <w:b w:val="0"/>
                <w:bCs/>
                <w:color w:val="000000"/>
                <w:sz w:val="24"/>
                <w:szCs w:val="24"/>
                <w:lang w:val="en-US" w:eastAsia="zh-CN"/>
              </w:rPr>
              <w:t>＞98</w:t>
            </w:r>
          </w:p>
        </w:tc>
        <w:tc>
          <w:tcPr>
            <w:tcW w:w="1319" w:type="dxa"/>
            <w:tcBorders>
              <w:tl2br w:val="nil"/>
              <w:tr2bl w:val="nil"/>
            </w:tcBorders>
            <w:noWrap w:val="0"/>
            <w:vAlign w:val="center"/>
          </w:tcPr>
          <w:p w14:paraId="3B750A23">
            <w:pPr>
              <w:adjustRightInd w:val="0"/>
              <w:snapToGrid w:val="0"/>
              <w:spacing w:line="400" w:lineRule="exact"/>
              <w:jc w:val="center"/>
              <w:rPr>
                <w:rFonts w:hint="eastAsia" w:ascii="Times New Roman" w:hAnsi="Times New Roman"/>
                <w:b w:val="0"/>
                <w:bCs/>
                <w:color w:val="000000"/>
                <w:sz w:val="24"/>
                <w:szCs w:val="24"/>
                <w:lang w:val="en-US" w:eastAsia="zh-CN"/>
              </w:rPr>
            </w:pPr>
            <w:r>
              <w:rPr>
                <w:rFonts w:hint="eastAsia" w:ascii="Times New Roman" w:hAnsi="Times New Roman"/>
                <w:b w:val="0"/>
                <w:bCs/>
                <w:color w:val="000000"/>
                <w:sz w:val="24"/>
                <w:szCs w:val="24"/>
                <w:lang w:val="en-US" w:eastAsia="zh-CN"/>
              </w:rPr>
              <w:t>预期性</w:t>
            </w:r>
          </w:p>
        </w:tc>
      </w:tr>
      <w:tr w14:paraId="3D4CBD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0" w:hRule="exact"/>
          <w:tblCellSpacing w:w="0" w:type="dxa"/>
          <w:jc w:val="center"/>
        </w:trPr>
        <w:tc>
          <w:tcPr>
            <w:tcW w:w="747" w:type="dxa"/>
            <w:vMerge w:val="continue"/>
            <w:tcBorders>
              <w:tl2br w:val="nil"/>
              <w:tr2bl w:val="nil"/>
            </w:tcBorders>
            <w:noWrap w:val="0"/>
            <w:vAlign w:val="center"/>
          </w:tcPr>
          <w:p w14:paraId="0D812565">
            <w:pPr>
              <w:pStyle w:val="8"/>
              <w:adjustRightInd w:val="0"/>
              <w:snapToGrid w:val="0"/>
              <w:spacing w:line="360" w:lineRule="exact"/>
              <w:jc w:val="center"/>
              <w:rPr>
                <w:rFonts w:ascii="Times New Roman" w:hAnsi="Times New Roman"/>
                <w:b w:val="0"/>
                <w:bCs/>
                <w:color w:val="000000"/>
                <w:sz w:val="24"/>
                <w:szCs w:val="24"/>
              </w:rPr>
            </w:pPr>
          </w:p>
        </w:tc>
        <w:tc>
          <w:tcPr>
            <w:tcW w:w="4907" w:type="dxa"/>
            <w:tcBorders>
              <w:tl2br w:val="nil"/>
              <w:tr2bl w:val="nil"/>
            </w:tcBorders>
            <w:noWrap w:val="0"/>
            <w:vAlign w:val="center"/>
          </w:tcPr>
          <w:p w14:paraId="17D4D9C1">
            <w:pPr>
              <w:pStyle w:val="8"/>
              <w:tabs>
                <w:tab w:val="center" w:pos="2567"/>
              </w:tabs>
              <w:adjustRightInd w:val="0"/>
              <w:snapToGrid w:val="0"/>
              <w:spacing w:line="400" w:lineRule="exact"/>
              <w:rPr>
                <w:rFonts w:ascii="Times New Roman" w:hAnsi="Times New Roman"/>
                <w:b w:val="0"/>
                <w:bCs/>
                <w:color w:val="000000"/>
                <w:sz w:val="24"/>
                <w:szCs w:val="24"/>
              </w:rPr>
            </w:pPr>
            <w:r>
              <w:rPr>
                <w:rFonts w:hint="eastAsia" w:ascii="Times New Roman" w:hAnsi="Times New Roman"/>
                <w:b w:val="0"/>
                <w:bCs/>
                <w:color w:val="000000"/>
                <w:sz w:val="24"/>
                <w:szCs w:val="24"/>
                <w:lang w:eastAsia="zh-CN"/>
              </w:rPr>
              <w:t>中小学体质健康优良率</w:t>
            </w:r>
            <w:r>
              <w:rPr>
                <w:rFonts w:ascii="Times New Roman" w:hAnsi="Times New Roman"/>
                <w:b w:val="0"/>
                <w:bCs/>
                <w:color w:val="000000"/>
                <w:sz w:val="24"/>
                <w:szCs w:val="24"/>
              </w:rPr>
              <w:t>（%）</w:t>
            </w:r>
          </w:p>
        </w:tc>
        <w:tc>
          <w:tcPr>
            <w:tcW w:w="1123" w:type="dxa"/>
            <w:tcBorders>
              <w:tl2br w:val="nil"/>
              <w:tr2bl w:val="nil"/>
            </w:tcBorders>
            <w:noWrap w:val="0"/>
            <w:vAlign w:val="center"/>
          </w:tcPr>
          <w:p w14:paraId="38E4FFB2">
            <w:pPr>
              <w:pStyle w:val="8"/>
              <w:adjustRightInd w:val="0"/>
              <w:snapToGrid w:val="0"/>
              <w:spacing w:line="400" w:lineRule="exact"/>
              <w:jc w:val="center"/>
              <w:rPr>
                <w:rFonts w:hint="default" w:ascii="Times New Roman" w:hAnsi="Times New Roman" w:eastAsia="宋体"/>
                <w:b w:val="0"/>
                <w:bCs/>
                <w:color w:val="000000"/>
                <w:sz w:val="24"/>
                <w:szCs w:val="24"/>
                <w:lang w:val="en-US" w:eastAsia="zh-CN"/>
              </w:rPr>
            </w:pPr>
            <w:r>
              <w:rPr>
                <w:rFonts w:hint="eastAsia" w:ascii="Times New Roman" w:hAnsi="Times New Roman"/>
                <w:b w:val="0"/>
                <w:bCs/>
                <w:color w:val="000000"/>
                <w:sz w:val="24"/>
                <w:szCs w:val="24"/>
                <w:lang w:val="en-US" w:eastAsia="zh-CN"/>
              </w:rPr>
              <w:t>56</w:t>
            </w:r>
          </w:p>
        </w:tc>
        <w:tc>
          <w:tcPr>
            <w:tcW w:w="1246" w:type="dxa"/>
            <w:tcBorders>
              <w:tl2br w:val="nil"/>
              <w:tr2bl w:val="nil"/>
            </w:tcBorders>
            <w:noWrap w:val="0"/>
            <w:vAlign w:val="center"/>
          </w:tcPr>
          <w:p w14:paraId="2852204E">
            <w:pPr>
              <w:pStyle w:val="8"/>
              <w:adjustRightInd w:val="0"/>
              <w:snapToGrid w:val="0"/>
              <w:spacing w:line="400" w:lineRule="exact"/>
              <w:jc w:val="center"/>
              <w:rPr>
                <w:rFonts w:hint="default" w:ascii="Times New Roman" w:hAnsi="Times New Roman" w:eastAsia="宋体"/>
                <w:b w:val="0"/>
                <w:bCs/>
                <w:color w:val="000000"/>
                <w:sz w:val="24"/>
                <w:szCs w:val="24"/>
                <w:lang w:val="en-US" w:eastAsia="zh-CN"/>
              </w:rPr>
            </w:pPr>
            <w:r>
              <w:rPr>
                <w:rFonts w:hint="eastAsia" w:ascii="Times New Roman" w:hAnsi="Times New Roman"/>
                <w:b w:val="0"/>
                <w:bCs/>
                <w:color w:val="000000"/>
                <w:sz w:val="24"/>
                <w:szCs w:val="24"/>
                <w:lang w:val="en-US" w:eastAsia="zh-CN"/>
              </w:rPr>
              <w:t>＞70</w:t>
            </w:r>
          </w:p>
        </w:tc>
        <w:tc>
          <w:tcPr>
            <w:tcW w:w="1319" w:type="dxa"/>
            <w:tcBorders>
              <w:tl2br w:val="nil"/>
              <w:tr2bl w:val="nil"/>
            </w:tcBorders>
            <w:noWrap w:val="0"/>
            <w:vAlign w:val="center"/>
          </w:tcPr>
          <w:p w14:paraId="5D5FD1F4">
            <w:pPr>
              <w:adjustRightInd w:val="0"/>
              <w:snapToGrid w:val="0"/>
              <w:spacing w:line="400" w:lineRule="exact"/>
              <w:jc w:val="center"/>
              <w:rPr>
                <w:rFonts w:hint="default" w:ascii="Times New Roman" w:hAnsi="Times New Roman" w:eastAsia="宋体"/>
                <w:b w:val="0"/>
                <w:bCs/>
                <w:color w:val="000000"/>
                <w:sz w:val="24"/>
                <w:szCs w:val="24"/>
                <w:lang w:val="en-US" w:eastAsia="zh-CN"/>
              </w:rPr>
            </w:pPr>
            <w:r>
              <w:rPr>
                <w:rFonts w:hint="eastAsia" w:ascii="Times New Roman" w:hAnsi="Times New Roman"/>
                <w:b w:val="0"/>
                <w:bCs/>
                <w:color w:val="000000"/>
                <w:sz w:val="24"/>
                <w:szCs w:val="24"/>
                <w:lang w:val="en-US" w:eastAsia="zh-CN"/>
              </w:rPr>
              <w:t>预期性</w:t>
            </w:r>
          </w:p>
        </w:tc>
      </w:tr>
      <w:tr w14:paraId="77C828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exact"/>
          <w:tblCellSpacing w:w="0" w:type="dxa"/>
          <w:jc w:val="center"/>
        </w:trPr>
        <w:tc>
          <w:tcPr>
            <w:tcW w:w="747" w:type="dxa"/>
            <w:vMerge w:val="restart"/>
            <w:tcBorders>
              <w:tl2br w:val="nil"/>
              <w:tr2bl w:val="nil"/>
            </w:tcBorders>
            <w:noWrap w:val="0"/>
            <w:vAlign w:val="center"/>
          </w:tcPr>
          <w:p w14:paraId="20078950">
            <w:pPr>
              <w:pStyle w:val="8"/>
              <w:adjustRightInd w:val="0"/>
              <w:snapToGrid w:val="0"/>
              <w:spacing w:line="360" w:lineRule="exact"/>
              <w:jc w:val="center"/>
              <w:rPr>
                <w:rFonts w:ascii="Times New Roman" w:hAnsi="Times New Roman"/>
                <w:b w:val="0"/>
                <w:bCs/>
                <w:color w:val="000000"/>
                <w:kern w:val="0"/>
                <w:sz w:val="24"/>
                <w:szCs w:val="24"/>
              </w:rPr>
            </w:pPr>
            <w:r>
              <w:rPr>
                <w:rFonts w:ascii="Times New Roman" w:hAnsi="Times New Roman"/>
                <w:b w:val="0"/>
                <w:bCs/>
                <w:color w:val="000000"/>
                <w:kern w:val="0"/>
                <w:sz w:val="24"/>
                <w:szCs w:val="24"/>
              </w:rPr>
              <w:t>高中</w:t>
            </w:r>
          </w:p>
          <w:p w14:paraId="14140E48">
            <w:pPr>
              <w:pStyle w:val="8"/>
              <w:adjustRightInd w:val="0"/>
              <w:snapToGrid w:val="0"/>
              <w:spacing w:line="360" w:lineRule="exact"/>
              <w:jc w:val="center"/>
              <w:rPr>
                <w:rFonts w:ascii="Times New Roman" w:hAnsi="Times New Roman"/>
                <w:b w:val="0"/>
                <w:bCs/>
                <w:color w:val="000000"/>
                <w:kern w:val="0"/>
                <w:sz w:val="24"/>
                <w:szCs w:val="24"/>
              </w:rPr>
            </w:pPr>
            <w:r>
              <w:rPr>
                <w:rFonts w:ascii="Times New Roman" w:hAnsi="Times New Roman"/>
                <w:b w:val="0"/>
                <w:bCs/>
                <w:color w:val="000000"/>
                <w:kern w:val="0"/>
                <w:sz w:val="24"/>
                <w:szCs w:val="24"/>
              </w:rPr>
              <w:t>阶段</w:t>
            </w:r>
          </w:p>
          <w:p w14:paraId="11B72D43">
            <w:pPr>
              <w:pStyle w:val="8"/>
              <w:adjustRightInd w:val="0"/>
              <w:snapToGrid w:val="0"/>
              <w:spacing w:line="360" w:lineRule="exact"/>
              <w:jc w:val="center"/>
              <w:rPr>
                <w:rFonts w:ascii="Times New Roman" w:hAnsi="Times New Roman"/>
                <w:b w:val="0"/>
                <w:bCs/>
                <w:color w:val="000000"/>
                <w:sz w:val="24"/>
                <w:szCs w:val="24"/>
              </w:rPr>
            </w:pPr>
            <w:r>
              <w:rPr>
                <w:rFonts w:ascii="Times New Roman" w:hAnsi="Times New Roman"/>
                <w:b w:val="0"/>
                <w:bCs/>
                <w:color w:val="000000"/>
                <w:kern w:val="0"/>
                <w:sz w:val="24"/>
                <w:szCs w:val="24"/>
              </w:rPr>
              <w:t>教育</w:t>
            </w:r>
          </w:p>
        </w:tc>
        <w:tc>
          <w:tcPr>
            <w:tcW w:w="4907" w:type="dxa"/>
            <w:tcBorders>
              <w:tl2br w:val="nil"/>
              <w:tr2bl w:val="nil"/>
            </w:tcBorders>
            <w:noWrap w:val="0"/>
            <w:vAlign w:val="center"/>
          </w:tcPr>
          <w:p w14:paraId="40A6857B">
            <w:pPr>
              <w:pStyle w:val="8"/>
              <w:adjustRightInd w:val="0"/>
              <w:snapToGrid w:val="0"/>
              <w:spacing w:line="400" w:lineRule="exact"/>
              <w:rPr>
                <w:rFonts w:ascii="Times New Roman" w:hAnsi="Times New Roman"/>
                <w:b w:val="0"/>
                <w:bCs/>
                <w:color w:val="000000"/>
                <w:sz w:val="24"/>
                <w:szCs w:val="24"/>
              </w:rPr>
            </w:pPr>
            <w:r>
              <w:rPr>
                <w:rFonts w:ascii="Times New Roman" w:hAnsi="Times New Roman"/>
                <w:b w:val="0"/>
                <w:bCs/>
                <w:color w:val="000000"/>
                <w:kern w:val="0"/>
                <w:sz w:val="24"/>
                <w:szCs w:val="24"/>
              </w:rPr>
              <w:t>毛入学率（%）</w:t>
            </w:r>
          </w:p>
        </w:tc>
        <w:tc>
          <w:tcPr>
            <w:tcW w:w="1123" w:type="dxa"/>
            <w:tcBorders>
              <w:tl2br w:val="nil"/>
              <w:tr2bl w:val="nil"/>
            </w:tcBorders>
            <w:noWrap w:val="0"/>
            <w:vAlign w:val="center"/>
          </w:tcPr>
          <w:p w14:paraId="10ADBABA">
            <w:pPr>
              <w:pStyle w:val="8"/>
              <w:adjustRightInd w:val="0"/>
              <w:snapToGrid w:val="0"/>
              <w:spacing w:line="400" w:lineRule="exact"/>
              <w:jc w:val="center"/>
              <w:rPr>
                <w:rFonts w:ascii="Times New Roman" w:hAnsi="Times New Roman"/>
                <w:b w:val="0"/>
                <w:bCs/>
                <w:color w:val="000000"/>
                <w:sz w:val="24"/>
                <w:szCs w:val="24"/>
              </w:rPr>
            </w:pPr>
            <w:r>
              <w:rPr>
                <w:rFonts w:ascii="Times New Roman" w:hAnsi="Times New Roman"/>
                <w:b w:val="0"/>
                <w:bCs/>
                <w:color w:val="000000"/>
                <w:sz w:val="24"/>
                <w:szCs w:val="24"/>
              </w:rPr>
              <w:t>95.5</w:t>
            </w:r>
          </w:p>
        </w:tc>
        <w:tc>
          <w:tcPr>
            <w:tcW w:w="1246" w:type="dxa"/>
            <w:tcBorders>
              <w:tl2br w:val="nil"/>
              <w:tr2bl w:val="nil"/>
            </w:tcBorders>
            <w:noWrap w:val="0"/>
            <w:vAlign w:val="center"/>
          </w:tcPr>
          <w:p w14:paraId="248DCB45">
            <w:pPr>
              <w:pStyle w:val="8"/>
              <w:adjustRightInd w:val="0"/>
              <w:snapToGrid w:val="0"/>
              <w:spacing w:line="400" w:lineRule="exact"/>
              <w:jc w:val="center"/>
              <w:rPr>
                <w:rFonts w:hint="default" w:ascii="Times New Roman" w:hAnsi="Times New Roman" w:eastAsia="宋体"/>
                <w:b w:val="0"/>
                <w:bCs/>
                <w:color w:val="000000"/>
                <w:kern w:val="0"/>
                <w:sz w:val="24"/>
                <w:szCs w:val="24"/>
                <w:lang w:val="en-US" w:eastAsia="zh-CN"/>
              </w:rPr>
            </w:pPr>
            <w:r>
              <w:rPr>
                <w:rFonts w:hint="eastAsia" w:ascii="Times New Roman" w:hAnsi="Times New Roman"/>
                <w:b w:val="0"/>
                <w:bCs/>
                <w:color w:val="000000"/>
                <w:sz w:val="24"/>
                <w:szCs w:val="24"/>
                <w:lang w:val="en-US" w:eastAsia="zh-CN"/>
              </w:rPr>
              <w:t>＞96</w:t>
            </w:r>
          </w:p>
        </w:tc>
        <w:tc>
          <w:tcPr>
            <w:tcW w:w="1319" w:type="dxa"/>
            <w:tcBorders>
              <w:tl2br w:val="nil"/>
              <w:tr2bl w:val="nil"/>
            </w:tcBorders>
            <w:noWrap w:val="0"/>
            <w:vAlign w:val="center"/>
          </w:tcPr>
          <w:p w14:paraId="141A826E">
            <w:pPr>
              <w:adjustRightInd w:val="0"/>
              <w:snapToGrid w:val="0"/>
              <w:spacing w:line="400" w:lineRule="exact"/>
              <w:jc w:val="center"/>
              <w:rPr>
                <w:rFonts w:hint="eastAsia" w:ascii="Times New Roman" w:hAnsi="Times New Roman"/>
                <w:b w:val="0"/>
                <w:bCs/>
                <w:color w:val="000000"/>
                <w:sz w:val="24"/>
                <w:szCs w:val="24"/>
                <w:lang w:val="en-US" w:eastAsia="zh-CN"/>
              </w:rPr>
            </w:pPr>
            <w:r>
              <w:rPr>
                <w:rFonts w:hint="eastAsia" w:ascii="Times New Roman" w:hAnsi="Times New Roman"/>
                <w:b w:val="0"/>
                <w:bCs/>
                <w:color w:val="000000"/>
                <w:sz w:val="24"/>
                <w:szCs w:val="24"/>
                <w:lang w:val="en-US" w:eastAsia="zh-CN"/>
              </w:rPr>
              <w:t>预期性</w:t>
            </w:r>
          </w:p>
        </w:tc>
      </w:tr>
      <w:tr w14:paraId="348C25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5" w:hRule="exact"/>
          <w:tblCellSpacing w:w="0" w:type="dxa"/>
          <w:jc w:val="center"/>
        </w:trPr>
        <w:tc>
          <w:tcPr>
            <w:tcW w:w="747" w:type="dxa"/>
            <w:vMerge w:val="continue"/>
            <w:tcBorders>
              <w:tl2br w:val="nil"/>
              <w:tr2bl w:val="nil"/>
            </w:tcBorders>
            <w:noWrap w:val="0"/>
            <w:vAlign w:val="center"/>
          </w:tcPr>
          <w:p w14:paraId="191411F8">
            <w:pPr>
              <w:pStyle w:val="8"/>
              <w:adjustRightInd w:val="0"/>
              <w:snapToGrid w:val="0"/>
              <w:spacing w:line="360" w:lineRule="exact"/>
              <w:jc w:val="center"/>
              <w:rPr>
                <w:rFonts w:ascii="Times New Roman" w:hAnsi="Times New Roman"/>
                <w:b w:val="0"/>
                <w:bCs/>
                <w:color w:val="000000"/>
                <w:kern w:val="0"/>
                <w:sz w:val="24"/>
                <w:szCs w:val="24"/>
              </w:rPr>
            </w:pPr>
          </w:p>
        </w:tc>
        <w:tc>
          <w:tcPr>
            <w:tcW w:w="4907" w:type="dxa"/>
            <w:tcBorders>
              <w:tl2br w:val="nil"/>
              <w:tr2bl w:val="nil"/>
            </w:tcBorders>
            <w:noWrap w:val="0"/>
            <w:vAlign w:val="center"/>
          </w:tcPr>
          <w:p w14:paraId="74175379">
            <w:pPr>
              <w:pStyle w:val="8"/>
              <w:adjustRightInd w:val="0"/>
              <w:snapToGrid w:val="0"/>
              <w:spacing w:line="400" w:lineRule="exact"/>
              <w:rPr>
                <w:rFonts w:ascii="Times New Roman" w:hAnsi="Times New Roman"/>
                <w:b w:val="0"/>
                <w:bCs/>
                <w:color w:val="000000"/>
                <w:kern w:val="0"/>
                <w:sz w:val="24"/>
                <w:szCs w:val="24"/>
              </w:rPr>
            </w:pPr>
            <w:r>
              <w:rPr>
                <w:rFonts w:hint="eastAsia" w:ascii="Times New Roman" w:hAnsi="Times New Roman"/>
                <w:b w:val="0"/>
                <w:bCs/>
                <w:color w:val="000000"/>
                <w:kern w:val="0"/>
                <w:sz w:val="24"/>
                <w:szCs w:val="24"/>
                <w:lang w:val="en-US" w:eastAsia="zh-CN"/>
              </w:rPr>
              <w:t>普通</w:t>
            </w:r>
            <w:r>
              <w:rPr>
                <w:rFonts w:hint="eastAsia" w:ascii="Times New Roman" w:hAnsi="Times New Roman"/>
                <w:b w:val="0"/>
                <w:bCs/>
                <w:color w:val="000000"/>
                <w:kern w:val="0"/>
                <w:sz w:val="24"/>
                <w:szCs w:val="24"/>
                <w:lang w:eastAsia="zh-CN"/>
              </w:rPr>
              <w:t>高中入学</w:t>
            </w:r>
            <w:r>
              <w:rPr>
                <w:rFonts w:ascii="Times New Roman" w:hAnsi="Times New Roman"/>
                <w:b w:val="0"/>
                <w:bCs/>
                <w:color w:val="000000"/>
                <w:kern w:val="0"/>
                <w:sz w:val="24"/>
                <w:szCs w:val="24"/>
              </w:rPr>
              <w:t>率（%）</w:t>
            </w:r>
          </w:p>
        </w:tc>
        <w:tc>
          <w:tcPr>
            <w:tcW w:w="1123" w:type="dxa"/>
            <w:tcBorders>
              <w:tl2br w:val="nil"/>
              <w:tr2bl w:val="nil"/>
            </w:tcBorders>
            <w:noWrap w:val="0"/>
            <w:vAlign w:val="center"/>
          </w:tcPr>
          <w:p w14:paraId="2DF974F7">
            <w:pPr>
              <w:pStyle w:val="8"/>
              <w:adjustRightInd w:val="0"/>
              <w:snapToGrid w:val="0"/>
              <w:spacing w:line="400" w:lineRule="exact"/>
              <w:jc w:val="center"/>
              <w:rPr>
                <w:rFonts w:hint="default" w:ascii="Times New Roman" w:hAnsi="Times New Roman" w:eastAsia="宋体"/>
                <w:b w:val="0"/>
                <w:bCs/>
                <w:color w:val="000000"/>
                <w:kern w:val="0"/>
                <w:sz w:val="24"/>
                <w:szCs w:val="24"/>
                <w:lang w:val="en-US" w:eastAsia="zh-CN"/>
              </w:rPr>
            </w:pPr>
            <w:r>
              <w:rPr>
                <w:rFonts w:hint="eastAsia" w:ascii="Times New Roman" w:hAnsi="Times New Roman"/>
                <w:b w:val="0"/>
                <w:bCs/>
                <w:color w:val="000000"/>
                <w:kern w:val="0"/>
                <w:sz w:val="24"/>
                <w:szCs w:val="24"/>
                <w:lang w:val="en-US" w:eastAsia="zh-CN"/>
              </w:rPr>
              <w:t>55</w:t>
            </w:r>
          </w:p>
        </w:tc>
        <w:tc>
          <w:tcPr>
            <w:tcW w:w="1246" w:type="dxa"/>
            <w:tcBorders>
              <w:tl2br w:val="nil"/>
              <w:tr2bl w:val="nil"/>
            </w:tcBorders>
            <w:noWrap w:val="0"/>
            <w:vAlign w:val="center"/>
          </w:tcPr>
          <w:p w14:paraId="1342A139">
            <w:pPr>
              <w:pStyle w:val="8"/>
              <w:adjustRightInd w:val="0"/>
              <w:snapToGrid w:val="0"/>
              <w:spacing w:line="400" w:lineRule="exact"/>
              <w:jc w:val="center"/>
              <w:rPr>
                <w:rFonts w:hint="default" w:ascii="Times New Roman" w:hAnsi="Times New Roman" w:eastAsia="宋体"/>
                <w:b w:val="0"/>
                <w:bCs/>
                <w:color w:val="000000"/>
                <w:kern w:val="0"/>
                <w:sz w:val="24"/>
                <w:szCs w:val="24"/>
                <w:lang w:val="en-US" w:eastAsia="zh-CN"/>
              </w:rPr>
            </w:pPr>
            <w:r>
              <w:rPr>
                <w:rFonts w:hint="eastAsia" w:ascii="Times New Roman" w:hAnsi="Times New Roman"/>
                <w:b w:val="0"/>
                <w:bCs/>
                <w:color w:val="000000"/>
                <w:kern w:val="0"/>
                <w:sz w:val="24"/>
                <w:szCs w:val="24"/>
                <w:lang w:val="en-US" w:eastAsia="zh-CN"/>
              </w:rPr>
              <w:t>70</w:t>
            </w:r>
          </w:p>
        </w:tc>
        <w:tc>
          <w:tcPr>
            <w:tcW w:w="1319" w:type="dxa"/>
            <w:tcBorders>
              <w:tl2br w:val="nil"/>
              <w:tr2bl w:val="nil"/>
            </w:tcBorders>
            <w:noWrap w:val="0"/>
            <w:vAlign w:val="center"/>
          </w:tcPr>
          <w:p w14:paraId="352AF16A">
            <w:pPr>
              <w:adjustRightInd w:val="0"/>
              <w:snapToGrid w:val="0"/>
              <w:spacing w:line="400" w:lineRule="exact"/>
              <w:jc w:val="center"/>
              <w:rPr>
                <w:rFonts w:hint="eastAsia" w:ascii="Times New Roman" w:hAnsi="Times New Roman"/>
                <w:b w:val="0"/>
                <w:bCs/>
                <w:color w:val="000000"/>
                <w:kern w:val="0"/>
                <w:sz w:val="24"/>
                <w:szCs w:val="24"/>
                <w:lang w:val="en-US" w:eastAsia="zh-CN"/>
              </w:rPr>
            </w:pPr>
            <w:r>
              <w:rPr>
                <w:rFonts w:hint="eastAsia" w:ascii="Times New Roman" w:hAnsi="Times New Roman"/>
                <w:b w:val="0"/>
                <w:bCs/>
                <w:color w:val="000000"/>
                <w:sz w:val="24"/>
                <w:szCs w:val="24"/>
                <w:lang w:val="en-US" w:eastAsia="zh-CN"/>
              </w:rPr>
              <w:t>预期性</w:t>
            </w:r>
          </w:p>
        </w:tc>
      </w:tr>
      <w:tr w14:paraId="7B5AF5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10" w:hRule="exact"/>
          <w:tblCellSpacing w:w="0" w:type="dxa"/>
          <w:jc w:val="center"/>
        </w:trPr>
        <w:tc>
          <w:tcPr>
            <w:tcW w:w="747" w:type="dxa"/>
            <w:vMerge w:val="continue"/>
            <w:tcBorders>
              <w:tl2br w:val="nil"/>
              <w:tr2bl w:val="nil"/>
            </w:tcBorders>
            <w:noWrap w:val="0"/>
            <w:vAlign w:val="center"/>
          </w:tcPr>
          <w:p w14:paraId="1E024FED">
            <w:pPr>
              <w:pStyle w:val="8"/>
              <w:adjustRightInd w:val="0"/>
              <w:snapToGrid w:val="0"/>
              <w:spacing w:line="360" w:lineRule="exact"/>
              <w:jc w:val="center"/>
              <w:rPr>
                <w:rFonts w:ascii="Times New Roman" w:hAnsi="Times New Roman"/>
                <w:b w:val="0"/>
                <w:bCs/>
                <w:color w:val="000000"/>
                <w:kern w:val="0"/>
                <w:sz w:val="24"/>
                <w:szCs w:val="24"/>
              </w:rPr>
            </w:pPr>
          </w:p>
        </w:tc>
        <w:tc>
          <w:tcPr>
            <w:tcW w:w="4907" w:type="dxa"/>
            <w:tcBorders>
              <w:tl2br w:val="nil"/>
              <w:tr2bl w:val="nil"/>
            </w:tcBorders>
            <w:noWrap w:val="0"/>
            <w:vAlign w:val="center"/>
          </w:tcPr>
          <w:p w14:paraId="18D50566">
            <w:pPr>
              <w:pStyle w:val="8"/>
              <w:adjustRightInd w:val="0"/>
              <w:snapToGrid w:val="0"/>
              <w:spacing w:line="400" w:lineRule="exact"/>
              <w:rPr>
                <w:rFonts w:ascii="Times New Roman" w:hAnsi="Times New Roman"/>
                <w:b w:val="0"/>
                <w:bCs/>
                <w:color w:val="000000"/>
                <w:spacing w:val="-6"/>
                <w:kern w:val="0"/>
                <w:sz w:val="24"/>
                <w:szCs w:val="24"/>
              </w:rPr>
            </w:pPr>
            <w:r>
              <w:rPr>
                <w:rFonts w:hint="eastAsia" w:ascii="Times New Roman" w:hAnsi="Times New Roman"/>
                <w:b w:val="0"/>
                <w:bCs/>
                <w:color w:val="000000"/>
                <w:spacing w:val="-6"/>
                <w:kern w:val="0"/>
                <w:sz w:val="24"/>
                <w:szCs w:val="24"/>
              </w:rPr>
              <w:t>高中阶段教育完成率（%）</w:t>
            </w:r>
          </w:p>
        </w:tc>
        <w:tc>
          <w:tcPr>
            <w:tcW w:w="1123" w:type="dxa"/>
            <w:tcBorders>
              <w:tl2br w:val="nil"/>
              <w:tr2bl w:val="nil"/>
            </w:tcBorders>
            <w:noWrap w:val="0"/>
            <w:vAlign w:val="center"/>
          </w:tcPr>
          <w:p w14:paraId="2A45B458">
            <w:pPr>
              <w:pStyle w:val="8"/>
              <w:adjustRightInd w:val="0"/>
              <w:snapToGrid w:val="0"/>
              <w:spacing w:line="400" w:lineRule="exact"/>
              <w:jc w:val="center"/>
              <w:rPr>
                <w:rFonts w:ascii="Times New Roman" w:hAnsi="Times New Roman"/>
                <w:b w:val="0"/>
                <w:bCs/>
                <w:color w:val="000000"/>
                <w:kern w:val="0"/>
                <w:sz w:val="24"/>
                <w:szCs w:val="24"/>
              </w:rPr>
            </w:pPr>
            <w:r>
              <w:rPr>
                <w:rFonts w:hint="eastAsia" w:ascii="Times New Roman" w:hAnsi="Times New Roman"/>
                <w:b w:val="0"/>
                <w:bCs/>
                <w:color w:val="000000"/>
                <w:kern w:val="0"/>
                <w:sz w:val="24"/>
                <w:szCs w:val="24"/>
                <w:lang w:val="en-US" w:eastAsia="zh-CN"/>
              </w:rPr>
              <w:t>—</w:t>
            </w:r>
          </w:p>
        </w:tc>
        <w:tc>
          <w:tcPr>
            <w:tcW w:w="1246" w:type="dxa"/>
            <w:tcBorders>
              <w:tl2br w:val="nil"/>
              <w:tr2bl w:val="nil"/>
            </w:tcBorders>
            <w:noWrap w:val="0"/>
            <w:vAlign w:val="center"/>
          </w:tcPr>
          <w:p w14:paraId="15F6F510">
            <w:pPr>
              <w:pStyle w:val="8"/>
              <w:adjustRightInd w:val="0"/>
              <w:snapToGrid w:val="0"/>
              <w:spacing w:line="400" w:lineRule="exact"/>
              <w:jc w:val="center"/>
              <w:rPr>
                <w:rFonts w:hint="default" w:ascii="Times New Roman" w:hAnsi="Times New Roman"/>
                <w:b w:val="0"/>
                <w:bCs/>
                <w:color w:val="000000"/>
                <w:kern w:val="0"/>
                <w:sz w:val="24"/>
                <w:szCs w:val="24"/>
                <w:lang w:val="en-US" w:eastAsia="zh-CN"/>
              </w:rPr>
            </w:pPr>
            <w:r>
              <w:rPr>
                <w:rFonts w:hint="eastAsia" w:ascii="Times New Roman" w:hAnsi="Times New Roman"/>
                <w:b w:val="0"/>
                <w:bCs/>
                <w:color w:val="000000"/>
                <w:kern w:val="0"/>
                <w:sz w:val="24"/>
                <w:szCs w:val="24"/>
                <w:lang w:val="en-US" w:eastAsia="zh-CN"/>
              </w:rPr>
              <w:t>90</w:t>
            </w:r>
          </w:p>
        </w:tc>
        <w:tc>
          <w:tcPr>
            <w:tcW w:w="1319" w:type="dxa"/>
            <w:tcBorders>
              <w:tl2br w:val="nil"/>
              <w:tr2bl w:val="nil"/>
            </w:tcBorders>
            <w:noWrap w:val="0"/>
            <w:vAlign w:val="center"/>
          </w:tcPr>
          <w:p w14:paraId="2B1F2F44">
            <w:pPr>
              <w:adjustRightInd w:val="0"/>
              <w:snapToGrid w:val="0"/>
              <w:spacing w:line="400" w:lineRule="exact"/>
              <w:jc w:val="center"/>
              <w:rPr>
                <w:rFonts w:hint="eastAsia" w:ascii="Times New Roman" w:hAnsi="Times New Roman"/>
                <w:b w:val="0"/>
                <w:bCs/>
                <w:color w:val="000000"/>
                <w:sz w:val="24"/>
                <w:szCs w:val="24"/>
                <w:lang w:val="en-US" w:eastAsia="zh-CN"/>
              </w:rPr>
            </w:pPr>
            <w:r>
              <w:rPr>
                <w:rFonts w:hint="eastAsia" w:ascii="Times New Roman" w:hAnsi="Times New Roman"/>
                <w:b w:val="0"/>
                <w:bCs/>
                <w:color w:val="000000"/>
                <w:sz w:val="24"/>
                <w:szCs w:val="24"/>
                <w:lang w:val="en-US" w:eastAsia="zh-CN"/>
              </w:rPr>
              <w:t>预期性</w:t>
            </w:r>
          </w:p>
        </w:tc>
      </w:tr>
      <w:tr w14:paraId="650CD2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35" w:hRule="exact"/>
          <w:tblCellSpacing w:w="0" w:type="dxa"/>
          <w:jc w:val="center"/>
        </w:trPr>
        <w:tc>
          <w:tcPr>
            <w:tcW w:w="747" w:type="dxa"/>
            <w:vMerge w:val="continue"/>
            <w:tcBorders>
              <w:tl2br w:val="nil"/>
              <w:tr2bl w:val="nil"/>
            </w:tcBorders>
            <w:noWrap w:val="0"/>
            <w:vAlign w:val="center"/>
          </w:tcPr>
          <w:p w14:paraId="47597A95">
            <w:pPr>
              <w:pStyle w:val="8"/>
              <w:adjustRightInd w:val="0"/>
              <w:snapToGrid w:val="0"/>
              <w:spacing w:line="360" w:lineRule="exact"/>
              <w:jc w:val="center"/>
              <w:rPr>
                <w:rFonts w:ascii="Times New Roman" w:hAnsi="Times New Roman"/>
                <w:b w:val="0"/>
                <w:bCs/>
                <w:color w:val="000000"/>
                <w:kern w:val="0"/>
                <w:sz w:val="24"/>
                <w:szCs w:val="24"/>
              </w:rPr>
            </w:pPr>
          </w:p>
        </w:tc>
        <w:tc>
          <w:tcPr>
            <w:tcW w:w="4907" w:type="dxa"/>
            <w:tcBorders>
              <w:tl2br w:val="nil"/>
              <w:tr2bl w:val="nil"/>
            </w:tcBorders>
            <w:noWrap w:val="0"/>
            <w:vAlign w:val="center"/>
          </w:tcPr>
          <w:p w14:paraId="52AC5519">
            <w:pPr>
              <w:pStyle w:val="8"/>
              <w:adjustRightInd w:val="0"/>
              <w:snapToGrid w:val="0"/>
              <w:spacing w:line="400" w:lineRule="exact"/>
              <w:rPr>
                <w:rFonts w:hint="eastAsia" w:ascii="Times New Roman" w:hAnsi="Times New Roman"/>
                <w:b w:val="0"/>
                <w:bCs/>
                <w:color w:val="000000"/>
                <w:kern w:val="0"/>
                <w:sz w:val="24"/>
                <w:szCs w:val="24"/>
                <w:lang w:val="en-US" w:eastAsia="zh-CN"/>
              </w:rPr>
            </w:pPr>
            <w:r>
              <w:rPr>
                <w:rFonts w:ascii="Times New Roman" w:hAnsi="Times New Roman"/>
                <w:b w:val="0"/>
                <w:bCs/>
                <w:color w:val="000000"/>
                <w:spacing w:val="-6"/>
                <w:kern w:val="0"/>
                <w:sz w:val="24"/>
                <w:szCs w:val="24"/>
              </w:rPr>
              <w:t>普通高中和中等职业学校教师研究生学历或硕士学位以上比例（%）</w:t>
            </w:r>
          </w:p>
        </w:tc>
        <w:tc>
          <w:tcPr>
            <w:tcW w:w="1123" w:type="dxa"/>
            <w:tcBorders>
              <w:tl2br w:val="nil"/>
              <w:tr2bl w:val="nil"/>
            </w:tcBorders>
            <w:noWrap w:val="0"/>
            <w:vAlign w:val="center"/>
          </w:tcPr>
          <w:p w14:paraId="53A8A278">
            <w:pPr>
              <w:pStyle w:val="8"/>
              <w:adjustRightInd w:val="0"/>
              <w:snapToGrid w:val="0"/>
              <w:spacing w:line="400" w:lineRule="exact"/>
              <w:jc w:val="center"/>
              <w:rPr>
                <w:rFonts w:hint="eastAsia" w:ascii="Times New Roman" w:hAnsi="Times New Roman"/>
                <w:b w:val="0"/>
                <w:bCs/>
                <w:color w:val="000000"/>
                <w:kern w:val="0"/>
                <w:sz w:val="24"/>
                <w:szCs w:val="24"/>
                <w:lang w:val="en-US" w:eastAsia="zh-CN"/>
              </w:rPr>
            </w:pPr>
            <w:r>
              <w:rPr>
                <w:rFonts w:ascii="Times New Roman" w:hAnsi="Times New Roman"/>
                <w:b w:val="0"/>
                <w:bCs/>
                <w:color w:val="000000"/>
                <w:kern w:val="0"/>
                <w:sz w:val="24"/>
                <w:szCs w:val="24"/>
              </w:rPr>
              <w:t>15</w:t>
            </w:r>
          </w:p>
        </w:tc>
        <w:tc>
          <w:tcPr>
            <w:tcW w:w="1246" w:type="dxa"/>
            <w:tcBorders>
              <w:tl2br w:val="nil"/>
              <w:tr2bl w:val="nil"/>
            </w:tcBorders>
            <w:noWrap w:val="0"/>
            <w:vAlign w:val="center"/>
          </w:tcPr>
          <w:p w14:paraId="315A38DA">
            <w:pPr>
              <w:pStyle w:val="8"/>
              <w:adjustRightInd w:val="0"/>
              <w:snapToGrid w:val="0"/>
              <w:spacing w:line="400" w:lineRule="exact"/>
              <w:jc w:val="center"/>
              <w:rPr>
                <w:rFonts w:hint="default" w:ascii="Times New Roman" w:hAnsi="Times New Roman"/>
                <w:b w:val="0"/>
                <w:bCs/>
                <w:color w:val="000000"/>
                <w:kern w:val="0"/>
                <w:sz w:val="24"/>
                <w:szCs w:val="24"/>
                <w:lang w:val="en-US" w:eastAsia="zh-CN"/>
              </w:rPr>
            </w:pPr>
            <w:r>
              <w:rPr>
                <w:rFonts w:hint="eastAsia" w:ascii="Times New Roman" w:hAnsi="Times New Roman"/>
                <w:b w:val="0"/>
                <w:bCs/>
                <w:color w:val="000000"/>
                <w:kern w:val="0"/>
                <w:sz w:val="24"/>
                <w:szCs w:val="24"/>
                <w:lang w:val="en-US" w:eastAsia="zh-CN"/>
              </w:rPr>
              <w:t>20</w:t>
            </w:r>
          </w:p>
        </w:tc>
        <w:tc>
          <w:tcPr>
            <w:tcW w:w="1319" w:type="dxa"/>
            <w:tcBorders>
              <w:tl2br w:val="nil"/>
              <w:tr2bl w:val="nil"/>
            </w:tcBorders>
            <w:noWrap w:val="0"/>
            <w:vAlign w:val="center"/>
          </w:tcPr>
          <w:p w14:paraId="7C94BF01">
            <w:pPr>
              <w:adjustRightInd w:val="0"/>
              <w:snapToGrid w:val="0"/>
              <w:spacing w:line="400" w:lineRule="exact"/>
              <w:jc w:val="center"/>
              <w:rPr>
                <w:rFonts w:hint="eastAsia" w:ascii="Times New Roman" w:hAnsi="Times New Roman"/>
                <w:b w:val="0"/>
                <w:bCs/>
                <w:color w:val="000000"/>
                <w:kern w:val="0"/>
                <w:sz w:val="24"/>
                <w:szCs w:val="24"/>
                <w:lang w:val="en-US" w:eastAsia="zh-CN"/>
              </w:rPr>
            </w:pPr>
            <w:r>
              <w:rPr>
                <w:rFonts w:hint="eastAsia" w:ascii="Times New Roman" w:hAnsi="Times New Roman"/>
                <w:b w:val="0"/>
                <w:bCs/>
                <w:color w:val="000000"/>
                <w:sz w:val="24"/>
                <w:szCs w:val="24"/>
                <w:lang w:val="en-US" w:eastAsia="zh-CN"/>
              </w:rPr>
              <w:t>预期性</w:t>
            </w:r>
          </w:p>
        </w:tc>
      </w:tr>
      <w:tr w14:paraId="3642B5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10" w:hRule="exact"/>
          <w:tblCellSpacing w:w="0" w:type="dxa"/>
          <w:jc w:val="center"/>
        </w:trPr>
        <w:tc>
          <w:tcPr>
            <w:tcW w:w="747" w:type="dxa"/>
            <w:vMerge w:val="continue"/>
            <w:tcBorders>
              <w:tl2br w:val="nil"/>
              <w:tr2bl w:val="nil"/>
            </w:tcBorders>
            <w:noWrap w:val="0"/>
            <w:vAlign w:val="center"/>
          </w:tcPr>
          <w:p w14:paraId="0204B4FA">
            <w:pPr>
              <w:pStyle w:val="8"/>
              <w:adjustRightInd w:val="0"/>
              <w:snapToGrid w:val="0"/>
              <w:spacing w:line="360" w:lineRule="exact"/>
              <w:jc w:val="center"/>
              <w:rPr>
                <w:rFonts w:ascii="Times New Roman" w:hAnsi="Times New Roman"/>
                <w:b w:val="0"/>
                <w:bCs/>
                <w:color w:val="000000"/>
                <w:kern w:val="0"/>
                <w:sz w:val="24"/>
                <w:szCs w:val="24"/>
              </w:rPr>
            </w:pPr>
          </w:p>
        </w:tc>
        <w:tc>
          <w:tcPr>
            <w:tcW w:w="4907" w:type="dxa"/>
            <w:tcBorders>
              <w:tl2br w:val="nil"/>
              <w:tr2bl w:val="nil"/>
            </w:tcBorders>
            <w:noWrap w:val="0"/>
            <w:vAlign w:val="center"/>
          </w:tcPr>
          <w:p w14:paraId="20C3799B">
            <w:pPr>
              <w:pStyle w:val="8"/>
              <w:adjustRightInd w:val="0"/>
              <w:snapToGrid w:val="0"/>
              <w:spacing w:line="400" w:lineRule="exact"/>
              <w:rPr>
                <w:rFonts w:hint="eastAsia" w:ascii="Times New Roman" w:hAnsi="Times New Roman"/>
                <w:b w:val="0"/>
                <w:bCs/>
                <w:color w:val="000000"/>
                <w:kern w:val="0"/>
                <w:sz w:val="24"/>
                <w:szCs w:val="24"/>
                <w:lang w:val="en-US" w:eastAsia="zh-CN"/>
              </w:rPr>
            </w:pPr>
            <w:r>
              <w:rPr>
                <w:rFonts w:ascii="Times New Roman" w:hAnsi="Times New Roman"/>
                <w:b w:val="0"/>
                <w:bCs/>
                <w:color w:val="000000"/>
                <w:spacing w:val="-6"/>
                <w:kern w:val="0"/>
                <w:sz w:val="24"/>
                <w:szCs w:val="24"/>
              </w:rPr>
              <w:t>中职学校双师型</w:t>
            </w:r>
            <w:r>
              <w:rPr>
                <w:rFonts w:hint="eastAsia" w:ascii="Times New Roman" w:hAnsi="Times New Roman"/>
                <w:b w:val="0"/>
                <w:bCs/>
                <w:color w:val="000000"/>
                <w:spacing w:val="-6"/>
                <w:kern w:val="0"/>
                <w:sz w:val="24"/>
                <w:szCs w:val="24"/>
                <w:lang w:val="en-US" w:eastAsia="zh-CN"/>
              </w:rPr>
              <w:t>教师占专业课教师</w:t>
            </w:r>
            <w:r>
              <w:rPr>
                <w:rFonts w:ascii="Times New Roman" w:hAnsi="Times New Roman"/>
                <w:b w:val="0"/>
                <w:bCs/>
                <w:color w:val="000000"/>
                <w:spacing w:val="-6"/>
                <w:kern w:val="0"/>
                <w:sz w:val="24"/>
                <w:szCs w:val="24"/>
              </w:rPr>
              <w:t>比例（%）</w:t>
            </w:r>
          </w:p>
        </w:tc>
        <w:tc>
          <w:tcPr>
            <w:tcW w:w="1123" w:type="dxa"/>
            <w:tcBorders>
              <w:tl2br w:val="nil"/>
              <w:tr2bl w:val="nil"/>
            </w:tcBorders>
            <w:noWrap w:val="0"/>
            <w:vAlign w:val="center"/>
          </w:tcPr>
          <w:p w14:paraId="1A4B5E44">
            <w:pPr>
              <w:pStyle w:val="8"/>
              <w:adjustRightInd w:val="0"/>
              <w:snapToGrid w:val="0"/>
              <w:spacing w:line="400" w:lineRule="exact"/>
              <w:jc w:val="center"/>
              <w:rPr>
                <w:rFonts w:hint="eastAsia" w:ascii="Times New Roman" w:hAnsi="Times New Roman"/>
                <w:b w:val="0"/>
                <w:bCs/>
                <w:color w:val="000000"/>
                <w:kern w:val="0"/>
                <w:sz w:val="24"/>
                <w:szCs w:val="24"/>
                <w:lang w:val="en-US" w:eastAsia="zh-CN"/>
              </w:rPr>
            </w:pPr>
            <w:r>
              <w:rPr>
                <w:rFonts w:ascii="Times New Roman" w:hAnsi="Times New Roman"/>
                <w:b w:val="0"/>
                <w:bCs/>
                <w:color w:val="000000"/>
                <w:kern w:val="0"/>
                <w:sz w:val="24"/>
                <w:szCs w:val="24"/>
              </w:rPr>
              <w:t>65</w:t>
            </w:r>
          </w:p>
        </w:tc>
        <w:tc>
          <w:tcPr>
            <w:tcW w:w="1246" w:type="dxa"/>
            <w:tcBorders>
              <w:tl2br w:val="nil"/>
              <w:tr2bl w:val="nil"/>
            </w:tcBorders>
            <w:noWrap w:val="0"/>
            <w:vAlign w:val="center"/>
          </w:tcPr>
          <w:p w14:paraId="75D6B686">
            <w:pPr>
              <w:pStyle w:val="8"/>
              <w:adjustRightInd w:val="0"/>
              <w:snapToGrid w:val="0"/>
              <w:spacing w:line="400" w:lineRule="exact"/>
              <w:jc w:val="center"/>
              <w:rPr>
                <w:rFonts w:hint="default" w:ascii="Times New Roman" w:hAnsi="Times New Roman"/>
                <w:b w:val="0"/>
                <w:bCs/>
                <w:color w:val="000000"/>
                <w:kern w:val="0"/>
                <w:sz w:val="24"/>
                <w:szCs w:val="24"/>
                <w:lang w:val="en-US" w:eastAsia="zh-CN"/>
              </w:rPr>
            </w:pPr>
            <w:r>
              <w:rPr>
                <w:rFonts w:hint="eastAsia" w:ascii="Times New Roman" w:hAnsi="Times New Roman"/>
                <w:b w:val="0"/>
                <w:bCs/>
                <w:color w:val="000000"/>
                <w:sz w:val="24"/>
                <w:szCs w:val="24"/>
                <w:lang w:val="en-US" w:eastAsia="zh-CN"/>
              </w:rPr>
              <w:t>＞65</w:t>
            </w:r>
          </w:p>
        </w:tc>
        <w:tc>
          <w:tcPr>
            <w:tcW w:w="1319" w:type="dxa"/>
            <w:tcBorders>
              <w:tl2br w:val="nil"/>
              <w:tr2bl w:val="nil"/>
            </w:tcBorders>
            <w:noWrap w:val="0"/>
            <w:vAlign w:val="center"/>
          </w:tcPr>
          <w:p w14:paraId="32998F6D">
            <w:pPr>
              <w:adjustRightInd w:val="0"/>
              <w:snapToGrid w:val="0"/>
              <w:spacing w:line="400" w:lineRule="exact"/>
              <w:jc w:val="center"/>
              <w:rPr>
                <w:rFonts w:hint="eastAsia" w:ascii="Times New Roman" w:hAnsi="Times New Roman"/>
                <w:b w:val="0"/>
                <w:bCs/>
                <w:color w:val="000000"/>
                <w:sz w:val="24"/>
                <w:szCs w:val="24"/>
                <w:lang w:val="en-US" w:eastAsia="zh-CN"/>
              </w:rPr>
            </w:pPr>
            <w:r>
              <w:rPr>
                <w:rFonts w:hint="eastAsia" w:ascii="Times New Roman" w:hAnsi="Times New Roman"/>
                <w:b w:val="0"/>
                <w:bCs/>
                <w:color w:val="000000"/>
                <w:sz w:val="24"/>
                <w:szCs w:val="24"/>
                <w:lang w:val="en-US" w:eastAsia="zh-CN"/>
              </w:rPr>
              <w:t>预期性</w:t>
            </w:r>
          </w:p>
        </w:tc>
      </w:tr>
      <w:tr w14:paraId="66F767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5" w:hRule="exact"/>
          <w:tblCellSpacing w:w="0" w:type="dxa"/>
          <w:jc w:val="center"/>
        </w:trPr>
        <w:tc>
          <w:tcPr>
            <w:tcW w:w="747" w:type="dxa"/>
            <w:tcBorders>
              <w:tl2br w:val="nil"/>
              <w:tr2bl w:val="nil"/>
            </w:tcBorders>
            <w:noWrap w:val="0"/>
            <w:vAlign w:val="center"/>
          </w:tcPr>
          <w:p w14:paraId="6F97CD57">
            <w:pPr>
              <w:pStyle w:val="8"/>
              <w:adjustRightInd w:val="0"/>
              <w:snapToGrid w:val="0"/>
              <w:spacing w:line="360" w:lineRule="exact"/>
              <w:jc w:val="center"/>
              <w:rPr>
                <w:rFonts w:hint="eastAsia" w:ascii="Times New Roman" w:hAnsi="Times New Roman"/>
                <w:b w:val="0"/>
                <w:bCs/>
                <w:color w:val="000000"/>
                <w:kern w:val="0"/>
                <w:sz w:val="24"/>
                <w:szCs w:val="24"/>
                <w:lang w:val="en-US" w:eastAsia="zh-CN"/>
              </w:rPr>
            </w:pPr>
            <w:r>
              <w:rPr>
                <w:rFonts w:hint="eastAsia" w:ascii="Times New Roman" w:hAnsi="Times New Roman"/>
                <w:b w:val="0"/>
                <w:bCs/>
                <w:color w:val="000000"/>
                <w:kern w:val="0"/>
                <w:sz w:val="24"/>
                <w:szCs w:val="24"/>
                <w:lang w:val="en-US" w:eastAsia="zh-CN"/>
              </w:rPr>
              <w:t>高等</w:t>
            </w:r>
          </w:p>
          <w:p w14:paraId="38B9A43D">
            <w:pPr>
              <w:pStyle w:val="8"/>
              <w:adjustRightInd w:val="0"/>
              <w:snapToGrid w:val="0"/>
              <w:spacing w:line="360" w:lineRule="exact"/>
              <w:jc w:val="center"/>
              <w:rPr>
                <w:rFonts w:hint="eastAsia" w:ascii="Times New Roman" w:hAnsi="Times New Roman" w:eastAsia="宋体"/>
                <w:b w:val="0"/>
                <w:bCs/>
                <w:color w:val="000000"/>
                <w:kern w:val="0"/>
                <w:sz w:val="24"/>
                <w:szCs w:val="24"/>
                <w:lang w:val="en-US" w:eastAsia="zh-CN"/>
              </w:rPr>
            </w:pPr>
            <w:r>
              <w:rPr>
                <w:rFonts w:hint="eastAsia" w:ascii="Times New Roman" w:hAnsi="Times New Roman"/>
                <w:b w:val="0"/>
                <w:bCs/>
                <w:color w:val="000000"/>
                <w:kern w:val="0"/>
                <w:sz w:val="24"/>
                <w:szCs w:val="24"/>
                <w:lang w:val="en-US" w:eastAsia="zh-CN"/>
              </w:rPr>
              <w:t>教育</w:t>
            </w:r>
          </w:p>
        </w:tc>
        <w:tc>
          <w:tcPr>
            <w:tcW w:w="4907" w:type="dxa"/>
            <w:tcBorders>
              <w:tl2br w:val="nil"/>
              <w:tr2bl w:val="nil"/>
            </w:tcBorders>
            <w:noWrap w:val="0"/>
            <w:vAlign w:val="center"/>
          </w:tcPr>
          <w:p w14:paraId="447E3086">
            <w:pPr>
              <w:pStyle w:val="8"/>
              <w:adjustRightInd w:val="0"/>
              <w:snapToGrid w:val="0"/>
              <w:spacing w:line="400" w:lineRule="exact"/>
              <w:rPr>
                <w:rFonts w:ascii="Times New Roman" w:hAnsi="Times New Roman"/>
                <w:b w:val="0"/>
                <w:bCs/>
                <w:color w:val="000000"/>
                <w:spacing w:val="-6"/>
                <w:kern w:val="0"/>
                <w:sz w:val="24"/>
                <w:szCs w:val="24"/>
              </w:rPr>
            </w:pPr>
            <w:r>
              <w:rPr>
                <w:rFonts w:hint="eastAsia" w:ascii="Times New Roman" w:hAnsi="Times New Roman"/>
                <w:bCs/>
                <w:color w:val="000000"/>
                <w:spacing w:val="-6"/>
                <w:kern w:val="0"/>
                <w:sz w:val="24"/>
                <w:szCs w:val="24"/>
              </w:rPr>
              <w:t>普通本专科在校生（万人）</w:t>
            </w:r>
          </w:p>
        </w:tc>
        <w:tc>
          <w:tcPr>
            <w:tcW w:w="1123" w:type="dxa"/>
            <w:tcBorders>
              <w:tl2br w:val="nil"/>
              <w:tr2bl w:val="nil"/>
            </w:tcBorders>
            <w:noWrap w:val="0"/>
            <w:vAlign w:val="center"/>
          </w:tcPr>
          <w:p w14:paraId="7C104DF3">
            <w:pPr>
              <w:pStyle w:val="8"/>
              <w:adjustRightInd w:val="0"/>
              <w:snapToGrid w:val="0"/>
              <w:spacing w:line="400" w:lineRule="exact"/>
              <w:jc w:val="center"/>
              <w:rPr>
                <w:rFonts w:hint="default" w:ascii="Times New Roman" w:hAnsi="Times New Roman" w:eastAsia="宋体"/>
                <w:b w:val="0"/>
                <w:bCs/>
                <w:color w:val="000000"/>
                <w:kern w:val="0"/>
                <w:sz w:val="24"/>
                <w:szCs w:val="24"/>
                <w:lang w:val="en-US" w:eastAsia="zh-CN"/>
              </w:rPr>
            </w:pPr>
            <w:r>
              <w:rPr>
                <w:rFonts w:hint="eastAsia" w:ascii="Times New Roman" w:hAnsi="Times New Roman"/>
                <w:b w:val="0"/>
                <w:bCs/>
                <w:color w:val="000000"/>
                <w:kern w:val="0"/>
                <w:sz w:val="24"/>
                <w:szCs w:val="24"/>
                <w:lang w:val="en-US" w:eastAsia="zh-CN"/>
              </w:rPr>
              <w:t>3.2</w:t>
            </w:r>
          </w:p>
        </w:tc>
        <w:tc>
          <w:tcPr>
            <w:tcW w:w="1246" w:type="dxa"/>
            <w:tcBorders>
              <w:tl2br w:val="nil"/>
              <w:tr2bl w:val="nil"/>
            </w:tcBorders>
            <w:noWrap w:val="0"/>
            <w:vAlign w:val="center"/>
          </w:tcPr>
          <w:p w14:paraId="668DA265">
            <w:pPr>
              <w:pStyle w:val="8"/>
              <w:adjustRightInd w:val="0"/>
              <w:snapToGrid w:val="0"/>
              <w:spacing w:line="400" w:lineRule="exact"/>
              <w:jc w:val="center"/>
              <w:rPr>
                <w:rFonts w:hint="default" w:ascii="Times New Roman" w:hAnsi="Times New Roman"/>
                <w:b w:val="0"/>
                <w:bCs/>
                <w:color w:val="000000"/>
                <w:sz w:val="24"/>
                <w:szCs w:val="24"/>
                <w:lang w:val="en-US" w:eastAsia="zh-CN"/>
              </w:rPr>
            </w:pPr>
            <w:r>
              <w:rPr>
                <w:rFonts w:hint="eastAsia" w:ascii="Times New Roman" w:hAnsi="Times New Roman"/>
                <w:b w:val="0"/>
                <w:bCs/>
                <w:color w:val="000000"/>
                <w:sz w:val="24"/>
                <w:szCs w:val="24"/>
                <w:lang w:val="en-US" w:eastAsia="zh-CN"/>
              </w:rPr>
              <w:t>4</w:t>
            </w:r>
          </w:p>
        </w:tc>
        <w:tc>
          <w:tcPr>
            <w:tcW w:w="1319" w:type="dxa"/>
            <w:tcBorders>
              <w:tl2br w:val="nil"/>
              <w:tr2bl w:val="nil"/>
            </w:tcBorders>
            <w:noWrap w:val="0"/>
            <w:vAlign w:val="center"/>
          </w:tcPr>
          <w:p w14:paraId="1A69CF6A">
            <w:pPr>
              <w:adjustRightInd w:val="0"/>
              <w:snapToGrid w:val="0"/>
              <w:spacing w:line="400" w:lineRule="exact"/>
              <w:jc w:val="center"/>
              <w:rPr>
                <w:rFonts w:hint="eastAsia" w:ascii="Times New Roman" w:hAnsi="Times New Roman"/>
                <w:b w:val="0"/>
                <w:bCs/>
                <w:color w:val="000000"/>
                <w:sz w:val="24"/>
                <w:szCs w:val="24"/>
                <w:lang w:val="en-US" w:eastAsia="zh-CN"/>
              </w:rPr>
            </w:pPr>
            <w:r>
              <w:rPr>
                <w:rFonts w:hint="eastAsia" w:ascii="Times New Roman" w:hAnsi="Times New Roman"/>
                <w:b w:val="0"/>
                <w:bCs/>
                <w:color w:val="000000"/>
                <w:sz w:val="24"/>
                <w:szCs w:val="24"/>
                <w:lang w:val="en-US" w:eastAsia="zh-CN"/>
              </w:rPr>
              <w:t>预期性</w:t>
            </w:r>
          </w:p>
        </w:tc>
      </w:tr>
      <w:tr w14:paraId="74F3CA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95" w:hRule="exact"/>
          <w:tblCellSpacing w:w="0" w:type="dxa"/>
          <w:jc w:val="center"/>
        </w:trPr>
        <w:tc>
          <w:tcPr>
            <w:tcW w:w="747" w:type="dxa"/>
            <w:tcBorders>
              <w:tl2br w:val="nil"/>
              <w:tr2bl w:val="nil"/>
            </w:tcBorders>
            <w:noWrap w:val="0"/>
            <w:vAlign w:val="center"/>
          </w:tcPr>
          <w:p w14:paraId="27183E05">
            <w:pPr>
              <w:pStyle w:val="8"/>
              <w:snapToGrid w:val="0"/>
              <w:spacing w:line="360" w:lineRule="exact"/>
              <w:jc w:val="center"/>
              <w:rPr>
                <w:rFonts w:hint="eastAsia" w:ascii="Times New Roman" w:hAnsi="Times New Roman" w:eastAsia="宋体"/>
                <w:b w:val="0"/>
                <w:bCs/>
                <w:color w:val="000000"/>
                <w:sz w:val="24"/>
                <w:szCs w:val="24"/>
                <w:lang w:eastAsia="zh-CN"/>
              </w:rPr>
            </w:pPr>
            <w:r>
              <w:rPr>
                <w:rFonts w:hint="eastAsia" w:ascii="Times New Roman" w:hAnsi="Times New Roman"/>
                <w:b w:val="0"/>
                <w:bCs/>
                <w:color w:val="000000"/>
                <w:sz w:val="24"/>
                <w:szCs w:val="24"/>
                <w:lang w:eastAsia="zh-CN"/>
              </w:rPr>
              <w:t>人力资源开发</w:t>
            </w:r>
          </w:p>
        </w:tc>
        <w:tc>
          <w:tcPr>
            <w:tcW w:w="4907" w:type="dxa"/>
            <w:tcBorders>
              <w:tl2br w:val="nil"/>
              <w:tr2bl w:val="nil"/>
            </w:tcBorders>
            <w:noWrap w:val="0"/>
            <w:vAlign w:val="center"/>
          </w:tcPr>
          <w:p w14:paraId="056F424E">
            <w:pPr>
              <w:pStyle w:val="8"/>
              <w:adjustRightInd w:val="0"/>
              <w:snapToGrid w:val="0"/>
              <w:spacing w:line="400" w:lineRule="exact"/>
              <w:rPr>
                <w:rFonts w:ascii="Times New Roman" w:hAnsi="Times New Roman"/>
                <w:b w:val="0"/>
                <w:bCs/>
                <w:color w:val="000000"/>
                <w:spacing w:val="-6"/>
                <w:kern w:val="0"/>
                <w:sz w:val="24"/>
                <w:szCs w:val="24"/>
              </w:rPr>
            </w:pPr>
            <w:r>
              <w:rPr>
                <w:rFonts w:hint="eastAsia" w:ascii="Times New Roman" w:hAnsi="Times New Roman"/>
                <w:b w:val="0"/>
                <w:bCs/>
                <w:color w:val="000000"/>
                <w:spacing w:val="-6"/>
                <w:kern w:val="0"/>
                <w:sz w:val="24"/>
                <w:szCs w:val="24"/>
              </w:rPr>
              <w:t>劳动年龄人口平均受教育年限（年）</w:t>
            </w:r>
          </w:p>
        </w:tc>
        <w:tc>
          <w:tcPr>
            <w:tcW w:w="1123" w:type="dxa"/>
            <w:tcBorders>
              <w:tl2br w:val="nil"/>
              <w:tr2bl w:val="nil"/>
            </w:tcBorders>
            <w:noWrap w:val="0"/>
            <w:vAlign w:val="center"/>
          </w:tcPr>
          <w:p w14:paraId="12F34427">
            <w:pPr>
              <w:pStyle w:val="8"/>
              <w:adjustRightInd w:val="0"/>
              <w:snapToGrid w:val="0"/>
              <w:spacing w:line="400" w:lineRule="exact"/>
              <w:jc w:val="center"/>
              <w:rPr>
                <w:rFonts w:hint="default" w:ascii="Times New Roman" w:hAnsi="Times New Roman" w:eastAsia="宋体"/>
                <w:b w:val="0"/>
                <w:bCs/>
                <w:color w:val="000000"/>
                <w:kern w:val="0"/>
                <w:sz w:val="24"/>
                <w:szCs w:val="24"/>
                <w:lang w:val="en-US" w:eastAsia="zh-CN"/>
              </w:rPr>
            </w:pPr>
            <w:r>
              <w:rPr>
                <w:rFonts w:hint="eastAsia" w:ascii="Times New Roman" w:hAnsi="Times New Roman"/>
                <w:b w:val="0"/>
                <w:bCs/>
                <w:color w:val="000000"/>
                <w:kern w:val="0"/>
                <w:sz w:val="24"/>
                <w:szCs w:val="24"/>
                <w:lang w:val="en-US" w:eastAsia="zh-CN"/>
              </w:rPr>
              <w:t>10.35</w:t>
            </w:r>
          </w:p>
        </w:tc>
        <w:tc>
          <w:tcPr>
            <w:tcW w:w="1246" w:type="dxa"/>
            <w:tcBorders>
              <w:tl2br w:val="nil"/>
              <w:tr2bl w:val="nil"/>
            </w:tcBorders>
            <w:noWrap w:val="0"/>
            <w:vAlign w:val="center"/>
          </w:tcPr>
          <w:p w14:paraId="2D1E0F9F">
            <w:pPr>
              <w:pStyle w:val="8"/>
              <w:adjustRightInd w:val="0"/>
              <w:snapToGrid w:val="0"/>
              <w:spacing w:line="400" w:lineRule="exact"/>
              <w:jc w:val="center"/>
              <w:rPr>
                <w:rFonts w:hint="default" w:ascii="Times New Roman" w:hAnsi="Times New Roman"/>
                <w:b w:val="0"/>
                <w:bCs/>
                <w:color w:val="000000"/>
                <w:kern w:val="0"/>
                <w:sz w:val="24"/>
                <w:szCs w:val="24"/>
                <w:lang w:val="en-US" w:eastAsia="zh-CN"/>
              </w:rPr>
            </w:pPr>
            <w:r>
              <w:rPr>
                <w:rFonts w:hint="eastAsia" w:ascii="Times New Roman" w:hAnsi="Times New Roman"/>
                <w:b w:val="0"/>
                <w:bCs/>
                <w:color w:val="000000"/>
                <w:kern w:val="0"/>
                <w:sz w:val="24"/>
                <w:szCs w:val="24"/>
                <w:lang w:val="en-US" w:eastAsia="zh-CN"/>
              </w:rPr>
              <w:t>11.5</w:t>
            </w:r>
          </w:p>
        </w:tc>
        <w:tc>
          <w:tcPr>
            <w:tcW w:w="1319" w:type="dxa"/>
            <w:tcBorders>
              <w:tl2br w:val="nil"/>
              <w:tr2bl w:val="nil"/>
            </w:tcBorders>
            <w:noWrap w:val="0"/>
            <w:vAlign w:val="center"/>
          </w:tcPr>
          <w:p w14:paraId="60AC302F">
            <w:pPr>
              <w:adjustRightInd w:val="0"/>
              <w:snapToGrid w:val="0"/>
              <w:spacing w:line="400" w:lineRule="exact"/>
              <w:jc w:val="center"/>
              <w:rPr>
                <w:rFonts w:hint="eastAsia" w:ascii="Times New Roman" w:hAnsi="Times New Roman"/>
                <w:b w:val="0"/>
                <w:bCs/>
                <w:color w:val="000000"/>
                <w:kern w:val="0"/>
                <w:sz w:val="24"/>
                <w:szCs w:val="24"/>
                <w:lang w:val="en-US" w:eastAsia="zh-CN"/>
              </w:rPr>
            </w:pPr>
            <w:r>
              <w:rPr>
                <w:rFonts w:hint="eastAsia" w:ascii="Times New Roman" w:hAnsi="Times New Roman"/>
                <w:b w:val="0"/>
                <w:bCs/>
                <w:color w:val="000000"/>
                <w:sz w:val="24"/>
                <w:szCs w:val="24"/>
                <w:lang w:val="en-US" w:eastAsia="zh-CN"/>
              </w:rPr>
              <w:t>约束性</w:t>
            </w:r>
          </w:p>
        </w:tc>
      </w:tr>
    </w:tbl>
    <w:p w14:paraId="7544163A">
      <w:pPr>
        <w:pStyle w:val="8"/>
        <w:keepNext w:val="0"/>
        <w:keepLines w:val="0"/>
        <w:pageBreakBefore w:val="0"/>
        <w:widowControl w:val="0"/>
        <w:kinsoku/>
        <w:wordWrap/>
        <w:overflowPunct/>
        <w:topLinePunct w:val="0"/>
        <w:autoSpaceDE/>
        <w:autoSpaceDN/>
        <w:bidi w:val="0"/>
        <w:snapToGrid/>
        <w:spacing w:line="240" w:lineRule="auto"/>
        <w:ind w:firstLine="640" w:firstLineChars="200"/>
        <w:textAlignment w:val="auto"/>
        <w:rPr>
          <w:rFonts w:hint="eastAsia" w:ascii="黑体" w:hAnsi="黑体" w:eastAsia="黑体" w:cs="黑体"/>
          <w:b w:val="0"/>
          <w:bCs/>
          <w:i w:val="0"/>
          <w:color w:val="000000"/>
          <w:sz w:val="32"/>
          <w:szCs w:val="28"/>
          <w:highlight w:val="none"/>
          <w:u w:val="none" w:color="auto"/>
          <w:lang w:eastAsia="zh-CN"/>
        </w:rPr>
      </w:pPr>
      <w:r>
        <w:rPr>
          <w:rFonts w:hint="eastAsia" w:ascii="黑体" w:hAnsi="黑体" w:eastAsia="黑体" w:cs="黑体"/>
          <w:b w:val="0"/>
          <w:bCs/>
          <w:i w:val="0"/>
          <w:color w:val="000000"/>
          <w:sz w:val="32"/>
          <w:szCs w:val="28"/>
          <w:highlight w:val="none"/>
          <w:u w:val="none" w:color="auto"/>
          <w:lang w:eastAsia="zh-CN"/>
        </w:rPr>
        <w:t>二、重点任务</w:t>
      </w:r>
    </w:p>
    <w:p w14:paraId="389E8113">
      <w:pPr>
        <w:pStyle w:val="8"/>
        <w:keepNext w:val="0"/>
        <w:keepLines w:val="0"/>
        <w:pageBreakBefore w:val="0"/>
        <w:widowControl w:val="0"/>
        <w:kinsoku/>
        <w:wordWrap/>
        <w:overflowPunct/>
        <w:topLinePunct w:val="0"/>
        <w:autoSpaceDE/>
        <w:autoSpaceDN/>
        <w:bidi w:val="0"/>
        <w:snapToGrid/>
        <w:spacing w:line="240" w:lineRule="auto"/>
        <w:ind w:firstLine="640" w:firstLineChars="200"/>
        <w:textAlignment w:val="auto"/>
        <w:rPr>
          <w:rFonts w:hint="eastAsia" w:ascii="楷体_GB2312" w:hAnsi="楷体_GB2312" w:eastAsia="楷体_GB2312" w:cs="楷体_GB2312"/>
          <w:color w:val="000000"/>
          <w:sz w:val="32"/>
          <w:szCs w:val="24"/>
          <w:highlight w:val="none"/>
          <w:u w:val="none" w:color="auto"/>
          <w:lang w:eastAsia="zh-CN"/>
        </w:rPr>
      </w:pPr>
      <w:r>
        <w:rPr>
          <w:rFonts w:hint="eastAsia" w:ascii="楷体_GB2312" w:hAnsi="楷体_GB2312" w:eastAsia="楷体_GB2312" w:cs="楷体_GB2312"/>
          <w:color w:val="000000"/>
          <w:sz w:val="32"/>
          <w:szCs w:val="24"/>
          <w:highlight w:val="none"/>
          <w:u w:val="none" w:color="auto"/>
          <w:lang w:eastAsia="zh-CN"/>
        </w:rPr>
        <w:t>（一）</w:t>
      </w:r>
      <w:r>
        <w:rPr>
          <w:rFonts w:hint="eastAsia" w:ascii="楷体_GB2312" w:hAnsi="楷体_GB2312" w:eastAsia="楷体_GB2312" w:cs="楷体_GB2312"/>
          <w:color w:val="000000"/>
          <w:sz w:val="32"/>
          <w:szCs w:val="24"/>
          <w:highlight w:val="none"/>
          <w:u w:val="none" w:color="auto"/>
        </w:rPr>
        <w:t>坚持立德树人，促进学生的全面发展</w:t>
      </w:r>
      <w:r>
        <w:rPr>
          <w:rFonts w:hint="eastAsia" w:ascii="楷体_GB2312" w:hAnsi="楷体_GB2312" w:eastAsia="楷体_GB2312" w:cs="楷体_GB2312"/>
          <w:color w:val="000000"/>
          <w:sz w:val="32"/>
          <w:szCs w:val="24"/>
          <w:highlight w:val="none"/>
          <w:u w:val="none" w:color="auto"/>
          <w:lang w:eastAsia="zh-CN"/>
        </w:rPr>
        <w:t>。</w:t>
      </w:r>
    </w:p>
    <w:p w14:paraId="24F72E6B">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rPr>
        <w:t>1.坚持用党的创新理论铸魂育人。</w:t>
      </w:r>
      <w:r>
        <w:rPr>
          <w:rFonts w:hint="eastAsia" w:ascii="Times New Roman" w:hAnsi="Times New Roman" w:eastAsia="仿宋_GB2312"/>
          <w:color w:val="000000"/>
          <w:sz w:val="32"/>
          <w:szCs w:val="24"/>
          <w:highlight w:val="none"/>
          <w:u w:val="none" w:color="auto"/>
          <w:lang w:eastAsia="zh-CN"/>
        </w:rPr>
        <w:t>坚持社会主义办学方向，</w:t>
      </w:r>
      <w:r>
        <w:rPr>
          <w:rFonts w:hint="eastAsia" w:ascii="Times New Roman" w:hAnsi="Times New Roman" w:eastAsia="仿宋_GB2312"/>
          <w:color w:val="000000"/>
          <w:sz w:val="32"/>
          <w:szCs w:val="24"/>
          <w:highlight w:val="none"/>
          <w:u w:val="none" w:color="auto"/>
        </w:rPr>
        <w:t>坚持全面学习贯彻习近平新时代中国特色社会主义思想，做到学懂弄通、融会贯通、真信笃行。健全用党的创新理论武装党员、教育师生、指导实践的工作体系</w:t>
      </w:r>
      <w:r>
        <w:rPr>
          <w:rFonts w:hint="eastAsia" w:ascii="Times New Roman" w:hAnsi="Times New Roman" w:eastAsia="仿宋_GB2312"/>
          <w:color w:val="000000"/>
          <w:sz w:val="32"/>
          <w:szCs w:val="24"/>
          <w:highlight w:val="none"/>
          <w:u w:val="none" w:color="auto"/>
          <w:lang w:eastAsia="zh-CN"/>
        </w:rPr>
        <w:t>，</w:t>
      </w:r>
      <w:r>
        <w:rPr>
          <w:rFonts w:hint="eastAsia" w:ascii="Times New Roman" w:hAnsi="Times New Roman" w:eastAsia="仿宋_GB2312"/>
          <w:color w:val="000000"/>
          <w:sz w:val="32"/>
          <w:szCs w:val="24"/>
          <w:highlight w:val="none"/>
          <w:u w:val="none" w:color="auto"/>
        </w:rPr>
        <w:t>发挥思政课主渠道作用，</w:t>
      </w:r>
      <w:r>
        <w:rPr>
          <w:rFonts w:hint="eastAsia" w:ascii="Times New Roman" w:hAnsi="Times New Roman" w:eastAsia="仿宋_GB2312"/>
          <w:color w:val="000000"/>
          <w:sz w:val="32"/>
          <w:szCs w:val="24"/>
          <w:highlight w:val="none"/>
          <w:u w:val="none" w:color="auto"/>
          <w:lang w:eastAsia="zh-CN"/>
        </w:rPr>
        <w:t>充分利用</w:t>
      </w:r>
      <w:r>
        <w:rPr>
          <w:rFonts w:hint="eastAsia" w:ascii="Times New Roman" w:hAnsi="Times New Roman" w:eastAsia="仿宋_GB2312"/>
          <w:color w:val="000000"/>
          <w:sz w:val="32"/>
          <w:szCs w:val="24"/>
          <w:highlight w:val="none"/>
          <w:u w:val="none" w:color="auto"/>
        </w:rPr>
        <w:t>《习近平新时代中国特色社会主义思想学生读本》</w:t>
      </w:r>
      <w:r>
        <w:rPr>
          <w:rFonts w:hint="eastAsia" w:ascii="Times New Roman" w:hAnsi="Times New Roman" w:eastAsia="仿宋_GB2312"/>
          <w:color w:val="000000"/>
          <w:sz w:val="32"/>
          <w:szCs w:val="24"/>
          <w:highlight w:val="none"/>
          <w:u w:val="none" w:color="auto"/>
          <w:lang w:eastAsia="zh-CN"/>
        </w:rPr>
        <w:t>培根铸魂</w:t>
      </w:r>
      <w:r>
        <w:rPr>
          <w:rFonts w:hint="eastAsia" w:ascii="Times New Roman" w:hAnsi="Times New Roman" w:eastAsia="仿宋_GB2312"/>
          <w:color w:val="000000"/>
          <w:sz w:val="32"/>
          <w:szCs w:val="24"/>
          <w:highlight w:val="none"/>
          <w:u w:val="none" w:color="auto"/>
        </w:rPr>
        <w:t>深化习近平新时代中国特色社会主义思想进教材进课堂进师生头脑工作。强化党建带团建、队建，深化团教合作，把立德树人贯穿各学段各学科各专业，把社会主义核心价值观渗透到日常教育教学全过程，融入各类教育实践活动。</w:t>
      </w:r>
    </w:p>
    <w:p w14:paraId="73DC02CC">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lang w:eastAsia="zh-CN"/>
        </w:rPr>
      </w:pPr>
      <w:r>
        <w:rPr>
          <w:rFonts w:hint="eastAsia" w:ascii="Times New Roman" w:hAnsi="Times New Roman" w:eastAsia="仿宋_GB2312"/>
          <w:b/>
          <w:bCs/>
          <w:color w:val="000000"/>
          <w:sz w:val="32"/>
          <w:szCs w:val="24"/>
          <w:highlight w:val="none"/>
          <w:u w:val="none" w:color="auto"/>
        </w:rPr>
        <w:t>2.做细做实学校思政教育。</w:t>
      </w:r>
      <w:r>
        <w:rPr>
          <w:rFonts w:hint="eastAsia" w:ascii="Times New Roman" w:hAnsi="Times New Roman" w:eastAsia="仿宋_GB2312"/>
          <w:color w:val="000000"/>
          <w:sz w:val="32"/>
          <w:szCs w:val="24"/>
          <w:highlight w:val="none"/>
          <w:u w:val="none" w:color="auto"/>
        </w:rPr>
        <w:t>以“</w:t>
      </w:r>
      <w:r>
        <w:rPr>
          <w:rFonts w:hint="eastAsia" w:ascii="Times New Roman" w:hAnsi="Times New Roman" w:eastAsia="仿宋_GB2312"/>
          <w:color w:val="000000"/>
          <w:sz w:val="32"/>
          <w:szCs w:val="24"/>
          <w:highlight w:val="none"/>
          <w:u w:val="none" w:color="auto"/>
          <w:lang w:val="en-US" w:eastAsia="zh-CN"/>
        </w:rPr>
        <w:t>四</w:t>
      </w:r>
      <w:r>
        <w:rPr>
          <w:rFonts w:hint="eastAsia" w:ascii="Times New Roman" w:hAnsi="Times New Roman" w:eastAsia="仿宋_GB2312"/>
          <w:color w:val="000000"/>
          <w:sz w:val="32"/>
          <w:szCs w:val="24"/>
          <w:highlight w:val="none"/>
          <w:u w:val="none" w:color="auto"/>
        </w:rPr>
        <w:t>全育人”理念贯穿“大思政课”教育体系建设始终，健全市四套班子到学校上思政课机制，市、县领导班子每年到挂点学校上思政课，引导学生树立坚定的理想信念，厚植爱国主义情怀。深入推进大中小学思想政治教育一体化建设，</w:t>
      </w:r>
      <w:r>
        <w:rPr>
          <w:rFonts w:hint="eastAsia" w:ascii="Times New Roman" w:hAnsi="Times New Roman" w:eastAsia="仿宋_GB2312"/>
          <w:color w:val="000000"/>
          <w:sz w:val="32"/>
          <w:szCs w:val="24"/>
          <w:highlight w:val="none"/>
          <w:u w:val="none" w:color="auto"/>
          <w:lang w:eastAsia="zh-CN"/>
        </w:rPr>
        <w:t>培育遴选一批思想政治精品课程</w:t>
      </w:r>
      <w:r>
        <w:rPr>
          <w:rFonts w:hint="eastAsia" w:ascii="Times New Roman" w:hAnsi="Times New Roman" w:eastAsia="仿宋_GB2312"/>
          <w:color w:val="000000"/>
          <w:sz w:val="32"/>
          <w:szCs w:val="24"/>
          <w:highlight w:val="none"/>
          <w:u w:val="none" w:color="auto"/>
        </w:rPr>
        <w:t>。坚持思政课堂与社会课堂齐头并进，将邓发、梁桂华、叶季壮等重要革命历史人物和长岗坡渡槽、磨刀山遗址等纳入全市“金牌思政课”教案，增强思政课的思想性、针对性和实效性。</w:t>
      </w:r>
      <w:r>
        <w:rPr>
          <w:rFonts w:hint="eastAsia" w:ascii="Times New Roman" w:hAnsi="Times New Roman" w:eastAsia="仿宋_GB2312"/>
          <w:color w:val="000000"/>
          <w:sz w:val="32"/>
          <w:szCs w:val="24"/>
          <w:highlight w:val="none"/>
          <w:u w:val="none" w:color="auto"/>
          <w:lang w:eastAsia="zh-CN"/>
        </w:rPr>
        <w:t>提升学生网络文明素养。</w:t>
      </w:r>
    </w:p>
    <w:p w14:paraId="64569D2E">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rPr>
        <w:t>3.深耕学校体育建设。</w:t>
      </w:r>
      <w:r>
        <w:rPr>
          <w:rFonts w:hint="eastAsia" w:ascii="Times New Roman" w:hAnsi="Times New Roman" w:eastAsia="仿宋_GB2312"/>
          <w:color w:val="000000"/>
          <w:sz w:val="32"/>
          <w:szCs w:val="24"/>
          <w:highlight w:val="none"/>
          <w:u w:val="none" w:color="auto"/>
        </w:rPr>
        <w:t>落实</w:t>
      </w:r>
      <w:r>
        <w:rPr>
          <w:rFonts w:hint="eastAsia" w:ascii="Times New Roman" w:hAnsi="Times New Roman" w:eastAsia="仿宋_GB2312"/>
          <w:color w:val="000000"/>
          <w:sz w:val="32"/>
          <w:szCs w:val="24"/>
          <w:highlight w:val="none"/>
          <w:u w:val="none" w:color="auto"/>
          <w:lang w:eastAsia="zh-CN"/>
        </w:rPr>
        <w:t>“</w:t>
      </w:r>
      <w:r>
        <w:rPr>
          <w:rFonts w:hint="eastAsia" w:ascii="Times New Roman" w:hAnsi="Times New Roman" w:eastAsia="仿宋_GB2312"/>
          <w:color w:val="000000"/>
          <w:sz w:val="32"/>
          <w:szCs w:val="24"/>
          <w:highlight w:val="none"/>
          <w:u w:val="none" w:color="auto"/>
        </w:rPr>
        <w:t>健康第一</w:t>
      </w:r>
      <w:r>
        <w:rPr>
          <w:rFonts w:hint="eastAsia" w:ascii="Times New Roman" w:hAnsi="Times New Roman" w:eastAsia="仿宋_GB2312"/>
          <w:color w:val="000000"/>
          <w:sz w:val="32"/>
          <w:szCs w:val="24"/>
          <w:highlight w:val="none"/>
          <w:u w:val="none" w:color="auto"/>
          <w:lang w:eastAsia="zh-CN"/>
        </w:rPr>
        <w:t>”</w:t>
      </w:r>
      <w:r>
        <w:rPr>
          <w:rFonts w:hint="eastAsia" w:ascii="Times New Roman" w:hAnsi="Times New Roman" w:eastAsia="仿宋_GB2312"/>
          <w:color w:val="000000"/>
          <w:sz w:val="32"/>
          <w:szCs w:val="24"/>
          <w:highlight w:val="none"/>
          <w:u w:val="none" w:color="auto"/>
        </w:rPr>
        <w:t>教育理念，完善学校体育场地设施建设，</w:t>
      </w:r>
      <w:r>
        <w:rPr>
          <w:rFonts w:hint="eastAsia" w:ascii="Times New Roman" w:hAnsi="Times New Roman" w:eastAsia="仿宋_GB2312"/>
          <w:color w:val="000000"/>
          <w:sz w:val="32"/>
          <w:szCs w:val="24"/>
          <w:highlight w:val="none"/>
          <w:u w:val="none" w:color="auto"/>
          <w:lang w:eastAsia="zh-CN"/>
        </w:rPr>
        <w:t>持续推进落实</w:t>
      </w:r>
      <w:r>
        <w:rPr>
          <w:rFonts w:hint="eastAsia" w:ascii="Times New Roman" w:hAnsi="Times New Roman" w:eastAsia="仿宋_GB2312"/>
          <w:color w:val="000000"/>
          <w:sz w:val="32"/>
          <w:szCs w:val="24"/>
          <w:highlight w:val="none"/>
          <w:u w:val="none" w:color="auto"/>
        </w:rPr>
        <w:t>每天综合体育活动时间不低于2小时</w:t>
      </w:r>
      <w:r>
        <w:rPr>
          <w:rFonts w:hint="eastAsia" w:ascii="Times New Roman" w:hAnsi="Times New Roman" w:eastAsia="仿宋_GB2312"/>
          <w:color w:val="000000"/>
          <w:sz w:val="32"/>
          <w:szCs w:val="24"/>
          <w:highlight w:val="none"/>
          <w:u w:val="none" w:color="auto"/>
          <w:lang w:eastAsia="zh-CN"/>
        </w:rPr>
        <w:t>和</w:t>
      </w:r>
      <w:r>
        <w:rPr>
          <w:rFonts w:hint="eastAsia" w:ascii="Times New Roman" w:hAnsi="Times New Roman" w:eastAsia="仿宋_GB2312"/>
          <w:color w:val="000000"/>
          <w:sz w:val="32"/>
          <w:szCs w:val="24"/>
          <w:highlight w:val="none"/>
          <w:u w:val="none" w:color="auto"/>
        </w:rPr>
        <w:t>每天1节体育课，全面推行“课间15分钟”，办好大课间体育活动，帮助学生掌握2项以上运动技能，提高学生体质健康水平。加强体育师资队伍建设，</w:t>
      </w:r>
      <w:r>
        <w:rPr>
          <w:rFonts w:hint="eastAsia" w:ascii="Times New Roman" w:hAnsi="Times New Roman" w:eastAsia="仿宋_GB2312"/>
          <w:color w:val="000000"/>
          <w:sz w:val="32"/>
          <w:szCs w:val="24"/>
          <w:highlight w:val="none"/>
          <w:u w:val="none" w:color="auto"/>
          <w:lang w:eastAsia="zh-CN"/>
        </w:rPr>
        <w:t>加强青年体育教师培养。</w:t>
      </w:r>
      <w:r>
        <w:rPr>
          <w:rFonts w:hint="eastAsia" w:ascii="Times New Roman" w:hAnsi="Times New Roman" w:eastAsia="仿宋_GB2312"/>
          <w:color w:val="000000"/>
          <w:sz w:val="32"/>
          <w:szCs w:val="24"/>
          <w:highlight w:val="none"/>
          <w:u w:val="none" w:color="auto"/>
        </w:rPr>
        <w:t>建立健全省、市、县体育赛事对口机制，</w:t>
      </w:r>
      <w:r>
        <w:rPr>
          <w:rFonts w:hint="eastAsia" w:ascii="Times New Roman" w:hAnsi="Times New Roman" w:eastAsia="仿宋_GB2312"/>
          <w:color w:val="000000"/>
          <w:sz w:val="32"/>
          <w:szCs w:val="24"/>
          <w:highlight w:val="none"/>
          <w:u w:val="none" w:color="auto"/>
          <w:lang w:eastAsia="zh-CN"/>
        </w:rPr>
        <w:t>积极承接各类中小学体育赛事。擦亮“班级、年级、校级、镇级、县级、市级”六级</w:t>
      </w:r>
      <w:r>
        <w:rPr>
          <w:rFonts w:hint="eastAsia" w:ascii="Times New Roman" w:hAnsi="Times New Roman" w:eastAsia="仿宋_GB2312"/>
          <w:color w:val="000000"/>
          <w:sz w:val="32"/>
          <w:szCs w:val="24"/>
          <w:highlight w:val="none"/>
          <w:u w:val="none" w:color="auto"/>
        </w:rPr>
        <w:t>体育“王者”挑战赛品牌。加强校园足球、篮球项目建设，发展游泳教育和曲棍球运动。</w:t>
      </w:r>
    </w:p>
    <w:p w14:paraId="18730C4B">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4.</w:t>
      </w:r>
      <w:r>
        <w:rPr>
          <w:rFonts w:hint="eastAsia" w:ascii="Times New Roman" w:hAnsi="Times New Roman" w:eastAsia="仿宋_GB2312"/>
          <w:b/>
          <w:bCs/>
          <w:color w:val="000000"/>
          <w:sz w:val="32"/>
          <w:szCs w:val="24"/>
          <w:highlight w:val="none"/>
          <w:u w:val="none" w:color="auto"/>
        </w:rPr>
        <w:t>实施学校美育浸润行动。</w:t>
      </w:r>
      <w:r>
        <w:rPr>
          <w:rFonts w:hint="eastAsia" w:ascii="Times New Roman" w:hAnsi="Times New Roman" w:eastAsia="仿宋_GB2312"/>
          <w:color w:val="000000"/>
          <w:sz w:val="32"/>
          <w:szCs w:val="24"/>
          <w:highlight w:val="none"/>
          <w:u w:val="none" w:color="auto"/>
        </w:rPr>
        <w:t>深化美育教学</w:t>
      </w:r>
      <w:r>
        <w:rPr>
          <w:rFonts w:hint="eastAsia" w:ascii="Times New Roman" w:hAnsi="Times New Roman" w:eastAsia="仿宋_GB2312"/>
          <w:color w:val="000000"/>
          <w:sz w:val="32"/>
          <w:szCs w:val="24"/>
          <w:highlight w:val="none"/>
          <w:u w:val="none" w:color="auto"/>
          <w:lang w:eastAsia="zh-CN"/>
        </w:rPr>
        <w:t>能力提升</w:t>
      </w:r>
      <w:r>
        <w:rPr>
          <w:rFonts w:hint="eastAsia" w:ascii="Times New Roman" w:hAnsi="Times New Roman" w:eastAsia="仿宋_GB2312"/>
          <w:color w:val="000000"/>
          <w:sz w:val="32"/>
          <w:szCs w:val="24"/>
          <w:highlight w:val="none"/>
          <w:u w:val="none" w:color="auto"/>
        </w:rPr>
        <w:t>，加强学校美育硬件设施建设</w:t>
      </w:r>
      <w:r>
        <w:rPr>
          <w:rFonts w:hint="eastAsia" w:ascii="Times New Roman" w:hAnsi="Times New Roman" w:eastAsia="仿宋_GB2312"/>
          <w:color w:val="000000"/>
          <w:sz w:val="32"/>
          <w:szCs w:val="24"/>
          <w:highlight w:val="none"/>
          <w:u w:val="none" w:color="auto"/>
          <w:lang w:eastAsia="zh-CN"/>
        </w:rPr>
        <w:t>，健全完善美育课程体系</w:t>
      </w:r>
      <w:r>
        <w:rPr>
          <w:rFonts w:hint="eastAsia" w:ascii="Times New Roman" w:hAnsi="Times New Roman" w:eastAsia="仿宋_GB2312"/>
          <w:color w:val="000000"/>
          <w:sz w:val="32"/>
          <w:szCs w:val="24"/>
          <w:highlight w:val="none"/>
          <w:u w:val="none" w:color="auto"/>
        </w:rPr>
        <w:t>。积极引进高校、美育名师资源，</w:t>
      </w:r>
      <w:r>
        <w:rPr>
          <w:rFonts w:hint="eastAsia" w:ascii="Times New Roman" w:hAnsi="Times New Roman" w:eastAsia="仿宋_GB2312"/>
          <w:color w:val="000000"/>
          <w:sz w:val="32"/>
          <w:szCs w:val="24"/>
          <w:highlight w:val="none"/>
          <w:u w:val="none" w:color="auto"/>
          <w:lang w:eastAsia="zh-CN"/>
        </w:rPr>
        <w:t>缩小城乡学校</w:t>
      </w:r>
      <w:r>
        <w:rPr>
          <w:rFonts w:hint="eastAsia" w:ascii="Times New Roman" w:hAnsi="Times New Roman" w:eastAsia="仿宋_GB2312"/>
          <w:color w:val="000000"/>
          <w:sz w:val="32"/>
          <w:szCs w:val="24"/>
          <w:highlight w:val="none"/>
          <w:u w:val="none" w:color="auto"/>
        </w:rPr>
        <w:t>美育</w:t>
      </w:r>
      <w:r>
        <w:rPr>
          <w:rFonts w:hint="eastAsia" w:ascii="Times New Roman" w:hAnsi="Times New Roman" w:eastAsia="仿宋_GB2312"/>
          <w:color w:val="000000"/>
          <w:sz w:val="32"/>
          <w:szCs w:val="24"/>
          <w:highlight w:val="none"/>
          <w:u w:val="none" w:color="auto"/>
          <w:lang w:eastAsia="zh-CN"/>
        </w:rPr>
        <w:t>差距</w:t>
      </w:r>
      <w:r>
        <w:rPr>
          <w:rFonts w:hint="eastAsia" w:ascii="Times New Roman" w:hAnsi="Times New Roman" w:eastAsia="仿宋_GB2312"/>
          <w:color w:val="000000"/>
          <w:sz w:val="32"/>
          <w:szCs w:val="24"/>
          <w:highlight w:val="none"/>
          <w:u w:val="none" w:color="auto"/>
        </w:rPr>
        <w:t>。大力弘扬中华优秀传统文化，推</w:t>
      </w:r>
      <w:r>
        <w:rPr>
          <w:rFonts w:hint="eastAsia" w:ascii="Times New Roman" w:hAnsi="Times New Roman" w:eastAsia="仿宋_GB2312"/>
          <w:color w:val="000000"/>
          <w:sz w:val="32"/>
          <w:szCs w:val="24"/>
          <w:highlight w:val="none"/>
          <w:u w:val="none" w:color="auto"/>
          <w:lang w:val="en-US" w:eastAsia="zh-CN"/>
        </w:rPr>
        <w:t>动</w:t>
      </w:r>
      <w:r>
        <w:rPr>
          <w:rFonts w:hint="eastAsia" w:ascii="Times New Roman" w:hAnsi="Times New Roman" w:eastAsia="仿宋_GB2312"/>
          <w:color w:val="000000"/>
          <w:sz w:val="32"/>
          <w:szCs w:val="24"/>
          <w:highlight w:val="none"/>
          <w:u w:val="none" w:color="auto"/>
        </w:rPr>
        <w:t>粤剧、书法、禾楼舞</w:t>
      </w:r>
      <w:r>
        <w:rPr>
          <w:rFonts w:hint="eastAsia" w:ascii="Times New Roman" w:hAnsi="Times New Roman" w:eastAsia="仿宋_GB2312"/>
          <w:color w:val="000000"/>
          <w:sz w:val="32"/>
          <w:szCs w:val="24"/>
          <w:highlight w:val="none"/>
          <w:u w:val="none" w:color="auto"/>
          <w:lang w:eastAsia="zh-CN"/>
        </w:rPr>
        <w:t>传承</w:t>
      </w:r>
      <w:r>
        <w:rPr>
          <w:rFonts w:hint="eastAsia" w:ascii="Times New Roman" w:hAnsi="Times New Roman" w:eastAsia="仿宋_GB2312"/>
          <w:color w:val="000000"/>
          <w:sz w:val="32"/>
          <w:szCs w:val="24"/>
          <w:highlight w:val="none"/>
          <w:u w:val="none" w:color="auto"/>
        </w:rPr>
        <w:t>。构建常态化艺术实践活动机制，积极举办各类面向人人的美育实践活动，打造一批高水平学校艺术团队</w:t>
      </w:r>
      <w:r>
        <w:rPr>
          <w:rFonts w:hint="eastAsia" w:ascii="Times New Roman" w:hAnsi="Times New Roman" w:eastAsia="仿宋_GB2312"/>
          <w:color w:val="000000"/>
          <w:sz w:val="32"/>
          <w:szCs w:val="24"/>
          <w:highlight w:val="none"/>
          <w:u w:val="none" w:color="auto"/>
          <w:lang w:eastAsia="zh-CN"/>
        </w:rPr>
        <w:t>，提升云浮市教育系统艺术团影响力</w:t>
      </w:r>
      <w:r>
        <w:rPr>
          <w:rFonts w:hint="eastAsia" w:ascii="Times New Roman" w:hAnsi="Times New Roman" w:eastAsia="仿宋_GB2312"/>
          <w:color w:val="000000"/>
          <w:sz w:val="32"/>
          <w:szCs w:val="24"/>
          <w:highlight w:val="none"/>
          <w:u w:val="none" w:color="auto"/>
        </w:rPr>
        <w:t>。坚持实施学生艺术素质测评，提高学生艺术素养。</w:t>
      </w:r>
    </w:p>
    <w:p w14:paraId="463B968A">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5</w:t>
      </w:r>
      <w:r>
        <w:rPr>
          <w:rFonts w:hint="eastAsia" w:ascii="Times New Roman" w:hAnsi="Times New Roman" w:eastAsia="仿宋_GB2312"/>
          <w:b/>
          <w:bCs/>
          <w:color w:val="000000"/>
          <w:sz w:val="32"/>
          <w:szCs w:val="24"/>
          <w:highlight w:val="none"/>
          <w:u w:val="none" w:color="auto"/>
        </w:rPr>
        <w:t>.推进学校劳动教育。</w:t>
      </w:r>
      <w:r>
        <w:rPr>
          <w:rFonts w:hint="eastAsia" w:ascii="Times New Roman" w:hAnsi="Times New Roman" w:eastAsia="仿宋_GB2312"/>
          <w:color w:val="000000"/>
          <w:sz w:val="32"/>
          <w:szCs w:val="24"/>
          <w:highlight w:val="none"/>
          <w:u w:val="none" w:color="auto"/>
        </w:rPr>
        <w:t>充分发挥劳动育人功能，积极探索具有云浮特色的劳动教育模式，利用闲置土地、撂荒地建设一批劳动教育实践基地，构建丰富多样的劳动教育体系。组织以劳动教育为主题的</w:t>
      </w:r>
      <w:r>
        <w:rPr>
          <w:rFonts w:hint="eastAsia" w:ascii="Times New Roman" w:hAnsi="Times New Roman" w:eastAsia="仿宋_GB2312"/>
          <w:color w:val="000000"/>
          <w:sz w:val="32"/>
          <w:szCs w:val="24"/>
          <w:highlight w:val="none"/>
          <w:u w:val="none" w:color="auto"/>
          <w:lang w:eastAsia="zh-CN"/>
        </w:rPr>
        <w:t>班级活动</w:t>
      </w:r>
      <w:r>
        <w:rPr>
          <w:rFonts w:hint="eastAsia" w:ascii="Times New Roman" w:hAnsi="Times New Roman" w:eastAsia="仿宋_GB2312"/>
          <w:color w:val="000000"/>
          <w:sz w:val="32"/>
          <w:szCs w:val="24"/>
          <w:highlight w:val="none"/>
          <w:u w:val="none" w:color="auto"/>
        </w:rPr>
        <w:t>、公益劳动、志愿服务、职业体验等，</w:t>
      </w:r>
      <w:r>
        <w:rPr>
          <w:rFonts w:hint="eastAsia" w:ascii="Times New Roman" w:hAnsi="Times New Roman" w:eastAsia="仿宋_GB2312"/>
          <w:color w:val="000000"/>
          <w:sz w:val="32"/>
          <w:szCs w:val="24"/>
          <w:highlight w:val="none"/>
          <w:u w:val="none" w:color="auto"/>
          <w:lang w:eastAsia="zh-CN"/>
        </w:rPr>
        <w:t>提升</w:t>
      </w:r>
      <w:r>
        <w:rPr>
          <w:rFonts w:hint="eastAsia" w:ascii="Times New Roman" w:hAnsi="Times New Roman" w:eastAsia="仿宋_GB2312"/>
          <w:color w:val="000000"/>
          <w:sz w:val="32"/>
          <w:szCs w:val="24"/>
          <w:highlight w:val="none"/>
          <w:u w:val="none" w:color="auto"/>
        </w:rPr>
        <w:t>学生</w:t>
      </w:r>
      <w:r>
        <w:rPr>
          <w:rFonts w:hint="eastAsia" w:ascii="Times New Roman" w:hAnsi="Times New Roman" w:eastAsia="仿宋_GB2312"/>
          <w:color w:val="000000"/>
          <w:sz w:val="32"/>
          <w:szCs w:val="24"/>
          <w:highlight w:val="none"/>
          <w:u w:val="none" w:color="auto"/>
          <w:lang w:eastAsia="zh-CN"/>
        </w:rPr>
        <w:t>动手实践能力和</w:t>
      </w:r>
      <w:r>
        <w:rPr>
          <w:rFonts w:hint="eastAsia" w:ascii="Times New Roman" w:hAnsi="Times New Roman" w:eastAsia="仿宋_GB2312"/>
          <w:color w:val="000000"/>
          <w:sz w:val="32"/>
          <w:szCs w:val="24"/>
          <w:highlight w:val="none"/>
          <w:u w:val="none" w:color="auto"/>
        </w:rPr>
        <w:t>社会</w:t>
      </w:r>
      <w:r>
        <w:rPr>
          <w:rFonts w:hint="eastAsia" w:ascii="Times New Roman" w:hAnsi="Times New Roman" w:eastAsia="仿宋_GB2312"/>
          <w:color w:val="000000"/>
          <w:sz w:val="32"/>
          <w:szCs w:val="24"/>
          <w:highlight w:val="none"/>
          <w:u w:val="none" w:color="auto"/>
          <w:lang w:eastAsia="zh-CN"/>
        </w:rPr>
        <w:t>适应</w:t>
      </w:r>
      <w:r>
        <w:rPr>
          <w:rFonts w:hint="eastAsia" w:ascii="Times New Roman" w:hAnsi="Times New Roman" w:eastAsia="仿宋_GB2312"/>
          <w:color w:val="000000"/>
          <w:sz w:val="32"/>
          <w:szCs w:val="24"/>
          <w:highlight w:val="none"/>
          <w:u w:val="none" w:color="auto"/>
        </w:rPr>
        <w:t>能力。常态化开展家校社协同劳动实践，健全劳动素养评价激励机制。</w:t>
      </w:r>
    </w:p>
    <w:p w14:paraId="46DD23FF">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6.</w:t>
      </w:r>
      <w:r>
        <w:rPr>
          <w:rFonts w:hint="eastAsia" w:ascii="Times New Roman" w:hAnsi="Times New Roman" w:eastAsia="仿宋_GB2312"/>
          <w:b/>
          <w:bCs/>
          <w:color w:val="000000"/>
          <w:sz w:val="32"/>
          <w:szCs w:val="24"/>
          <w:highlight w:val="none"/>
          <w:u w:val="none" w:color="auto"/>
          <w:lang w:eastAsia="zh-CN"/>
        </w:rPr>
        <w:t>深入实施“书香校园”建设。</w:t>
      </w:r>
      <w:r>
        <w:rPr>
          <w:rFonts w:hint="eastAsia" w:ascii="Times New Roman" w:hAnsi="Times New Roman" w:eastAsia="仿宋_GB2312"/>
          <w:color w:val="000000"/>
          <w:sz w:val="32"/>
          <w:szCs w:val="24"/>
          <w:highlight w:val="none"/>
          <w:u w:val="none" w:color="auto"/>
        </w:rPr>
        <w:t>全面实施青少年读书行动</w:t>
      </w:r>
      <w:r>
        <w:rPr>
          <w:rFonts w:hint="eastAsia" w:ascii="Times New Roman" w:hAnsi="Times New Roman" w:eastAsia="仿宋_GB2312"/>
          <w:color w:val="000000"/>
          <w:sz w:val="32"/>
          <w:szCs w:val="24"/>
          <w:highlight w:val="none"/>
          <w:u w:val="none" w:color="auto"/>
          <w:lang w:eastAsia="zh-CN"/>
        </w:rPr>
        <w:t>，</w:t>
      </w:r>
      <w:r>
        <w:rPr>
          <w:rFonts w:hint="eastAsia" w:ascii="Times New Roman" w:hAnsi="Times New Roman" w:eastAsia="仿宋_GB2312"/>
          <w:color w:val="000000"/>
          <w:sz w:val="32"/>
          <w:szCs w:val="24"/>
          <w:highlight w:val="none"/>
          <w:u w:val="none" w:color="auto"/>
        </w:rPr>
        <w:t>构建</w:t>
      </w:r>
      <w:r>
        <w:rPr>
          <w:rFonts w:hint="eastAsia" w:ascii="Times New Roman" w:hAnsi="Times New Roman" w:eastAsia="仿宋_GB2312"/>
          <w:color w:val="000000"/>
          <w:sz w:val="32"/>
          <w:szCs w:val="24"/>
          <w:highlight w:val="none"/>
          <w:u w:val="none" w:color="auto"/>
          <w:lang w:eastAsia="zh-CN"/>
        </w:rPr>
        <w:t>中小学</w:t>
      </w:r>
      <w:r>
        <w:rPr>
          <w:rFonts w:hint="eastAsia" w:ascii="Times New Roman" w:hAnsi="Times New Roman" w:eastAsia="仿宋_GB2312"/>
          <w:color w:val="000000"/>
          <w:sz w:val="32"/>
          <w:szCs w:val="24"/>
          <w:highlight w:val="none"/>
          <w:u w:val="none" w:color="auto"/>
        </w:rPr>
        <w:t>阶梯式阅读体系，</w:t>
      </w:r>
      <w:r>
        <w:rPr>
          <w:rFonts w:hint="eastAsia" w:ascii="Times New Roman" w:hAnsi="Times New Roman" w:eastAsia="仿宋_GB2312"/>
          <w:color w:val="000000"/>
          <w:sz w:val="32"/>
          <w:szCs w:val="24"/>
          <w:highlight w:val="none"/>
          <w:u w:val="none" w:color="auto"/>
          <w:lang w:eastAsia="zh-CN"/>
        </w:rPr>
        <w:t>通过各类活动</w:t>
      </w:r>
      <w:r>
        <w:rPr>
          <w:rFonts w:hint="eastAsia" w:ascii="Times New Roman" w:hAnsi="Times New Roman" w:eastAsia="仿宋_GB2312"/>
          <w:color w:val="000000"/>
          <w:sz w:val="32"/>
          <w:szCs w:val="24"/>
          <w:highlight w:val="none"/>
          <w:u w:val="none" w:color="auto"/>
        </w:rPr>
        <w:t>激发阅读内驱力</w:t>
      </w:r>
      <w:r>
        <w:rPr>
          <w:rFonts w:hint="eastAsia" w:ascii="Times New Roman" w:hAnsi="Times New Roman" w:eastAsia="仿宋_GB2312"/>
          <w:color w:val="000000"/>
          <w:sz w:val="32"/>
          <w:szCs w:val="24"/>
          <w:highlight w:val="none"/>
          <w:u w:val="none" w:color="auto"/>
          <w:lang w:eastAsia="zh-CN"/>
        </w:rPr>
        <w:t>，</w:t>
      </w:r>
      <w:r>
        <w:rPr>
          <w:rFonts w:hint="eastAsia" w:ascii="Times New Roman" w:hAnsi="Times New Roman" w:eastAsia="仿宋_GB2312"/>
          <w:color w:val="000000"/>
          <w:sz w:val="32"/>
          <w:szCs w:val="24"/>
          <w:highlight w:val="none"/>
          <w:u w:val="none" w:color="auto"/>
        </w:rPr>
        <w:t>提升青少年阅读量、阅读兴趣与</w:t>
      </w:r>
      <w:r>
        <w:rPr>
          <w:rFonts w:hint="eastAsia" w:ascii="Times New Roman" w:hAnsi="Times New Roman" w:eastAsia="仿宋_GB2312"/>
          <w:color w:val="000000"/>
          <w:sz w:val="32"/>
          <w:szCs w:val="24"/>
          <w:highlight w:val="none"/>
          <w:u w:val="none" w:color="auto"/>
          <w:lang w:eastAsia="zh-CN"/>
        </w:rPr>
        <w:t>语言文化</w:t>
      </w:r>
      <w:r>
        <w:rPr>
          <w:rFonts w:hint="eastAsia" w:ascii="Times New Roman" w:hAnsi="Times New Roman" w:eastAsia="仿宋_GB2312"/>
          <w:color w:val="000000"/>
          <w:sz w:val="32"/>
          <w:szCs w:val="24"/>
          <w:highlight w:val="none"/>
          <w:u w:val="none" w:color="auto"/>
        </w:rPr>
        <w:t>素养。严格规范中小学课外读物进校园管理。</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4BE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7BF8089E">
            <w:pPr>
              <w:pageBreakBefore w:val="0"/>
              <w:widowControl/>
              <w:kinsoku/>
              <w:wordWrap/>
              <w:overflowPunct/>
              <w:autoSpaceDN/>
              <w:bidi w:val="0"/>
              <w:spacing w:line="560" w:lineRule="exact"/>
              <w:ind w:firstLine="0" w:firstLineChars="0"/>
              <w:jc w:val="center"/>
              <w:textAlignment w:val="auto"/>
              <w:rPr>
                <w:rFonts w:hint="eastAsia" w:ascii="仿宋_GB2312" w:hAnsi="仿宋_GB2312" w:eastAsia="仿宋_GB2312" w:cs="仿宋_GB2312"/>
                <w:color w:val="000000"/>
                <w:sz w:val="28"/>
                <w:szCs w:val="28"/>
                <w:highlight w:val="none"/>
                <w:u w:val="none"/>
                <w:lang w:val="en-US" w:eastAsia="zh-CN" w:bidi="ar"/>
              </w:rPr>
            </w:pPr>
            <w:r>
              <w:rPr>
                <w:rFonts w:hint="eastAsia" w:ascii="仿宋_GB2312" w:hAnsi="仿宋_GB2312" w:eastAsia="仿宋_GB2312" w:cs="仿宋_GB2312"/>
                <w:b/>
                <w:bCs/>
                <w:color w:val="000000"/>
                <w:sz w:val="28"/>
                <w:szCs w:val="28"/>
                <w:highlight w:val="none"/>
                <w:u w:val="none"/>
                <w:lang w:val="en-US" w:eastAsia="zh-CN" w:bidi="ar"/>
              </w:rPr>
              <w:t>专栏1：</w:t>
            </w:r>
            <w:r>
              <w:rPr>
                <w:rFonts w:hint="eastAsia" w:ascii="仿宋_GB2312" w:hAnsi="仿宋_GB2312" w:eastAsia="仿宋_GB2312" w:cs="仿宋_GB2312"/>
                <w:b/>
                <w:bCs/>
                <w:color w:val="000000"/>
                <w:sz w:val="28"/>
                <w:szCs w:val="28"/>
                <w:highlight w:val="none"/>
                <w:u w:val="none"/>
                <w:lang w:eastAsia="zh-CN" w:bidi="ar"/>
              </w:rPr>
              <w:t>“</w:t>
            </w:r>
            <w:r>
              <w:rPr>
                <w:rFonts w:hint="eastAsia" w:ascii="仿宋_GB2312" w:hAnsi="仿宋_GB2312" w:eastAsia="仿宋_GB2312" w:cs="仿宋_GB2312"/>
                <w:b/>
                <w:bCs/>
                <w:color w:val="000000"/>
                <w:sz w:val="28"/>
                <w:szCs w:val="28"/>
                <w:highlight w:val="none"/>
                <w:u w:val="none"/>
                <w:lang w:val="en-US" w:eastAsia="zh-CN" w:bidi="ar"/>
              </w:rPr>
              <w:t>五育融合</w:t>
            </w:r>
            <w:r>
              <w:rPr>
                <w:rFonts w:hint="eastAsia" w:ascii="仿宋_GB2312" w:hAnsi="仿宋_GB2312" w:eastAsia="仿宋_GB2312" w:cs="仿宋_GB2312"/>
                <w:b/>
                <w:bCs/>
                <w:color w:val="000000"/>
                <w:sz w:val="28"/>
                <w:szCs w:val="28"/>
                <w:highlight w:val="none"/>
                <w:u w:val="none"/>
                <w:lang w:eastAsia="zh-CN" w:bidi="ar"/>
              </w:rPr>
              <w:t>”全方位</w:t>
            </w:r>
            <w:r>
              <w:rPr>
                <w:rFonts w:hint="eastAsia" w:ascii="仿宋_GB2312" w:hAnsi="仿宋_GB2312" w:eastAsia="仿宋_GB2312" w:cs="仿宋_GB2312"/>
                <w:b/>
                <w:bCs/>
                <w:color w:val="000000"/>
                <w:sz w:val="28"/>
                <w:szCs w:val="28"/>
                <w:highlight w:val="none"/>
                <w:u w:val="none"/>
                <w:lang w:val="en-US" w:eastAsia="zh-CN" w:bidi="ar"/>
              </w:rPr>
              <w:t>育人行动</w:t>
            </w:r>
          </w:p>
        </w:tc>
      </w:tr>
      <w:tr w14:paraId="2874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8522" w:type="dxa"/>
            <w:noWrap w:val="0"/>
            <w:vAlign w:val="center"/>
          </w:tcPr>
          <w:p w14:paraId="0DACC541">
            <w:pPr>
              <w:pageBreakBefore w:val="0"/>
              <w:widowControl/>
              <w:kinsoku/>
              <w:wordWrap/>
              <w:overflowPunct/>
              <w:autoSpaceDN/>
              <w:bidi w:val="0"/>
              <w:spacing w:line="440" w:lineRule="exact"/>
              <w:ind w:firstLine="560" w:firstLineChars="200"/>
              <w:textAlignment w:val="auto"/>
              <w:rPr>
                <w:rFonts w:hint="eastAsia" w:ascii="仿宋_GB2312" w:hAnsi="仿宋_GB2312" w:eastAsia="仿宋_GB2312" w:cs="仿宋_GB2312"/>
                <w:color w:val="000000"/>
                <w:sz w:val="28"/>
                <w:szCs w:val="28"/>
                <w:highlight w:val="none"/>
                <w:u w:val="none"/>
                <w:lang w:val="en-US" w:eastAsia="zh-CN" w:bidi="ar"/>
              </w:rPr>
            </w:pPr>
            <w:r>
              <w:rPr>
                <w:rFonts w:hint="eastAsia" w:ascii="仿宋_GB2312" w:hAnsi="仿宋_GB2312" w:eastAsia="仿宋_GB2312" w:cs="仿宋_GB2312"/>
                <w:color w:val="000000"/>
                <w:sz w:val="28"/>
                <w:szCs w:val="28"/>
                <w:highlight w:val="none"/>
                <w:u w:val="none"/>
                <w:lang w:val="en-US" w:eastAsia="zh-CN" w:bidi="ar"/>
              </w:rPr>
              <w:t>提升学生体质健康水平。全面落实中小学校每天1节体育课</w:t>
            </w:r>
            <w:r>
              <w:rPr>
                <w:rFonts w:hint="eastAsia" w:ascii="仿宋_GB2312" w:hAnsi="仿宋_GB2312" w:eastAsia="仿宋_GB2312" w:cs="仿宋_GB2312"/>
                <w:color w:val="000000"/>
                <w:sz w:val="28"/>
                <w:szCs w:val="28"/>
                <w:highlight w:val="none"/>
                <w:u w:val="none"/>
                <w:lang w:eastAsia="zh-CN" w:bidi="ar"/>
              </w:rPr>
              <w:t>，帮助</w:t>
            </w:r>
            <w:r>
              <w:rPr>
                <w:rFonts w:hint="eastAsia" w:ascii="仿宋_GB2312" w:hAnsi="仿宋_GB2312" w:eastAsia="仿宋_GB2312" w:cs="仿宋_GB2312"/>
                <w:color w:val="000000"/>
                <w:sz w:val="28"/>
                <w:szCs w:val="28"/>
                <w:highlight w:val="none"/>
                <w:u w:val="none"/>
                <w:lang w:val="en-US" w:eastAsia="zh-CN" w:bidi="ar"/>
              </w:rPr>
              <w:t>学生熟练掌握2项以上体育技能，到2030年全市中小学生体质健康优良率超70%。帮助学生形成1-2项艺术特长和爱好，到2030年全市建成30个高水平学校艺术团队。</w:t>
            </w:r>
            <w:r>
              <w:rPr>
                <w:rFonts w:hint="eastAsia" w:ascii="仿宋_GB2312" w:hAnsi="仿宋_GB2312" w:eastAsia="仿宋_GB2312" w:cs="仿宋_GB2312"/>
                <w:color w:val="000000"/>
                <w:sz w:val="28"/>
                <w:szCs w:val="28"/>
                <w:highlight w:val="none"/>
                <w:u w:val="none"/>
                <w:lang w:bidi="ar"/>
              </w:rPr>
              <w:t>推动初中</w:t>
            </w:r>
            <w:r>
              <w:rPr>
                <w:rFonts w:hint="eastAsia" w:ascii="仿宋_GB2312" w:hAnsi="仿宋_GB2312" w:eastAsia="仿宋_GB2312" w:cs="仿宋_GB2312"/>
                <w:color w:val="000000"/>
                <w:sz w:val="28"/>
                <w:szCs w:val="28"/>
                <w:highlight w:val="none"/>
                <w:u w:val="none"/>
                <w:lang w:eastAsia="zh-CN" w:bidi="ar"/>
              </w:rPr>
              <w:t>生课外阅读量达到</w:t>
            </w:r>
            <w:r>
              <w:rPr>
                <w:rFonts w:hint="eastAsia" w:ascii="仿宋_GB2312" w:hAnsi="仿宋_GB2312" w:eastAsia="仿宋_GB2312" w:cs="仿宋_GB2312"/>
                <w:color w:val="000000"/>
                <w:sz w:val="28"/>
                <w:szCs w:val="28"/>
                <w:highlight w:val="none"/>
                <w:u w:val="none"/>
                <w:lang w:bidi="ar"/>
              </w:rPr>
              <w:t>300万字</w:t>
            </w:r>
            <w:r>
              <w:rPr>
                <w:rFonts w:hint="eastAsia" w:ascii="仿宋_GB2312" w:hAnsi="仿宋_GB2312" w:eastAsia="仿宋_GB2312" w:cs="仿宋_GB2312"/>
                <w:color w:val="000000"/>
                <w:sz w:val="28"/>
                <w:szCs w:val="28"/>
                <w:highlight w:val="none"/>
                <w:u w:val="none"/>
                <w:lang w:eastAsia="zh-CN" w:bidi="ar"/>
              </w:rPr>
              <w:t>、</w:t>
            </w:r>
            <w:r>
              <w:rPr>
                <w:rFonts w:hint="eastAsia" w:ascii="仿宋_GB2312" w:hAnsi="仿宋_GB2312" w:eastAsia="仿宋_GB2312" w:cs="仿宋_GB2312"/>
                <w:color w:val="000000"/>
                <w:sz w:val="28"/>
                <w:szCs w:val="28"/>
                <w:highlight w:val="none"/>
                <w:u w:val="none"/>
                <w:lang w:bidi="ar"/>
              </w:rPr>
              <w:t>高中</w:t>
            </w:r>
            <w:r>
              <w:rPr>
                <w:rFonts w:hint="eastAsia" w:ascii="仿宋_GB2312" w:hAnsi="仿宋_GB2312" w:eastAsia="仿宋_GB2312" w:cs="仿宋_GB2312"/>
                <w:color w:val="000000"/>
                <w:sz w:val="28"/>
                <w:szCs w:val="28"/>
                <w:highlight w:val="none"/>
                <w:u w:val="none"/>
                <w:lang w:eastAsia="zh-CN" w:bidi="ar"/>
              </w:rPr>
              <w:t>生课外阅读量达到</w:t>
            </w:r>
            <w:r>
              <w:rPr>
                <w:rFonts w:hint="eastAsia" w:ascii="仿宋_GB2312" w:hAnsi="仿宋_GB2312" w:eastAsia="仿宋_GB2312" w:cs="仿宋_GB2312"/>
                <w:color w:val="000000"/>
                <w:sz w:val="28"/>
                <w:szCs w:val="28"/>
                <w:highlight w:val="none"/>
                <w:u w:val="none"/>
                <w:lang w:bidi="ar"/>
              </w:rPr>
              <w:t>400万字</w:t>
            </w:r>
            <w:r>
              <w:rPr>
                <w:rFonts w:hint="eastAsia" w:ascii="仿宋_GB2312" w:hAnsi="仿宋_GB2312" w:eastAsia="仿宋_GB2312" w:cs="仿宋_GB2312"/>
                <w:color w:val="000000"/>
                <w:sz w:val="28"/>
                <w:szCs w:val="28"/>
                <w:highlight w:val="none"/>
                <w:u w:val="none"/>
                <w:lang w:eastAsia="zh-CN" w:bidi="ar"/>
              </w:rPr>
              <w:t>。</w:t>
            </w:r>
          </w:p>
        </w:tc>
      </w:tr>
    </w:tbl>
    <w:p w14:paraId="6A8BE638">
      <w:pPr>
        <w:pStyle w:val="8"/>
        <w:keepNext w:val="0"/>
        <w:keepLines w:val="0"/>
        <w:pageBreakBefore w:val="0"/>
        <w:widowControl w:val="0"/>
        <w:kinsoku/>
        <w:wordWrap/>
        <w:overflowPunct/>
        <w:topLinePunct w:val="0"/>
        <w:autoSpaceDE/>
        <w:autoSpaceDN/>
        <w:bidi w:val="0"/>
        <w:snapToGrid/>
        <w:spacing w:line="240" w:lineRule="auto"/>
        <w:ind w:firstLine="640" w:firstLineChars="200"/>
        <w:textAlignment w:val="auto"/>
        <w:rPr>
          <w:rFonts w:hint="eastAsia" w:ascii="楷体_GB2312" w:hAnsi="楷体_GB2312" w:eastAsia="楷体_GB2312" w:cs="楷体_GB2312"/>
          <w:color w:val="000000"/>
          <w:sz w:val="32"/>
          <w:szCs w:val="24"/>
          <w:highlight w:val="none"/>
          <w:u w:val="none" w:color="auto"/>
          <w:lang w:eastAsia="zh-CN"/>
        </w:rPr>
      </w:pPr>
      <w:r>
        <w:rPr>
          <w:rFonts w:hint="eastAsia" w:ascii="楷体_GB2312" w:hAnsi="楷体_GB2312" w:eastAsia="楷体_GB2312" w:cs="楷体_GB2312"/>
          <w:color w:val="000000"/>
          <w:sz w:val="32"/>
          <w:szCs w:val="24"/>
          <w:highlight w:val="none"/>
          <w:u w:val="none" w:color="auto"/>
          <w:lang w:eastAsia="zh-CN"/>
        </w:rPr>
        <w:t>（二）优化资源供给，</w:t>
      </w:r>
      <w:r>
        <w:rPr>
          <w:rFonts w:hint="eastAsia" w:ascii="楷体_GB2312" w:hAnsi="楷体_GB2312" w:eastAsia="楷体_GB2312" w:cs="楷体_GB2312"/>
          <w:color w:val="000000"/>
          <w:sz w:val="32"/>
          <w:szCs w:val="24"/>
          <w:highlight w:val="none"/>
          <w:u w:val="none" w:color="auto"/>
          <w:lang w:val="en-US" w:eastAsia="zh-CN"/>
        </w:rPr>
        <w:t>促进</w:t>
      </w:r>
      <w:r>
        <w:rPr>
          <w:rFonts w:hint="eastAsia" w:ascii="楷体_GB2312" w:hAnsi="楷体_GB2312" w:eastAsia="楷体_GB2312" w:cs="楷体_GB2312"/>
          <w:color w:val="000000"/>
          <w:sz w:val="32"/>
          <w:szCs w:val="24"/>
          <w:highlight w:val="none"/>
          <w:u w:val="none" w:color="auto"/>
          <w:lang w:eastAsia="zh-CN"/>
        </w:rPr>
        <w:t>基础教育</w:t>
      </w:r>
      <w:r>
        <w:rPr>
          <w:rFonts w:hint="eastAsia" w:ascii="楷体_GB2312" w:hAnsi="楷体_GB2312" w:eastAsia="楷体_GB2312" w:cs="楷体_GB2312"/>
          <w:color w:val="000000"/>
          <w:sz w:val="32"/>
          <w:szCs w:val="24"/>
          <w:highlight w:val="none"/>
          <w:u w:val="none" w:color="auto"/>
          <w:lang w:val="en-US" w:eastAsia="zh-CN"/>
        </w:rPr>
        <w:t>扩优提质</w:t>
      </w:r>
      <w:r>
        <w:rPr>
          <w:rFonts w:hint="eastAsia" w:ascii="楷体_GB2312" w:hAnsi="楷体_GB2312" w:eastAsia="楷体_GB2312" w:cs="楷体_GB2312"/>
          <w:color w:val="000000"/>
          <w:sz w:val="32"/>
          <w:szCs w:val="24"/>
          <w:highlight w:val="none"/>
          <w:u w:val="none" w:color="auto"/>
          <w:lang w:eastAsia="zh-CN"/>
        </w:rPr>
        <w:t>。</w:t>
      </w:r>
    </w:p>
    <w:p w14:paraId="05227037">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7</w:t>
      </w:r>
      <w:r>
        <w:rPr>
          <w:rFonts w:hint="eastAsia" w:ascii="Times New Roman" w:hAnsi="Times New Roman" w:eastAsia="仿宋_GB2312"/>
          <w:b/>
          <w:bCs/>
          <w:color w:val="000000"/>
          <w:sz w:val="32"/>
          <w:szCs w:val="24"/>
          <w:highlight w:val="none"/>
          <w:u w:val="none" w:color="auto"/>
        </w:rPr>
        <w:t>.</w:t>
      </w:r>
      <w:r>
        <w:rPr>
          <w:rFonts w:hint="eastAsia" w:ascii="Times New Roman" w:hAnsi="Times New Roman" w:eastAsia="仿宋_GB2312"/>
          <w:b/>
          <w:bCs/>
          <w:color w:val="000000"/>
          <w:sz w:val="32"/>
          <w:szCs w:val="24"/>
          <w:highlight w:val="none"/>
          <w:u w:val="none" w:color="auto"/>
          <w:lang w:eastAsia="zh-CN"/>
        </w:rPr>
        <w:t>合理</w:t>
      </w:r>
      <w:r>
        <w:rPr>
          <w:rFonts w:hint="eastAsia" w:ascii="Times New Roman" w:hAnsi="Times New Roman" w:eastAsia="仿宋_GB2312"/>
          <w:b/>
          <w:bCs/>
          <w:color w:val="000000"/>
          <w:sz w:val="32"/>
          <w:szCs w:val="24"/>
          <w:highlight w:val="none"/>
          <w:u w:val="none" w:color="auto"/>
        </w:rPr>
        <w:t>调整城乡学校布局。</w:t>
      </w:r>
      <w:r>
        <w:rPr>
          <w:rFonts w:hint="eastAsia" w:ascii="Times New Roman" w:hAnsi="Times New Roman" w:eastAsia="仿宋_GB2312"/>
          <w:color w:val="000000"/>
          <w:sz w:val="32"/>
          <w:szCs w:val="24"/>
          <w:highlight w:val="none"/>
          <w:u w:val="none" w:color="auto"/>
        </w:rPr>
        <w:t>优化城乡学校布局结构，以县域为单位制订完善优化调整县域基础教育资源布局规划</w:t>
      </w:r>
      <w:r>
        <w:rPr>
          <w:rFonts w:hint="eastAsia" w:ascii="Times New Roman" w:hAnsi="Times New Roman" w:eastAsia="仿宋_GB2312"/>
          <w:color w:val="000000"/>
          <w:sz w:val="32"/>
          <w:szCs w:val="24"/>
          <w:highlight w:val="none"/>
          <w:u w:val="none" w:color="auto"/>
          <w:lang w:eastAsia="zh-CN"/>
        </w:rPr>
        <w:t>。</w:t>
      </w:r>
      <w:r>
        <w:rPr>
          <w:rFonts w:hint="eastAsia" w:ascii="Times New Roman" w:hAnsi="Times New Roman" w:eastAsia="仿宋_GB2312"/>
          <w:color w:val="000000"/>
          <w:sz w:val="32"/>
          <w:szCs w:val="24"/>
          <w:highlight w:val="none"/>
          <w:u w:val="none" w:color="auto"/>
        </w:rPr>
        <w:t>加快构建小学以片区为主、初中学校向乡镇（街道）以上集中的办学模式，稳慎优化农村中小学校和幼儿园布局</w:t>
      </w:r>
      <w:r>
        <w:rPr>
          <w:rFonts w:hint="eastAsia" w:ascii="Times New Roman" w:hAnsi="Times New Roman" w:eastAsia="仿宋_GB2312"/>
          <w:color w:val="000000"/>
          <w:sz w:val="32"/>
          <w:szCs w:val="24"/>
          <w:highlight w:val="none"/>
          <w:u w:val="none" w:color="auto"/>
          <w:lang w:eastAsia="zh-CN"/>
        </w:rPr>
        <w:t>，办好必要的乡村小规模</w:t>
      </w:r>
      <w:r>
        <w:rPr>
          <w:rFonts w:hint="eastAsia" w:ascii="Times New Roman" w:hAnsi="Times New Roman" w:eastAsia="仿宋_GB2312"/>
          <w:color w:val="000000"/>
          <w:sz w:val="32"/>
          <w:szCs w:val="24"/>
          <w:highlight w:val="none"/>
          <w:u w:val="none" w:color="auto"/>
        </w:rPr>
        <w:t>学校，逐步缩小城乡</w:t>
      </w:r>
      <w:r>
        <w:rPr>
          <w:rFonts w:hint="eastAsia" w:ascii="Times New Roman" w:hAnsi="Times New Roman" w:eastAsia="仿宋_GB2312"/>
          <w:color w:val="000000"/>
          <w:sz w:val="32"/>
          <w:szCs w:val="24"/>
          <w:highlight w:val="none"/>
          <w:u w:val="none" w:color="auto"/>
          <w:lang w:eastAsia="zh-CN"/>
        </w:rPr>
        <w:t>、</w:t>
      </w:r>
      <w:r>
        <w:rPr>
          <w:rFonts w:hint="eastAsia" w:ascii="Times New Roman" w:hAnsi="Times New Roman" w:eastAsia="仿宋_GB2312"/>
          <w:color w:val="000000"/>
          <w:sz w:val="32"/>
          <w:szCs w:val="24"/>
          <w:highlight w:val="none"/>
          <w:u w:val="none" w:color="auto"/>
        </w:rPr>
        <w:t>校际之间的教育差距。</w:t>
      </w:r>
      <w:r>
        <w:rPr>
          <w:rFonts w:hint="eastAsia" w:ascii="Times New Roman" w:hAnsi="Times New Roman" w:eastAsia="仿宋_GB2312"/>
          <w:color w:val="000000"/>
          <w:sz w:val="32"/>
          <w:szCs w:val="24"/>
          <w:highlight w:val="none"/>
          <w:u w:val="none" w:color="auto"/>
          <w:lang w:eastAsia="zh-CN"/>
        </w:rPr>
        <w:t>深入推进义务教育学校标准化建设，</w:t>
      </w:r>
      <w:r>
        <w:rPr>
          <w:rFonts w:hint="eastAsia" w:ascii="Times New Roman" w:hAnsi="Times New Roman" w:eastAsia="仿宋_GB2312"/>
          <w:color w:val="000000"/>
          <w:sz w:val="32"/>
          <w:szCs w:val="24"/>
          <w:highlight w:val="none"/>
          <w:u w:val="none" w:color="auto"/>
        </w:rPr>
        <w:t>严控超大规模</w:t>
      </w:r>
      <w:r>
        <w:rPr>
          <w:rFonts w:hint="eastAsia" w:ascii="Times New Roman" w:hAnsi="Times New Roman" w:eastAsia="仿宋_GB2312"/>
          <w:color w:val="000000"/>
          <w:sz w:val="32"/>
          <w:szCs w:val="24"/>
          <w:highlight w:val="none"/>
          <w:u w:val="none" w:color="auto"/>
          <w:lang w:val="en-US" w:eastAsia="zh-CN"/>
        </w:rPr>
        <w:t>班额</w:t>
      </w:r>
      <w:r>
        <w:rPr>
          <w:rFonts w:hint="eastAsia" w:ascii="Times New Roman" w:hAnsi="Times New Roman" w:eastAsia="仿宋_GB2312"/>
          <w:color w:val="000000"/>
          <w:sz w:val="32"/>
          <w:szCs w:val="24"/>
          <w:highlight w:val="none"/>
          <w:u w:val="none" w:color="auto"/>
        </w:rPr>
        <w:t>，促进全市义务教育优质均衡发展。支持生源不足或不具备独立办园条件的地区通过小学附设幼儿班形式规范办学。</w:t>
      </w:r>
    </w:p>
    <w:p w14:paraId="1BC3A67A">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8</w:t>
      </w:r>
      <w:r>
        <w:rPr>
          <w:rFonts w:hint="eastAsia" w:ascii="Times New Roman" w:hAnsi="Times New Roman" w:eastAsia="仿宋_GB2312"/>
          <w:b/>
          <w:bCs/>
          <w:color w:val="000000"/>
          <w:sz w:val="32"/>
          <w:szCs w:val="24"/>
          <w:highlight w:val="none"/>
          <w:u w:val="none" w:color="auto"/>
        </w:rPr>
        <w:t>.</w:t>
      </w:r>
      <w:r>
        <w:rPr>
          <w:rFonts w:hint="eastAsia" w:ascii="Times New Roman" w:hAnsi="Times New Roman" w:eastAsia="仿宋_GB2312"/>
          <w:b/>
          <w:bCs/>
          <w:color w:val="000000"/>
          <w:sz w:val="32"/>
          <w:szCs w:val="24"/>
          <w:highlight w:val="none"/>
          <w:u w:val="none" w:color="auto"/>
          <w:lang w:eastAsia="zh-CN"/>
        </w:rPr>
        <w:t>优化基础教育资源配置</w:t>
      </w:r>
      <w:r>
        <w:rPr>
          <w:rFonts w:hint="eastAsia" w:ascii="Times New Roman" w:hAnsi="Times New Roman" w:eastAsia="仿宋_GB2312"/>
          <w:b/>
          <w:bCs/>
          <w:color w:val="000000"/>
          <w:sz w:val="32"/>
          <w:szCs w:val="24"/>
          <w:highlight w:val="none"/>
          <w:u w:val="none" w:color="auto"/>
        </w:rPr>
        <w:t>。</w:t>
      </w:r>
      <w:r>
        <w:rPr>
          <w:rFonts w:hint="eastAsia" w:ascii="Times New Roman" w:hAnsi="Times New Roman" w:eastAsia="仿宋_GB2312"/>
          <w:color w:val="000000"/>
          <w:sz w:val="32"/>
          <w:szCs w:val="24"/>
          <w:highlight w:val="none"/>
          <w:u w:val="none" w:color="auto"/>
        </w:rPr>
        <w:t>结合学龄人口梯次变动的市情，构建与人口资源变化相适应的基础教育资源统筹调配机制。</w:t>
      </w:r>
      <w:r>
        <w:rPr>
          <w:rFonts w:hint="eastAsia" w:ascii="Times New Roman" w:hAnsi="Times New Roman" w:eastAsia="仿宋_GB2312"/>
          <w:color w:val="000000"/>
          <w:sz w:val="32"/>
          <w:szCs w:val="24"/>
          <w:highlight w:val="none"/>
          <w:u w:val="none" w:color="auto"/>
          <w:lang w:eastAsia="zh-CN"/>
        </w:rPr>
        <w:t>逐步扩大免费学前教育范围，鼓励有条件的幼儿园开设</w:t>
      </w:r>
      <w:r>
        <w:rPr>
          <w:rFonts w:hint="eastAsia" w:ascii="Times New Roman" w:hAnsi="Times New Roman" w:eastAsia="仿宋_GB2312"/>
          <w:color w:val="000000"/>
          <w:sz w:val="32"/>
          <w:szCs w:val="24"/>
          <w:highlight w:val="none"/>
          <w:u w:val="none" w:color="auto"/>
          <w:lang w:val="en-US" w:eastAsia="zh-CN"/>
        </w:rPr>
        <w:t>托班招收2-3岁幼儿。</w:t>
      </w:r>
      <w:r>
        <w:rPr>
          <w:rFonts w:hint="eastAsia" w:ascii="Times New Roman" w:hAnsi="Times New Roman" w:eastAsia="仿宋_GB2312"/>
          <w:color w:val="000000"/>
          <w:sz w:val="32"/>
          <w:szCs w:val="24"/>
          <w:highlight w:val="none"/>
          <w:u w:val="none" w:color="auto"/>
        </w:rPr>
        <w:t>义务教育阶段通过调整办学梯次、挖潜扩容等措施，提高学校标准化办学水平，应对入学人数波动</w:t>
      </w:r>
      <w:r>
        <w:rPr>
          <w:rFonts w:hint="eastAsia" w:ascii="Times New Roman" w:hAnsi="Times New Roman" w:eastAsia="仿宋_GB2312"/>
          <w:color w:val="000000"/>
          <w:sz w:val="32"/>
          <w:szCs w:val="24"/>
          <w:highlight w:val="none"/>
          <w:u w:val="none" w:color="auto"/>
          <w:lang w:eastAsia="zh-CN"/>
        </w:rPr>
        <w:t>。普通</w:t>
      </w:r>
      <w:r>
        <w:rPr>
          <w:rFonts w:hint="eastAsia" w:ascii="Times New Roman" w:hAnsi="Times New Roman" w:eastAsia="仿宋_GB2312"/>
          <w:color w:val="000000"/>
          <w:sz w:val="32"/>
          <w:szCs w:val="24"/>
          <w:highlight w:val="none"/>
          <w:u w:val="none" w:color="auto"/>
        </w:rPr>
        <w:t>高中通过新建、改扩建、</w:t>
      </w:r>
      <w:r>
        <w:rPr>
          <w:rFonts w:hint="eastAsia" w:ascii="Times New Roman" w:hAnsi="Times New Roman" w:eastAsia="仿宋_GB2312"/>
          <w:color w:val="000000"/>
          <w:sz w:val="32"/>
          <w:szCs w:val="24"/>
          <w:highlight w:val="none"/>
          <w:u w:val="none" w:color="auto"/>
          <w:lang w:val="en-US" w:eastAsia="zh-CN"/>
        </w:rPr>
        <w:t>挖潜</w:t>
      </w:r>
      <w:r>
        <w:rPr>
          <w:rFonts w:hint="eastAsia" w:ascii="Times New Roman" w:hAnsi="Times New Roman" w:eastAsia="仿宋_GB2312"/>
          <w:color w:val="000000"/>
          <w:sz w:val="32"/>
          <w:szCs w:val="24"/>
          <w:highlight w:val="none"/>
          <w:u w:val="none" w:color="auto"/>
        </w:rPr>
        <w:t>扩容、购买民办学校学位、支持</w:t>
      </w:r>
      <w:r>
        <w:rPr>
          <w:rFonts w:hint="eastAsia" w:ascii="Times New Roman" w:hAnsi="Times New Roman" w:eastAsia="仿宋_GB2312"/>
          <w:color w:val="000000"/>
          <w:sz w:val="32"/>
          <w:szCs w:val="24"/>
          <w:highlight w:val="none"/>
          <w:u w:val="none" w:color="auto"/>
          <w:lang w:eastAsia="zh-CN"/>
        </w:rPr>
        <w:t>有条件</w:t>
      </w:r>
      <w:r>
        <w:rPr>
          <w:rFonts w:hint="eastAsia" w:ascii="Times New Roman" w:hAnsi="Times New Roman" w:eastAsia="仿宋_GB2312"/>
          <w:color w:val="000000"/>
          <w:sz w:val="32"/>
          <w:szCs w:val="24"/>
          <w:highlight w:val="none"/>
          <w:u w:val="none" w:color="auto"/>
        </w:rPr>
        <w:t>的中等职业学校举办</w:t>
      </w:r>
      <w:r>
        <w:rPr>
          <w:rFonts w:hint="eastAsia" w:ascii="Times New Roman" w:hAnsi="Times New Roman" w:eastAsia="仿宋_GB2312"/>
          <w:color w:val="000000"/>
          <w:sz w:val="32"/>
          <w:szCs w:val="24"/>
          <w:highlight w:val="none"/>
          <w:u w:val="none" w:color="auto"/>
          <w:lang w:eastAsia="zh-CN"/>
        </w:rPr>
        <w:t>综合高中班，</w:t>
      </w:r>
      <w:r>
        <w:rPr>
          <w:rFonts w:hint="eastAsia" w:ascii="Times New Roman" w:hAnsi="Times New Roman" w:eastAsia="仿宋_GB2312"/>
          <w:color w:val="000000"/>
          <w:sz w:val="32"/>
          <w:szCs w:val="24"/>
          <w:highlight w:val="none"/>
          <w:u w:val="none" w:color="auto"/>
        </w:rPr>
        <w:t>整合现有教育资源等多种方式增加高中学位供给。</w:t>
      </w:r>
      <w:r>
        <w:rPr>
          <w:rFonts w:hint="eastAsia" w:ascii="Times New Roman" w:hAnsi="Times New Roman" w:eastAsia="仿宋_GB2312"/>
          <w:color w:val="000000"/>
          <w:sz w:val="32"/>
          <w:szCs w:val="24"/>
          <w:highlight w:val="none"/>
          <w:u w:val="none" w:color="auto"/>
          <w:lang w:eastAsia="zh-CN"/>
        </w:rPr>
        <w:t>办好</w:t>
      </w:r>
      <w:r>
        <w:rPr>
          <w:rFonts w:hint="eastAsia" w:ascii="Times New Roman" w:hAnsi="Times New Roman" w:eastAsia="仿宋_GB2312"/>
          <w:color w:val="000000"/>
          <w:sz w:val="32"/>
          <w:szCs w:val="24"/>
          <w:highlight w:val="none"/>
          <w:u w:val="none" w:color="auto"/>
        </w:rPr>
        <w:t>北京师范大学云浮实验学校，</w:t>
      </w:r>
      <w:r>
        <w:rPr>
          <w:rFonts w:hint="eastAsia" w:ascii="仿宋_GB2312" w:hAnsi="仿宋_GB2312" w:eastAsia="仿宋_GB2312" w:cs="仿宋_GB2312"/>
          <w:sz w:val="32"/>
          <w:szCs w:val="32"/>
          <w:highlight w:val="none"/>
          <w:u w:val="none" w:color="auto"/>
          <w:lang w:val="en-US" w:eastAsia="zh-CN"/>
        </w:rPr>
        <w:t>打造成为我市优质基础教育新标杆、粤东粤西粤北基础教育高质量发展新高地</w:t>
      </w:r>
      <w:r>
        <w:rPr>
          <w:rFonts w:hint="eastAsia" w:ascii="Times New Roman" w:hAnsi="Times New Roman" w:eastAsia="仿宋_GB2312"/>
          <w:color w:val="000000"/>
          <w:sz w:val="32"/>
          <w:szCs w:val="24"/>
          <w:highlight w:val="none"/>
          <w:u w:val="none" w:color="auto"/>
        </w:rPr>
        <w:t>。加强中小学校体育运动场地建设，建设好乡村学校必要的体育、美育场地和劳动教育场室（所）并配齐设施设备。完善以居住证为主要依据的随迁子女入学机制</w:t>
      </w:r>
      <w:r>
        <w:rPr>
          <w:rFonts w:hint="eastAsia" w:ascii="Times New Roman" w:hAnsi="Times New Roman" w:eastAsia="仿宋_GB2312"/>
          <w:color w:val="000000"/>
          <w:sz w:val="32"/>
          <w:szCs w:val="24"/>
          <w:highlight w:val="none"/>
          <w:u w:val="none" w:color="auto"/>
          <w:lang w:eastAsia="zh-CN"/>
        </w:rPr>
        <w:t>，</w:t>
      </w:r>
      <w:r>
        <w:rPr>
          <w:rFonts w:hint="eastAsia" w:ascii="Times New Roman" w:hAnsi="Times New Roman" w:eastAsia="仿宋_GB2312"/>
          <w:color w:val="000000"/>
          <w:sz w:val="32"/>
          <w:szCs w:val="24"/>
          <w:highlight w:val="none"/>
          <w:u w:val="none" w:color="auto"/>
        </w:rPr>
        <w:t>依法保障进城务工人员随迁子女接受义务教育权利。</w:t>
      </w:r>
    </w:p>
    <w:tbl>
      <w:tblPr>
        <w:tblStyle w:val="4"/>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5E00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180" w:type="dxa"/>
            <w:vAlign w:val="center"/>
          </w:tcPr>
          <w:p w14:paraId="28C8811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rPr>
              <w:t>专栏</w:t>
            </w:r>
            <w:r>
              <w:rPr>
                <w:rFonts w:hint="eastAsia" w:ascii="仿宋_GB2312" w:hAnsi="仿宋_GB2312" w:eastAsia="仿宋_GB2312" w:cs="仿宋_GB2312"/>
                <w:b/>
                <w:bCs/>
                <w:sz w:val="28"/>
                <w:szCs w:val="28"/>
                <w:highlight w:val="none"/>
                <w:lang w:val="en-US" w:eastAsia="zh-CN"/>
              </w:rPr>
              <w:t>2</w:t>
            </w:r>
            <w:r>
              <w:rPr>
                <w:rFonts w:hint="eastAsia" w:ascii="仿宋_GB2312" w:hAnsi="仿宋_GB2312" w:eastAsia="仿宋_GB2312" w:cs="仿宋_GB2312"/>
                <w:b/>
                <w:bCs/>
                <w:sz w:val="28"/>
                <w:szCs w:val="28"/>
                <w:highlight w:val="none"/>
                <w:lang w:eastAsia="zh-CN"/>
              </w:rPr>
              <w:t>：公办普通高中学位攻坚行动</w:t>
            </w:r>
          </w:p>
        </w:tc>
      </w:tr>
      <w:tr w14:paraId="4859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5" w:hRule="atLeast"/>
          <w:jc w:val="center"/>
        </w:trPr>
        <w:tc>
          <w:tcPr>
            <w:tcW w:w="9180" w:type="dxa"/>
            <w:vAlign w:val="center"/>
          </w:tcPr>
          <w:p w14:paraId="026553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通过新建学校、改扩建高中、</w:t>
            </w:r>
            <w:r>
              <w:rPr>
                <w:rFonts w:hint="eastAsia" w:ascii="仿宋_GB2312" w:hAnsi="仿宋_GB2312" w:eastAsia="仿宋_GB2312" w:cs="仿宋_GB2312"/>
                <w:sz w:val="28"/>
                <w:szCs w:val="28"/>
                <w:highlight w:val="none"/>
                <w:lang w:eastAsia="zh-CN"/>
              </w:rPr>
              <w:t>学校增段</w:t>
            </w:r>
            <w:r>
              <w:rPr>
                <w:rFonts w:hint="eastAsia" w:ascii="仿宋_GB2312" w:hAnsi="仿宋_GB2312" w:eastAsia="仿宋_GB2312" w:cs="仿宋_GB2312"/>
                <w:sz w:val="28"/>
                <w:szCs w:val="28"/>
                <w:highlight w:val="none"/>
              </w:rPr>
              <w:t>转制、</w:t>
            </w:r>
            <w:r>
              <w:rPr>
                <w:rFonts w:hint="eastAsia" w:ascii="仿宋_GB2312" w:hAnsi="仿宋_GB2312" w:eastAsia="仿宋_GB2312" w:cs="仿宋_GB2312"/>
                <w:sz w:val="28"/>
                <w:szCs w:val="28"/>
                <w:highlight w:val="none"/>
                <w:lang w:eastAsia="zh-CN"/>
              </w:rPr>
              <w:t>现有高中</w:t>
            </w:r>
            <w:r>
              <w:rPr>
                <w:rFonts w:hint="eastAsia" w:ascii="仿宋_GB2312" w:hAnsi="仿宋_GB2312" w:eastAsia="仿宋_GB2312" w:cs="仿宋_GB2312"/>
                <w:sz w:val="28"/>
                <w:szCs w:val="28"/>
                <w:highlight w:val="none"/>
              </w:rPr>
              <w:t>挖潜扩容</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购买民办学校学位、开设综合高中班等</w:t>
            </w:r>
            <w:r>
              <w:rPr>
                <w:rFonts w:hint="eastAsia" w:ascii="仿宋_GB2312" w:hAnsi="仿宋_GB2312" w:eastAsia="仿宋_GB2312" w:cs="仿宋_GB2312"/>
                <w:sz w:val="28"/>
                <w:szCs w:val="28"/>
                <w:highlight w:val="none"/>
                <w:lang w:eastAsia="zh-CN"/>
              </w:rPr>
              <w:t>措施扩大高中学位供给，</w:t>
            </w:r>
            <w:r>
              <w:rPr>
                <w:rFonts w:hint="eastAsia" w:ascii="仿宋_GB2312" w:hAnsi="仿宋_GB2312" w:eastAsia="仿宋_GB2312" w:cs="仿宋_GB2312"/>
                <w:sz w:val="28"/>
                <w:szCs w:val="28"/>
                <w:highlight w:val="none"/>
              </w:rPr>
              <w:t>到2030年全市普通高中入学率达到70%。</w:t>
            </w:r>
            <w:r>
              <w:rPr>
                <w:rFonts w:hint="eastAsia" w:ascii="仿宋_GB2312" w:hAnsi="仿宋_GB2312" w:eastAsia="仿宋_GB2312" w:cs="仿宋_GB2312"/>
                <w:sz w:val="28"/>
                <w:szCs w:val="28"/>
                <w:highlight w:val="none"/>
                <w:lang w:eastAsia="zh-CN"/>
              </w:rPr>
              <w:t>推动</w:t>
            </w:r>
            <w:r>
              <w:rPr>
                <w:rFonts w:hint="eastAsia" w:ascii="仿宋_GB2312" w:hAnsi="仿宋_GB2312" w:eastAsia="仿宋_GB2312" w:cs="仿宋_GB2312"/>
                <w:sz w:val="28"/>
                <w:szCs w:val="28"/>
                <w:highlight w:val="none"/>
              </w:rPr>
              <w:t>北京师范大学云浮实验学校（高中校区）</w:t>
            </w:r>
            <w:r>
              <w:rPr>
                <w:rFonts w:hint="eastAsia" w:ascii="仿宋_GB2312" w:hAnsi="仿宋_GB2312" w:eastAsia="仿宋_GB2312" w:cs="仿宋_GB2312"/>
                <w:sz w:val="28"/>
                <w:szCs w:val="28"/>
                <w:highlight w:val="none"/>
                <w:lang w:eastAsia="zh-CN"/>
              </w:rPr>
              <w:t>、云浮市佛云学校（第二期）建设项目、云浮市云安区鲲鹏高级中学建设项目（二期）、云浮市云浮中学新建高中学生宿舍楼项目、郁南县高中能力提升项目、罗定实验中学扩容提质建设项目、罗定中学城东学校“扩容提质”建设工程项目等加快建设。</w:t>
            </w:r>
          </w:p>
        </w:tc>
      </w:tr>
    </w:tbl>
    <w:p w14:paraId="23AC953A">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9.</w:t>
      </w:r>
      <w:r>
        <w:rPr>
          <w:rFonts w:hint="eastAsia" w:ascii="Times New Roman" w:hAnsi="Times New Roman" w:eastAsia="仿宋_GB2312"/>
          <w:b/>
          <w:bCs/>
          <w:color w:val="000000"/>
          <w:sz w:val="32"/>
          <w:szCs w:val="24"/>
          <w:highlight w:val="none"/>
          <w:u w:val="none" w:color="auto"/>
        </w:rPr>
        <w:t>实施乡镇中心幼儿园、中心小学和公办寄宿制学校“三所学校”提质工程。</w:t>
      </w:r>
      <w:r>
        <w:rPr>
          <w:rFonts w:hint="eastAsia" w:ascii="Times New Roman" w:hAnsi="Times New Roman" w:eastAsia="仿宋_GB2312"/>
          <w:color w:val="000000"/>
          <w:sz w:val="32"/>
          <w:szCs w:val="24"/>
          <w:highlight w:val="none"/>
          <w:u w:val="none" w:color="auto"/>
        </w:rPr>
        <w:t>加强“三所学校”建设，每个乡镇（街道）</w:t>
      </w:r>
      <w:r>
        <w:rPr>
          <w:rFonts w:hint="eastAsia" w:ascii="Times New Roman" w:hAnsi="Times New Roman" w:eastAsia="仿宋_GB2312"/>
          <w:color w:val="000000"/>
          <w:sz w:val="32"/>
          <w:szCs w:val="24"/>
          <w:highlight w:val="none"/>
          <w:u w:val="none" w:color="auto"/>
          <w:lang w:eastAsia="zh-CN"/>
        </w:rPr>
        <w:t>至少建设1所</w:t>
      </w:r>
      <w:r>
        <w:rPr>
          <w:rFonts w:hint="eastAsia" w:ascii="Times New Roman" w:hAnsi="Times New Roman" w:eastAsia="仿宋_GB2312"/>
          <w:color w:val="000000"/>
          <w:sz w:val="32"/>
          <w:szCs w:val="24"/>
          <w:highlight w:val="none"/>
          <w:u w:val="none" w:color="auto"/>
        </w:rPr>
        <w:t>规范化中心幼儿园、1所标准化中心小学、1所标准化寄宿制学校。集中力量改善乡镇（街道）“三所学校”办学条件，按照国家及省定标准补足配齐信息化设备。配齐配强“三所学校”校（园）长、学科教师队伍，加大学科骨干教师、中小学本科以上学历教师、幼儿园专科以上学历教师配备力度，加强校（园）长、优秀教师的培养、培育、培训。给予</w:t>
      </w:r>
      <w:r>
        <w:rPr>
          <w:rFonts w:hint="eastAsia" w:ascii="Times New Roman" w:hAnsi="Times New Roman" w:eastAsia="仿宋_GB2312"/>
          <w:color w:val="000000"/>
          <w:sz w:val="32"/>
          <w:szCs w:val="24"/>
          <w:highlight w:val="none"/>
          <w:u w:val="none" w:color="auto"/>
          <w:lang w:eastAsia="zh-CN"/>
        </w:rPr>
        <w:t>学校</w:t>
      </w:r>
      <w:r>
        <w:rPr>
          <w:rFonts w:hint="eastAsia" w:ascii="Times New Roman" w:hAnsi="Times New Roman" w:eastAsia="仿宋_GB2312"/>
          <w:color w:val="000000"/>
          <w:sz w:val="32"/>
          <w:szCs w:val="24"/>
          <w:highlight w:val="none"/>
          <w:u w:val="none" w:color="auto"/>
        </w:rPr>
        <w:t>更大办学自主权，鼓励支持学校结合本地本校实际，在遵循学科教学基本要求基础上，深入推进教学管理、课程建设、课堂教学、校园文化建设、质量评价等工作。</w:t>
      </w:r>
    </w:p>
    <w:p w14:paraId="618AEE16">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10</w:t>
      </w:r>
      <w:r>
        <w:rPr>
          <w:rFonts w:hint="eastAsia" w:ascii="Times New Roman" w:hAnsi="Times New Roman" w:eastAsia="仿宋_GB2312"/>
          <w:b/>
          <w:bCs/>
          <w:color w:val="000000"/>
          <w:sz w:val="32"/>
          <w:szCs w:val="24"/>
          <w:highlight w:val="none"/>
          <w:u w:val="none" w:color="auto"/>
        </w:rPr>
        <w:t>.提升普通高中</w:t>
      </w:r>
      <w:r>
        <w:rPr>
          <w:rFonts w:hint="eastAsia" w:ascii="Times New Roman" w:hAnsi="Times New Roman" w:eastAsia="仿宋_GB2312"/>
          <w:b/>
          <w:bCs/>
          <w:color w:val="000000"/>
          <w:sz w:val="32"/>
          <w:szCs w:val="24"/>
          <w:highlight w:val="none"/>
          <w:u w:val="none" w:color="auto"/>
          <w:lang w:eastAsia="zh-CN"/>
        </w:rPr>
        <w:t>办学水平</w:t>
      </w:r>
      <w:r>
        <w:rPr>
          <w:rFonts w:hint="eastAsia" w:ascii="Times New Roman" w:hAnsi="Times New Roman" w:eastAsia="仿宋_GB2312"/>
          <w:b/>
          <w:bCs/>
          <w:color w:val="000000"/>
          <w:sz w:val="32"/>
          <w:szCs w:val="24"/>
          <w:highlight w:val="none"/>
          <w:u w:val="none" w:color="auto"/>
        </w:rPr>
        <w:t>。</w:t>
      </w:r>
      <w:r>
        <w:rPr>
          <w:rFonts w:hint="eastAsia" w:ascii="Times New Roman" w:hAnsi="Times New Roman" w:eastAsia="仿宋_GB2312"/>
          <w:color w:val="000000"/>
          <w:sz w:val="32"/>
          <w:szCs w:val="24"/>
          <w:highlight w:val="none"/>
          <w:u w:val="none" w:color="auto"/>
        </w:rPr>
        <w:t>实施县中</w:t>
      </w:r>
      <w:r>
        <w:rPr>
          <w:rFonts w:hint="eastAsia" w:ascii="Times New Roman" w:hAnsi="Times New Roman" w:eastAsia="仿宋_GB2312"/>
          <w:color w:val="000000"/>
          <w:sz w:val="32"/>
          <w:szCs w:val="24"/>
          <w:highlight w:val="none"/>
          <w:u w:val="none" w:color="auto"/>
          <w:lang w:eastAsia="zh-CN"/>
        </w:rPr>
        <w:t>振兴行动</w:t>
      </w:r>
      <w:r>
        <w:rPr>
          <w:rFonts w:hint="eastAsia" w:ascii="Times New Roman" w:hAnsi="Times New Roman" w:eastAsia="仿宋_GB2312"/>
          <w:color w:val="000000"/>
          <w:sz w:val="32"/>
          <w:szCs w:val="24"/>
          <w:highlight w:val="none"/>
          <w:u w:val="none" w:color="auto"/>
        </w:rPr>
        <w:t>，推动各地完成县中标准化建设，因地制宜新建、改扩建一批普通高中校舍，完善教育教学设备设施，全面改善普通高中办学条件，</w:t>
      </w:r>
      <w:r>
        <w:rPr>
          <w:rFonts w:hint="eastAsia" w:ascii="Times New Roman" w:hAnsi="Times New Roman" w:eastAsia="仿宋_GB2312"/>
          <w:color w:val="000000"/>
          <w:sz w:val="32"/>
          <w:szCs w:val="24"/>
          <w:highlight w:val="none"/>
          <w:u w:val="none" w:color="auto"/>
          <w:lang w:eastAsia="zh-CN"/>
        </w:rPr>
        <w:t>推动各地</w:t>
      </w:r>
      <w:r>
        <w:rPr>
          <w:rFonts w:hint="eastAsia" w:ascii="Times New Roman" w:hAnsi="Times New Roman" w:eastAsia="仿宋_GB2312"/>
          <w:color w:val="000000"/>
          <w:sz w:val="32"/>
          <w:szCs w:val="24"/>
          <w:highlight w:val="none"/>
          <w:u w:val="none" w:color="auto"/>
        </w:rPr>
        <w:t>建成一所品牌高中。加强高中招生管理，合理控制校额班额，全面落实普通高中属地招生和公民同招政策，</w:t>
      </w:r>
      <w:r>
        <w:rPr>
          <w:rFonts w:hint="eastAsia" w:ascii="Times New Roman" w:hAnsi="Times New Roman" w:eastAsia="仿宋_GB2312"/>
          <w:color w:val="000000"/>
          <w:sz w:val="32"/>
          <w:szCs w:val="24"/>
          <w:highlight w:val="none"/>
          <w:u w:val="none" w:color="auto"/>
          <w:lang w:eastAsia="zh-CN"/>
        </w:rPr>
        <w:t>稳步扩大普通高中</w:t>
      </w:r>
      <w:r>
        <w:rPr>
          <w:rFonts w:hint="eastAsia" w:ascii="Times New Roman" w:hAnsi="Times New Roman" w:eastAsia="仿宋_GB2312"/>
          <w:color w:val="000000"/>
          <w:sz w:val="32"/>
          <w:szCs w:val="24"/>
          <w:highlight w:val="none"/>
          <w:u w:val="none" w:color="auto"/>
        </w:rPr>
        <w:t>指标到校</w:t>
      </w:r>
      <w:r>
        <w:rPr>
          <w:rFonts w:hint="eastAsia" w:ascii="Times New Roman" w:hAnsi="Times New Roman" w:eastAsia="仿宋_GB2312"/>
          <w:color w:val="000000"/>
          <w:sz w:val="32"/>
          <w:szCs w:val="24"/>
          <w:highlight w:val="none"/>
          <w:u w:val="none" w:color="auto"/>
          <w:lang w:eastAsia="zh-CN"/>
        </w:rPr>
        <w:t>比例</w:t>
      </w:r>
      <w:r>
        <w:rPr>
          <w:rFonts w:hint="eastAsia" w:ascii="Times New Roman" w:hAnsi="Times New Roman" w:eastAsia="仿宋_GB2312"/>
          <w:color w:val="000000"/>
          <w:sz w:val="32"/>
          <w:szCs w:val="24"/>
          <w:highlight w:val="none"/>
          <w:u w:val="none" w:color="auto"/>
        </w:rPr>
        <w:t>。鼓励高中学校结合实际实行多样化特色发展，培育一批</w:t>
      </w:r>
      <w:r>
        <w:rPr>
          <w:rFonts w:hint="eastAsia" w:ascii="Times New Roman" w:hAnsi="Times New Roman" w:eastAsia="仿宋_GB2312"/>
          <w:color w:val="000000"/>
          <w:sz w:val="32"/>
          <w:szCs w:val="24"/>
          <w:highlight w:val="none"/>
          <w:u w:val="none" w:color="auto"/>
          <w:lang w:eastAsia="zh-CN"/>
        </w:rPr>
        <w:t>科学、人文、体育、艺术及综合高中</w:t>
      </w:r>
      <w:r>
        <w:rPr>
          <w:rFonts w:hint="eastAsia" w:ascii="Times New Roman" w:hAnsi="Times New Roman" w:eastAsia="仿宋_GB2312"/>
          <w:color w:val="000000"/>
          <w:sz w:val="32"/>
          <w:szCs w:val="24"/>
          <w:highlight w:val="none"/>
          <w:u w:val="none" w:color="auto"/>
        </w:rPr>
        <w:t>等特色高中，开展普通高中学校办学质量评价试点工作。</w:t>
      </w:r>
      <w:r>
        <w:rPr>
          <w:rFonts w:hint="eastAsia" w:ascii="Times New Roman" w:hAnsi="Times New Roman" w:eastAsia="仿宋_GB2312"/>
          <w:color w:val="000000"/>
          <w:sz w:val="32"/>
          <w:szCs w:val="24"/>
          <w:highlight w:val="none"/>
          <w:u w:val="none" w:color="auto"/>
          <w:lang w:eastAsia="zh-CN"/>
        </w:rPr>
        <w:t>深入实施</w:t>
      </w:r>
      <w:r>
        <w:rPr>
          <w:rFonts w:hint="eastAsia" w:ascii="Times New Roman" w:hAnsi="Times New Roman" w:eastAsia="仿宋_GB2312"/>
          <w:color w:val="000000"/>
          <w:sz w:val="32"/>
          <w:szCs w:val="24"/>
          <w:highlight w:val="none"/>
          <w:u w:val="none" w:color="auto"/>
        </w:rPr>
        <w:t>县中托管</w:t>
      </w:r>
      <w:r>
        <w:rPr>
          <w:rFonts w:hint="eastAsia" w:ascii="Times New Roman" w:hAnsi="Times New Roman" w:eastAsia="仿宋_GB2312"/>
          <w:color w:val="000000"/>
          <w:sz w:val="32"/>
          <w:szCs w:val="24"/>
          <w:highlight w:val="none"/>
          <w:u w:val="none" w:color="auto"/>
          <w:lang w:eastAsia="zh-CN"/>
        </w:rPr>
        <w:t>帮扶</w:t>
      </w:r>
      <w:r>
        <w:rPr>
          <w:rFonts w:hint="eastAsia" w:ascii="Times New Roman" w:hAnsi="Times New Roman" w:eastAsia="仿宋_GB2312"/>
          <w:color w:val="000000"/>
          <w:sz w:val="32"/>
          <w:szCs w:val="24"/>
          <w:highlight w:val="none"/>
          <w:u w:val="none" w:color="auto"/>
        </w:rPr>
        <w:t>，</w:t>
      </w:r>
      <w:r>
        <w:rPr>
          <w:rFonts w:hint="eastAsia" w:ascii="Times New Roman" w:hAnsi="Times New Roman" w:eastAsia="仿宋_GB2312"/>
          <w:color w:val="000000"/>
          <w:sz w:val="32"/>
          <w:szCs w:val="24"/>
          <w:highlight w:val="none"/>
          <w:u w:val="none" w:color="auto"/>
          <w:lang w:eastAsia="zh-CN"/>
        </w:rPr>
        <w:t>实现</w:t>
      </w:r>
      <w:r>
        <w:rPr>
          <w:rFonts w:hint="eastAsia" w:ascii="Times New Roman" w:hAnsi="Times New Roman" w:eastAsia="仿宋_GB2312"/>
          <w:color w:val="000000"/>
          <w:sz w:val="32"/>
          <w:szCs w:val="24"/>
          <w:highlight w:val="none"/>
          <w:u w:val="none" w:color="auto"/>
          <w:lang w:val="en-US" w:eastAsia="zh-CN"/>
        </w:rPr>
        <w:t>3个县（市）公办县中帮扶工作全覆盖，</w:t>
      </w:r>
      <w:r>
        <w:rPr>
          <w:rFonts w:hint="eastAsia" w:ascii="Times New Roman" w:hAnsi="Times New Roman" w:eastAsia="仿宋_GB2312"/>
          <w:color w:val="000000"/>
          <w:sz w:val="32"/>
          <w:szCs w:val="24"/>
          <w:highlight w:val="none"/>
          <w:u w:val="none" w:color="auto"/>
        </w:rPr>
        <w:t>推进优质资源共享。</w:t>
      </w:r>
    </w:p>
    <w:p w14:paraId="1405F08C">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11</w:t>
      </w:r>
      <w:r>
        <w:rPr>
          <w:rFonts w:hint="eastAsia" w:ascii="Times New Roman" w:hAnsi="Times New Roman" w:eastAsia="仿宋_GB2312"/>
          <w:b/>
          <w:bCs/>
          <w:color w:val="000000"/>
          <w:sz w:val="32"/>
          <w:szCs w:val="24"/>
          <w:highlight w:val="none"/>
          <w:u w:val="none" w:color="auto"/>
        </w:rPr>
        <w:t>.深化集团化办学和城乡教育共同体</w:t>
      </w:r>
      <w:r>
        <w:rPr>
          <w:rFonts w:hint="eastAsia" w:ascii="Times New Roman" w:hAnsi="Times New Roman" w:eastAsia="仿宋_GB2312"/>
          <w:b/>
          <w:bCs/>
          <w:color w:val="000000"/>
          <w:sz w:val="32"/>
          <w:szCs w:val="24"/>
          <w:highlight w:val="none"/>
          <w:u w:val="none" w:color="auto"/>
          <w:lang w:eastAsia="zh-CN"/>
        </w:rPr>
        <w:t>办学</w:t>
      </w:r>
      <w:r>
        <w:rPr>
          <w:rFonts w:hint="eastAsia" w:ascii="Times New Roman" w:hAnsi="Times New Roman" w:eastAsia="仿宋_GB2312"/>
          <w:b/>
          <w:bCs/>
          <w:color w:val="000000"/>
          <w:sz w:val="32"/>
          <w:szCs w:val="24"/>
          <w:highlight w:val="none"/>
          <w:u w:val="none" w:color="auto"/>
        </w:rPr>
        <w:t>。</w:t>
      </w:r>
      <w:r>
        <w:rPr>
          <w:rFonts w:hint="eastAsia" w:ascii="Times New Roman" w:hAnsi="Times New Roman" w:eastAsia="仿宋_GB2312"/>
          <w:color w:val="000000"/>
          <w:sz w:val="32"/>
          <w:szCs w:val="24"/>
          <w:highlight w:val="none"/>
          <w:u w:val="none" w:color="auto"/>
        </w:rPr>
        <w:t>以县（市、区）优质义务教育学校、幼儿园为主体组建县域内的教育集团，以优质龙头特色普通高中为核心校组建县域内的教育集团，支持将</w:t>
      </w:r>
      <w:r>
        <w:rPr>
          <w:rFonts w:hint="eastAsia" w:ascii="Times New Roman" w:hAnsi="Times New Roman" w:eastAsia="仿宋_GB2312"/>
          <w:color w:val="000000"/>
          <w:sz w:val="32"/>
          <w:szCs w:val="24"/>
          <w:highlight w:val="none"/>
          <w:u w:val="none" w:color="auto"/>
          <w:lang w:eastAsia="zh-CN"/>
        </w:rPr>
        <w:t>义务教育学校全部</w:t>
      </w:r>
      <w:r>
        <w:rPr>
          <w:rFonts w:hint="eastAsia" w:ascii="Times New Roman" w:hAnsi="Times New Roman" w:eastAsia="仿宋_GB2312"/>
          <w:color w:val="000000"/>
          <w:sz w:val="32"/>
          <w:szCs w:val="24"/>
          <w:highlight w:val="none"/>
          <w:u w:val="none" w:color="auto"/>
        </w:rPr>
        <w:t>纳入教育集团管理，实现区域内优质教育资源共建共享。推进城乡教育共同体创建。组建“1+N”城乡学校教学共同体，提升共同体内成员学校质量。推进学前教育一体化管理资源中心建设</w:t>
      </w:r>
      <w:r>
        <w:rPr>
          <w:rFonts w:hint="eastAsia" w:ascii="Times New Roman" w:hAnsi="Times New Roman" w:eastAsia="仿宋_GB2312"/>
          <w:color w:val="000000"/>
          <w:sz w:val="32"/>
          <w:szCs w:val="24"/>
          <w:highlight w:val="none"/>
          <w:u w:val="none" w:color="auto"/>
          <w:lang w:eastAsia="zh-CN"/>
        </w:rPr>
        <w:t>，</w:t>
      </w:r>
      <w:r>
        <w:rPr>
          <w:rFonts w:hint="eastAsia" w:ascii="Times New Roman" w:hAnsi="Times New Roman" w:eastAsia="仿宋_GB2312"/>
          <w:color w:val="000000"/>
          <w:sz w:val="32"/>
          <w:szCs w:val="24"/>
          <w:highlight w:val="none"/>
          <w:u w:val="none" w:color="auto"/>
        </w:rPr>
        <w:t>实施镇、村幼儿园一体化管理，优化区域学前教育资源配置，提升乡村学前教育质量。</w:t>
      </w:r>
    </w:p>
    <w:p w14:paraId="5F3CC285">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12</w:t>
      </w:r>
      <w:r>
        <w:rPr>
          <w:rFonts w:hint="eastAsia" w:ascii="Times New Roman" w:hAnsi="Times New Roman" w:eastAsia="仿宋_GB2312"/>
          <w:b/>
          <w:bCs/>
          <w:color w:val="000000"/>
          <w:sz w:val="32"/>
          <w:szCs w:val="24"/>
          <w:highlight w:val="none"/>
          <w:u w:val="none" w:color="auto"/>
        </w:rPr>
        <w:t>.推进特殊群体教育关爱工程。</w:t>
      </w:r>
      <w:r>
        <w:rPr>
          <w:rFonts w:hint="eastAsia" w:ascii="Times New Roman" w:hAnsi="Times New Roman" w:eastAsia="仿宋_GB2312"/>
          <w:color w:val="000000"/>
          <w:sz w:val="32"/>
          <w:szCs w:val="24"/>
          <w:highlight w:val="none"/>
          <w:u w:val="none" w:color="auto"/>
        </w:rPr>
        <w:t>健全特殊儿童教育关爱机制，完善留守儿童关爱教育服务体系，保障残疾儿童受教育权利，实现各县（市、区）建有1所以上标准化特殊教育学校，推动随班就读和送教上门特殊学生人数较多的乡镇（街道）设立特教班</w:t>
      </w:r>
      <w:r>
        <w:rPr>
          <w:rFonts w:hint="eastAsia" w:ascii="Times New Roman" w:hAnsi="Times New Roman" w:eastAsia="仿宋_GB2312"/>
          <w:color w:val="000000"/>
          <w:sz w:val="32"/>
          <w:szCs w:val="24"/>
          <w:highlight w:val="none"/>
          <w:u w:val="none" w:color="auto"/>
          <w:lang w:eastAsia="zh-CN"/>
        </w:rPr>
        <w:t>。</w:t>
      </w:r>
      <w:r>
        <w:rPr>
          <w:rFonts w:hint="eastAsia" w:ascii="Times New Roman" w:hAnsi="Times New Roman" w:eastAsia="仿宋_GB2312"/>
          <w:color w:val="000000"/>
          <w:sz w:val="32"/>
          <w:szCs w:val="24"/>
          <w:highlight w:val="none"/>
          <w:u w:val="none" w:color="auto"/>
        </w:rPr>
        <w:t>完善学生资助政策，确保孤儿、事实无人抚养儿童以及家庭经济困难家庭学生资助全覆盖。健全控辍保学常态监测机制，一人一案跟进即时劝返措施。持续推进乡村温馨校园建设，加强乡村学校少年宫平台建设。</w:t>
      </w:r>
    </w:p>
    <w:p w14:paraId="095E304C">
      <w:pPr>
        <w:pStyle w:val="8"/>
        <w:keepNext w:val="0"/>
        <w:keepLines w:val="0"/>
        <w:pageBreakBefore w:val="0"/>
        <w:widowControl w:val="0"/>
        <w:kinsoku/>
        <w:wordWrap/>
        <w:overflowPunct/>
        <w:topLinePunct w:val="0"/>
        <w:autoSpaceDE/>
        <w:autoSpaceDN/>
        <w:bidi w:val="0"/>
        <w:snapToGrid/>
        <w:spacing w:line="240" w:lineRule="auto"/>
        <w:ind w:firstLine="640" w:firstLineChars="200"/>
        <w:textAlignment w:val="auto"/>
        <w:rPr>
          <w:rFonts w:hint="eastAsia" w:ascii="楷体_GB2312" w:hAnsi="楷体_GB2312" w:eastAsia="楷体_GB2312" w:cs="楷体_GB2312"/>
          <w:color w:val="000000"/>
          <w:sz w:val="32"/>
          <w:szCs w:val="24"/>
          <w:highlight w:val="none"/>
          <w:u w:val="none" w:color="auto"/>
          <w:lang w:eastAsia="zh-CN"/>
        </w:rPr>
      </w:pPr>
      <w:r>
        <w:rPr>
          <w:rFonts w:hint="eastAsia" w:ascii="楷体_GB2312" w:hAnsi="楷体_GB2312" w:eastAsia="楷体_GB2312" w:cs="楷体_GB2312"/>
          <w:color w:val="000000"/>
          <w:sz w:val="32"/>
          <w:szCs w:val="24"/>
          <w:highlight w:val="none"/>
          <w:u w:val="none" w:color="auto"/>
          <w:lang w:eastAsia="zh-CN"/>
        </w:rPr>
        <w:t>（三）聚焦产教融合，增强职业教育适应性。</w:t>
      </w:r>
    </w:p>
    <w:p w14:paraId="5F4C8EB6">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rPr>
        <w:t>1</w:t>
      </w:r>
      <w:r>
        <w:rPr>
          <w:rFonts w:hint="eastAsia" w:ascii="Times New Roman" w:hAnsi="Times New Roman" w:eastAsia="仿宋_GB2312"/>
          <w:b/>
          <w:bCs/>
          <w:color w:val="000000"/>
          <w:sz w:val="32"/>
          <w:szCs w:val="24"/>
          <w:highlight w:val="none"/>
          <w:u w:val="none" w:color="auto"/>
          <w:lang w:val="en-US" w:eastAsia="zh-CN"/>
        </w:rPr>
        <w:t>3</w:t>
      </w:r>
      <w:r>
        <w:rPr>
          <w:rFonts w:hint="eastAsia" w:ascii="Times New Roman" w:hAnsi="Times New Roman" w:eastAsia="仿宋_GB2312"/>
          <w:b/>
          <w:bCs/>
          <w:color w:val="000000"/>
          <w:sz w:val="32"/>
          <w:szCs w:val="24"/>
          <w:highlight w:val="none"/>
          <w:u w:val="none" w:color="auto"/>
        </w:rPr>
        <w:t>.</w:t>
      </w:r>
      <w:r>
        <w:rPr>
          <w:rFonts w:hint="eastAsia" w:ascii="Times New Roman" w:hAnsi="Times New Roman" w:eastAsia="仿宋_GB2312"/>
          <w:b/>
          <w:bCs/>
          <w:color w:val="000000"/>
          <w:sz w:val="32"/>
          <w:szCs w:val="24"/>
          <w:highlight w:val="none"/>
          <w:u w:val="none" w:color="auto"/>
          <w:lang w:eastAsia="zh-CN"/>
        </w:rPr>
        <w:t>优化</w:t>
      </w:r>
      <w:r>
        <w:rPr>
          <w:rFonts w:hint="eastAsia" w:ascii="Times New Roman" w:hAnsi="Times New Roman" w:eastAsia="仿宋_GB2312"/>
          <w:b/>
          <w:bCs/>
          <w:color w:val="000000"/>
          <w:sz w:val="32"/>
          <w:szCs w:val="24"/>
          <w:highlight w:val="none"/>
          <w:u w:val="none" w:color="auto"/>
        </w:rPr>
        <w:t>职业教育</w:t>
      </w:r>
      <w:r>
        <w:rPr>
          <w:rFonts w:hint="eastAsia" w:ascii="Times New Roman" w:hAnsi="Times New Roman" w:eastAsia="仿宋_GB2312"/>
          <w:b/>
          <w:bCs/>
          <w:color w:val="000000"/>
          <w:sz w:val="32"/>
          <w:szCs w:val="24"/>
          <w:highlight w:val="none"/>
          <w:u w:val="none" w:color="auto"/>
          <w:lang w:eastAsia="zh-CN"/>
        </w:rPr>
        <w:t>发展格局</w:t>
      </w:r>
      <w:r>
        <w:rPr>
          <w:rFonts w:hint="eastAsia" w:ascii="Times New Roman" w:hAnsi="Times New Roman" w:eastAsia="仿宋_GB2312"/>
          <w:b/>
          <w:bCs/>
          <w:color w:val="000000"/>
          <w:sz w:val="32"/>
          <w:szCs w:val="24"/>
          <w:highlight w:val="none"/>
          <w:u w:val="none" w:color="auto"/>
        </w:rPr>
        <w:t>。</w:t>
      </w:r>
      <w:r>
        <w:rPr>
          <w:rFonts w:hint="eastAsia" w:ascii="Times New Roman" w:hAnsi="Times New Roman" w:eastAsia="仿宋_GB2312"/>
          <w:color w:val="000000"/>
          <w:sz w:val="32"/>
          <w:szCs w:val="24"/>
          <w:highlight w:val="none"/>
          <w:u w:val="none" w:color="auto"/>
        </w:rPr>
        <w:t>加快推进职业院校办学条件达标工程，建设一批高水平的中等职业学校</w:t>
      </w:r>
      <w:r>
        <w:rPr>
          <w:rFonts w:hint="eastAsia" w:ascii="Times New Roman" w:hAnsi="Times New Roman" w:eastAsia="仿宋_GB2312"/>
          <w:color w:val="000000"/>
          <w:sz w:val="32"/>
          <w:szCs w:val="24"/>
          <w:highlight w:val="none"/>
          <w:u w:val="none" w:color="auto"/>
          <w:lang w:eastAsia="zh-CN"/>
        </w:rPr>
        <w:t>，推动罗定市、新兴县、郁南县集中力量办好</w:t>
      </w:r>
      <w:r>
        <w:rPr>
          <w:rFonts w:hint="eastAsia" w:ascii="Times New Roman" w:hAnsi="Times New Roman" w:eastAsia="仿宋_GB2312"/>
          <w:color w:val="000000"/>
          <w:sz w:val="32"/>
          <w:szCs w:val="24"/>
          <w:highlight w:val="none"/>
          <w:u w:val="none" w:color="auto"/>
          <w:lang w:val="en-US" w:eastAsia="zh-CN"/>
        </w:rPr>
        <w:t>1所职业教育学校。</w:t>
      </w:r>
      <w:r>
        <w:rPr>
          <w:rFonts w:hint="eastAsia" w:ascii="Times New Roman" w:hAnsi="Times New Roman" w:eastAsia="仿宋_GB2312"/>
          <w:color w:val="000000"/>
          <w:sz w:val="32"/>
          <w:szCs w:val="24"/>
          <w:highlight w:val="none"/>
          <w:u w:val="none" w:color="auto"/>
        </w:rPr>
        <w:t>支持罗定职业技术学院升格为本科层次院校。统筹规划全市职业院校专业结构、专业布局，构建动态适配的专业体系，立足云浮传统产业智能化转型与新兴产业崛起的双重机遇，建立“产业需求—专业调整—人才输出”的联动机制，覆盖从研发到运维的全产业链需求</w:t>
      </w:r>
      <w:r>
        <w:rPr>
          <w:rFonts w:hint="eastAsia" w:ascii="Times New Roman" w:hAnsi="Times New Roman" w:eastAsia="仿宋_GB2312"/>
          <w:color w:val="000000"/>
          <w:sz w:val="32"/>
          <w:szCs w:val="24"/>
          <w:highlight w:val="none"/>
          <w:u w:val="none" w:color="auto"/>
          <w:lang w:eastAsia="zh-CN"/>
        </w:rPr>
        <w:t>。</w:t>
      </w:r>
      <w:r>
        <w:rPr>
          <w:rFonts w:hint="eastAsia" w:ascii="Times New Roman" w:hAnsi="Times New Roman" w:eastAsia="仿宋_GB2312"/>
          <w:color w:val="000000"/>
          <w:sz w:val="32"/>
          <w:szCs w:val="24"/>
          <w:highlight w:val="none"/>
          <w:u w:val="none" w:color="auto"/>
        </w:rPr>
        <w:t>支持中高职院校立项建设一批高水平专业群，支持中职“双精准”示范专业建设，打造云浮职教专业品牌。</w:t>
      </w:r>
    </w:p>
    <w:p w14:paraId="1130DE33">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14</w:t>
      </w:r>
      <w:r>
        <w:rPr>
          <w:rFonts w:hint="eastAsia" w:ascii="Times New Roman" w:hAnsi="Times New Roman" w:eastAsia="仿宋_GB2312"/>
          <w:b/>
          <w:bCs/>
          <w:color w:val="000000"/>
          <w:sz w:val="32"/>
          <w:szCs w:val="24"/>
          <w:highlight w:val="none"/>
          <w:u w:val="none" w:color="auto"/>
        </w:rPr>
        <w:t>.</w:t>
      </w:r>
      <w:r>
        <w:rPr>
          <w:rFonts w:hint="eastAsia" w:ascii="Times New Roman" w:hAnsi="Times New Roman" w:eastAsia="仿宋_GB2312"/>
          <w:b/>
          <w:bCs/>
          <w:color w:val="000000"/>
          <w:sz w:val="32"/>
          <w:szCs w:val="24"/>
          <w:highlight w:val="none"/>
          <w:u w:val="none" w:color="auto"/>
          <w:lang w:eastAsia="zh-CN"/>
        </w:rPr>
        <w:t>持续深化</w:t>
      </w:r>
      <w:r>
        <w:rPr>
          <w:rFonts w:hint="eastAsia" w:ascii="Times New Roman" w:hAnsi="Times New Roman" w:eastAsia="仿宋_GB2312"/>
          <w:b/>
          <w:bCs/>
          <w:color w:val="000000"/>
          <w:sz w:val="32"/>
          <w:szCs w:val="24"/>
          <w:highlight w:val="none"/>
          <w:u w:val="none" w:color="auto"/>
        </w:rPr>
        <w:t>产教融合。</w:t>
      </w:r>
      <w:r>
        <w:rPr>
          <w:rFonts w:hint="eastAsia" w:ascii="Times New Roman" w:hAnsi="Times New Roman" w:eastAsia="仿宋_GB2312"/>
          <w:color w:val="000000"/>
          <w:sz w:val="32"/>
          <w:szCs w:val="24"/>
          <w:highlight w:val="none"/>
          <w:u w:val="none" w:color="auto"/>
        </w:rPr>
        <w:t>推动校企从浅层合作向深度融合跨越，探索“引校入企”“引企驻校”模式，健全学校行业指导、企业参与的协同育人机制。支持市内龙头企业与职业院校共建产业学院、企业学院，推行“人才共育、课程共研、基地共建、技术共推”模式</w:t>
      </w:r>
      <w:r>
        <w:rPr>
          <w:rFonts w:hint="eastAsia" w:ascii="Times New Roman" w:hAnsi="Times New Roman" w:eastAsia="仿宋_GB2312"/>
          <w:color w:val="000000"/>
          <w:sz w:val="32"/>
          <w:szCs w:val="24"/>
          <w:highlight w:val="none"/>
          <w:u w:val="none" w:color="auto"/>
          <w:lang w:eastAsia="zh-CN"/>
        </w:rPr>
        <w:t>，大力培养高素质技术技能人才</w:t>
      </w:r>
      <w:r>
        <w:rPr>
          <w:rFonts w:hint="eastAsia" w:ascii="Times New Roman" w:hAnsi="Times New Roman" w:eastAsia="仿宋_GB2312"/>
          <w:color w:val="000000"/>
          <w:sz w:val="32"/>
          <w:szCs w:val="24"/>
          <w:highlight w:val="none"/>
          <w:u w:val="none" w:color="auto"/>
        </w:rPr>
        <w:t>。建设一批国家级、省级高水平实训基地，支持广东云浮中医药职业学院建设“南药炮制实训基地”。​</w:t>
      </w:r>
    </w:p>
    <w:p w14:paraId="1F198158">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15</w:t>
      </w:r>
      <w:r>
        <w:rPr>
          <w:rFonts w:hint="eastAsia" w:ascii="Times New Roman" w:hAnsi="Times New Roman" w:eastAsia="仿宋_GB2312"/>
          <w:b/>
          <w:bCs/>
          <w:color w:val="000000"/>
          <w:sz w:val="32"/>
          <w:szCs w:val="24"/>
          <w:highlight w:val="none"/>
          <w:u w:val="none" w:color="auto"/>
        </w:rPr>
        <w:t>.</w:t>
      </w:r>
      <w:r>
        <w:rPr>
          <w:rFonts w:hint="eastAsia" w:ascii="Times New Roman" w:hAnsi="Times New Roman" w:eastAsia="仿宋_GB2312"/>
          <w:b/>
          <w:bCs/>
          <w:color w:val="000000"/>
          <w:sz w:val="32"/>
          <w:szCs w:val="24"/>
          <w:highlight w:val="none"/>
          <w:u w:val="none" w:color="auto"/>
          <w:lang w:eastAsia="zh-CN"/>
        </w:rPr>
        <w:t>培育更多高技能</w:t>
      </w:r>
      <w:r>
        <w:rPr>
          <w:rFonts w:hint="eastAsia" w:ascii="Times New Roman" w:hAnsi="Times New Roman" w:eastAsia="仿宋_GB2312"/>
          <w:b/>
          <w:bCs/>
          <w:color w:val="000000"/>
          <w:sz w:val="32"/>
          <w:szCs w:val="24"/>
          <w:highlight w:val="none"/>
          <w:u w:val="none" w:color="auto"/>
        </w:rPr>
        <w:t>人才。</w:t>
      </w:r>
      <w:r>
        <w:rPr>
          <w:rFonts w:hint="eastAsia" w:ascii="Times New Roman" w:hAnsi="Times New Roman" w:eastAsia="仿宋_GB2312"/>
          <w:color w:val="000000"/>
          <w:sz w:val="32"/>
          <w:szCs w:val="24"/>
          <w:highlight w:val="none"/>
          <w:u w:val="none" w:color="auto"/>
          <w:lang w:val="en-US" w:eastAsia="zh-CN"/>
        </w:rPr>
        <w:t>拓宽职业教育人才成长路径，</w:t>
      </w:r>
      <w:r>
        <w:rPr>
          <w:rFonts w:hint="eastAsia" w:ascii="Times New Roman" w:hAnsi="Times New Roman" w:eastAsia="仿宋_GB2312"/>
          <w:color w:val="000000"/>
          <w:sz w:val="32"/>
          <w:szCs w:val="24"/>
          <w:highlight w:val="none"/>
          <w:u w:val="none" w:color="auto"/>
          <w:lang w:eastAsia="zh-CN"/>
        </w:rPr>
        <w:t>扩大我市中高职学校三二分段试点规模</w:t>
      </w:r>
      <w:r>
        <w:rPr>
          <w:rFonts w:hint="eastAsia" w:ascii="Times New Roman" w:hAnsi="Times New Roman" w:eastAsia="仿宋_GB2312"/>
          <w:color w:val="000000"/>
          <w:sz w:val="32"/>
          <w:szCs w:val="24"/>
          <w:highlight w:val="none"/>
          <w:u w:val="none" w:color="auto"/>
          <w:lang w:val="en-US" w:eastAsia="zh-CN"/>
        </w:rPr>
        <w:t>。推动我市至少2所中职学校与省内本科院校开展“3+4”中本合作试点工作。</w:t>
      </w:r>
      <w:r>
        <w:rPr>
          <w:rFonts w:hint="eastAsia" w:ascii="Times New Roman" w:hAnsi="Times New Roman" w:eastAsia="仿宋_GB2312"/>
          <w:color w:val="000000"/>
          <w:sz w:val="32"/>
          <w:szCs w:val="24"/>
          <w:highlight w:val="none"/>
          <w:u w:val="none" w:color="auto"/>
        </w:rPr>
        <w:t>实施“双师型”教师培育工程，通过“引、培、聘”三措并举提升师资实践能力。支持职业院校引进企业工程师、高级技师任教，建立教师企业实践制度。提高学校教学质</w:t>
      </w:r>
      <w:r>
        <w:rPr>
          <w:rFonts w:hint="eastAsia" w:ascii="Times New Roman" w:hAnsi="Times New Roman" w:eastAsia="仿宋_GB2312"/>
          <w:color w:val="000000"/>
          <w:sz w:val="32"/>
          <w:szCs w:val="24"/>
          <w:highlight w:val="none"/>
          <w:u w:val="none" w:color="auto"/>
          <w:lang w:eastAsia="zh-CN"/>
        </w:rPr>
        <w:t>量和</w:t>
      </w:r>
      <w:r>
        <w:rPr>
          <w:rFonts w:hint="eastAsia" w:ascii="Times New Roman" w:hAnsi="Times New Roman" w:eastAsia="仿宋_GB2312"/>
          <w:color w:val="000000"/>
          <w:sz w:val="32"/>
          <w:szCs w:val="24"/>
          <w:highlight w:val="none"/>
          <w:u w:val="none" w:color="auto"/>
        </w:rPr>
        <w:t>水平。培养学生的职业道德、职业素养、职业行为习惯，增强学生就业创业能力。办好师生技能大赛，全面提升职业教育服务经济社会发展的能力。​</w:t>
      </w:r>
    </w:p>
    <w:p w14:paraId="48067D38">
      <w:pPr>
        <w:pStyle w:val="8"/>
        <w:keepNext w:val="0"/>
        <w:keepLines w:val="0"/>
        <w:pageBreakBefore w:val="0"/>
        <w:widowControl w:val="0"/>
        <w:kinsoku/>
        <w:wordWrap/>
        <w:overflowPunct/>
        <w:topLinePunct w:val="0"/>
        <w:autoSpaceDE/>
        <w:autoSpaceDN/>
        <w:bidi w:val="0"/>
        <w:snapToGrid/>
        <w:spacing w:line="240" w:lineRule="auto"/>
        <w:ind w:firstLine="640" w:firstLineChars="200"/>
        <w:textAlignment w:val="auto"/>
        <w:rPr>
          <w:rFonts w:hint="eastAsia" w:ascii="楷体_GB2312" w:hAnsi="楷体_GB2312" w:eastAsia="楷体_GB2312" w:cs="楷体_GB2312"/>
          <w:color w:val="000000"/>
          <w:sz w:val="32"/>
          <w:szCs w:val="24"/>
          <w:highlight w:val="none"/>
          <w:u w:val="none" w:color="auto"/>
          <w:lang w:eastAsia="zh-CN"/>
        </w:rPr>
      </w:pPr>
      <w:r>
        <w:rPr>
          <w:rFonts w:hint="eastAsia" w:ascii="楷体_GB2312" w:hAnsi="楷体_GB2312" w:eastAsia="楷体_GB2312" w:cs="楷体_GB2312"/>
          <w:color w:val="000000"/>
          <w:sz w:val="32"/>
          <w:szCs w:val="24"/>
          <w:highlight w:val="none"/>
          <w:u w:val="none" w:color="auto"/>
          <w:lang w:eastAsia="zh-CN"/>
        </w:rPr>
        <w:t>（</w:t>
      </w:r>
      <w:r>
        <w:rPr>
          <w:rFonts w:hint="eastAsia" w:ascii="楷体_GB2312" w:hAnsi="楷体_GB2312" w:eastAsia="楷体_GB2312" w:cs="楷体_GB2312"/>
          <w:color w:val="000000"/>
          <w:sz w:val="32"/>
          <w:szCs w:val="24"/>
          <w:highlight w:val="none"/>
          <w:u w:val="none" w:color="auto"/>
        </w:rPr>
        <w:t>四</w:t>
      </w:r>
      <w:r>
        <w:rPr>
          <w:rFonts w:hint="eastAsia" w:ascii="楷体_GB2312" w:hAnsi="楷体_GB2312" w:eastAsia="楷体_GB2312" w:cs="楷体_GB2312"/>
          <w:color w:val="000000"/>
          <w:sz w:val="32"/>
          <w:szCs w:val="24"/>
          <w:highlight w:val="none"/>
          <w:u w:val="none" w:color="auto"/>
          <w:lang w:eastAsia="zh-CN"/>
        </w:rPr>
        <w:t>）</w:t>
      </w:r>
      <w:r>
        <w:rPr>
          <w:rFonts w:hint="eastAsia" w:ascii="楷体_GB2312" w:hAnsi="楷体_GB2312" w:eastAsia="楷体_GB2312" w:cs="楷体_GB2312"/>
          <w:color w:val="000000"/>
          <w:sz w:val="32"/>
          <w:szCs w:val="24"/>
          <w:highlight w:val="none"/>
          <w:u w:val="none" w:color="auto"/>
        </w:rPr>
        <w:t>完善发展体系，打造专业化教师队伍</w:t>
      </w:r>
      <w:r>
        <w:rPr>
          <w:rFonts w:hint="eastAsia" w:ascii="楷体_GB2312" w:hAnsi="楷体_GB2312" w:eastAsia="楷体_GB2312" w:cs="楷体_GB2312"/>
          <w:color w:val="000000"/>
          <w:sz w:val="32"/>
          <w:szCs w:val="24"/>
          <w:highlight w:val="none"/>
          <w:u w:val="none" w:color="auto"/>
          <w:lang w:eastAsia="zh-CN"/>
        </w:rPr>
        <w:t>。</w:t>
      </w:r>
    </w:p>
    <w:p w14:paraId="348FBCAB">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16</w:t>
      </w:r>
      <w:r>
        <w:rPr>
          <w:rFonts w:hint="eastAsia" w:ascii="Times New Roman" w:hAnsi="Times New Roman" w:eastAsia="仿宋_GB2312"/>
          <w:b/>
          <w:bCs/>
          <w:color w:val="000000"/>
          <w:sz w:val="32"/>
          <w:szCs w:val="24"/>
          <w:highlight w:val="none"/>
          <w:u w:val="none" w:color="auto"/>
        </w:rPr>
        <w:t>.加强和改进师德师风建设。</w:t>
      </w:r>
      <w:r>
        <w:rPr>
          <w:rFonts w:hint="eastAsia" w:ascii="Times New Roman" w:hAnsi="Times New Roman" w:eastAsia="仿宋_GB2312"/>
          <w:color w:val="000000"/>
          <w:sz w:val="32"/>
          <w:szCs w:val="24"/>
          <w:highlight w:val="none"/>
          <w:u w:val="none" w:color="auto"/>
        </w:rPr>
        <w:t>坚持把思想政治和师德师风建设摆在教师队伍建设的首位，完善师德师风考核评价机制，构建社会、家庭、学校“三位一体”的评价体系，坚持对师德违规行为“零容忍”。严把教师选拔聘用入口关，落实思想政治素质和业务能力双重考察。落实《广东省中小学幼儿园教师职业行为规范细则》引导教师遵守法律法规、忠诚教育事业，守好讲台主阵地，不断提升教师职业道德素养。</w:t>
      </w:r>
    </w:p>
    <w:p w14:paraId="0AEE5131">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17</w:t>
      </w:r>
      <w:r>
        <w:rPr>
          <w:rFonts w:hint="eastAsia" w:ascii="Times New Roman" w:hAnsi="Times New Roman" w:eastAsia="仿宋_GB2312"/>
          <w:b/>
          <w:bCs/>
          <w:color w:val="000000"/>
          <w:sz w:val="32"/>
          <w:szCs w:val="24"/>
          <w:highlight w:val="none"/>
          <w:u w:val="none" w:color="auto"/>
        </w:rPr>
        <w:t>.提升教育人才队伍素质。</w:t>
      </w:r>
      <w:r>
        <w:rPr>
          <w:rFonts w:hint="eastAsia" w:ascii="Times New Roman" w:hAnsi="Times New Roman" w:eastAsia="仿宋_GB2312"/>
          <w:color w:val="000000"/>
          <w:sz w:val="32"/>
          <w:szCs w:val="24"/>
          <w:highlight w:val="none"/>
          <w:u w:val="none" w:color="auto"/>
        </w:rPr>
        <w:t>深入实施教育人才项目，引进</w:t>
      </w:r>
      <w:r>
        <w:rPr>
          <w:rFonts w:hint="eastAsia" w:ascii="Times New Roman" w:hAnsi="Times New Roman" w:eastAsia="仿宋_GB2312"/>
          <w:color w:val="000000"/>
          <w:sz w:val="32"/>
          <w:szCs w:val="24"/>
          <w:highlight w:val="none"/>
          <w:u w:val="none" w:color="auto"/>
          <w:lang w:eastAsia="zh-CN"/>
        </w:rPr>
        <w:t>和</w:t>
      </w:r>
      <w:r>
        <w:rPr>
          <w:rFonts w:hint="eastAsia" w:ascii="Times New Roman" w:hAnsi="Times New Roman" w:eastAsia="仿宋_GB2312"/>
          <w:color w:val="000000"/>
          <w:sz w:val="32"/>
          <w:szCs w:val="24"/>
          <w:highlight w:val="none"/>
          <w:u w:val="none" w:color="auto"/>
        </w:rPr>
        <w:t>培育</w:t>
      </w:r>
      <w:r>
        <w:rPr>
          <w:rFonts w:hint="eastAsia" w:ascii="Times New Roman" w:hAnsi="Times New Roman" w:eastAsia="仿宋_GB2312"/>
          <w:color w:val="000000"/>
          <w:sz w:val="32"/>
          <w:szCs w:val="24"/>
          <w:highlight w:val="none"/>
          <w:u w:val="none" w:color="auto"/>
          <w:lang w:eastAsia="zh-CN"/>
        </w:rPr>
        <w:t>一批省级以上名书记、</w:t>
      </w:r>
      <w:r>
        <w:rPr>
          <w:rFonts w:hint="eastAsia" w:ascii="Times New Roman" w:hAnsi="Times New Roman" w:eastAsia="仿宋_GB2312"/>
          <w:color w:val="000000"/>
          <w:sz w:val="32"/>
          <w:szCs w:val="24"/>
          <w:highlight w:val="none"/>
          <w:u w:val="none" w:color="auto"/>
        </w:rPr>
        <w:t>名校</w:t>
      </w:r>
      <w:r>
        <w:rPr>
          <w:rFonts w:hint="eastAsia" w:ascii="Times New Roman" w:hAnsi="Times New Roman" w:eastAsia="仿宋_GB2312"/>
          <w:color w:val="000000"/>
          <w:sz w:val="32"/>
          <w:szCs w:val="24"/>
          <w:highlight w:val="none"/>
          <w:u w:val="none" w:color="auto"/>
          <w:lang w:eastAsia="zh-CN"/>
        </w:rPr>
        <w:t>（园）</w:t>
      </w:r>
      <w:r>
        <w:rPr>
          <w:rFonts w:hint="eastAsia" w:ascii="Times New Roman" w:hAnsi="Times New Roman" w:eastAsia="仿宋_GB2312"/>
          <w:color w:val="000000"/>
          <w:sz w:val="32"/>
          <w:szCs w:val="24"/>
          <w:highlight w:val="none"/>
          <w:u w:val="none" w:color="auto"/>
        </w:rPr>
        <w:t>长、名教师、名班主任。落实“双培养”机制。持续推进在优秀青年教师、海外留学归国教师和师范生中发展党员。加大基础教育领域领军人才、名优教师工作室建设，加强市级名书记、名校（园）长、名教师、名班主任人才培育。实施青年教师“种子计划”，办好教师教学能力大赛，培养一批中小学教育教学能手。</w:t>
      </w:r>
    </w:p>
    <w:p w14:paraId="7E72EAFB">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18</w:t>
      </w:r>
      <w:r>
        <w:rPr>
          <w:rFonts w:hint="eastAsia" w:ascii="Times New Roman" w:hAnsi="Times New Roman" w:eastAsia="仿宋_GB2312"/>
          <w:b/>
          <w:bCs/>
          <w:color w:val="000000"/>
          <w:sz w:val="32"/>
          <w:szCs w:val="24"/>
          <w:highlight w:val="none"/>
          <w:u w:val="none" w:color="auto"/>
        </w:rPr>
        <w:t>.深化教师管理体制机制改革。</w:t>
      </w:r>
      <w:r>
        <w:rPr>
          <w:rFonts w:hint="eastAsia" w:ascii="Times New Roman" w:hAnsi="Times New Roman" w:eastAsia="仿宋_GB2312"/>
          <w:color w:val="000000"/>
          <w:sz w:val="32"/>
          <w:szCs w:val="24"/>
          <w:highlight w:val="none"/>
          <w:u w:val="none" w:color="auto"/>
        </w:rPr>
        <w:t>继续推进“县管校聘”管理改革各项工作。加大编制岗位统筹力度，完善教师竞聘上岗机制和校长教师交流轮岗机制，促进县域内教师有序流动。推进落实教师专业技术岗位等级聘用制，全面落实教师工资待遇。深化职称评审制度改革，进一步规范我市中小学教师职称竞聘推荐工作，完善和加强高级教师聘后管理，不断完善教师激励、约束、退出机制。</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0"/>
      </w:tblGrid>
      <w:tr w14:paraId="5900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8730" w:type="dxa"/>
            <w:noWrap w:val="0"/>
            <w:vAlign w:val="center"/>
          </w:tcPr>
          <w:p w14:paraId="15B35FCF">
            <w:pPr>
              <w:pageBreakBefore w:val="0"/>
              <w:widowControl/>
              <w:kinsoku/>
              <w:wordWrap/>
              <w:overflowPunct/>
              <w:autoSpaceDN/>
              <w:bidi w:val="0"/>
              <w:spacing w:line="460" w:lineRule="exact"/>
              <w:ind w:firstLine="0" w:firstLineChars="0"/>
              <w:jc w:val="center"/>
              <w:textAlignment w:val="auto"/>
              <w:rPr>
                <w:rFonts w:hint="eastAsia" w:ascii="仿宋_GB2312" w:hAnsi="仿宋_GB2312" w:eastAsia="仿宋_GB2312" w:cs="仿宋_GB2312"/>
                <w:color w:val="000000"/>
                <w:sz w:val="28"/>
                <w:szCs w:val="28"/>
                <w:highlight w:val="none"/>
                <w:u w:val="none"/>
                <w:lang w:eastAsia="zh-CN" w:bidi="ar"/>
              </w:rPr>
            </w:pPr>
            <w:r>
              <w:rPr>
                <w:rFonts w:hint="eastAsia" w:ascii="仿宋_GB2312" w:hAnsi="仿宋_GB2312" w:eastAsia="仿宋_GB2312" w:cs="仿宋_GB2312"/>
                <w:b/>
                <w:bCs/>
                <w:color w:val="000000"/>
                <w:sz w:val="28"/>
                <w:szCs w:val="28"/>
                <w:highlight w:val="none"/>
                <w:u w:val="none"/>
                <w:lang w:val="en-US" w:eastAsia="zh-CN" w:bidi="ar"/>
              </w:rPr>
              <w:t>专栏3：新时代基础教育强师工程</w:t>
            </w:r>
          </w:p>
        </w:tc>
      </w:tr>
      <w:tr w14:paraId="60E5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30" w:type="dxa"/>
            <w:noWrap w:val="0"/>
            <w:vAlign w:val="center"/>
          </w:tcPr>
          <w:p w14:paraId="2590F151">
            <w:pPr>
              <w:pageBreakBefore w:val="0"/>
              <w:widowControl/>
              <w:kinsoku/>
              <w:wordWrap/>
              <w:overflowPunct/>
              <w:autoSpaceDN/>
              <w:bidi w:val="0"/>
              <w:spacing w:line="100" w:lineRule="exact"/>
              <w:ind w:firstLine="560" w:firstLineChars="200"/>
              <w:textAlignment w:val="auto"/>
              <w:rPr>
                <w:rFonts w:hint="eastAsia" w:ascii="仿宋_GB2312" w:hAnsi="仿宋_GB2312" w:eastAsia="仿宋_GB2312" w:cs="仿宋_GB2312"/>
                <w:color w:val="000000"/>
                <w:sz w:val="28"/>
                <w:szCs w:val="28"/>
                <w:highlight w:val="none"/>
                <w:u w:val="none"/>
                <w:lang w:val="en-US" w:eastAsia="zh-CN" w:bidi="ar"/>
              </w:rPr>
            </w:pPr>
          </w:p>
          <w:p w14:paraId="740B6B85">
            <w:pPr>
              <w:pageBreakBefore w:val="0"/>
              <w:widowControl/>
              <w:kinsoku/>
              <w:wordWrap/>
              <w:overflowPunct/>
              <w:autoSpaceDN/>
              <w:bidi w:val="0"/>
              <w:spacing w:line="440" w:lineRule="exact"/>
              <w:ind w:firstLine="560" w:firstLineChars="200"/>
              <w:textAlignment w:val="auto"/>
              <w:rPr>
                <w:rFonts w:hint="eastAsia" w:ascii="仿宋_GB2312" w:hAnsi="仿宋_GB2312" w:eastAsia="仿宋_GB2312" w:cs="仿宋_GB2312"/>
                <w:color w:val="000000"/>
                <w:sz w:val="28"/>
                <w:szCs w:val="28"/>
                <w:highlight w:val="none"/>
                <w:u w:val="none"/>
                <w:lang w:eastAsia="zh-CN" w:bidi="ar"/>
              </w:rPr>
            </w:pPr>
            <w:r>
              <w:rPr>
                <w:rFonts w:hint="eastAsia" w:ascii="仿宋_GB2312" w:hAnsi="仿宋_GB2312" w:eastAsia="仿宋_GB2312" w:cs="仿宋_GB2312"/>
                <w:color w:val="000000"/>
                <w:sz w:val="28"/>
                <w:szCs w:val="28"/>
                <w:highlight w:val="none"/>
                <w:u w:val="none"/>
                <w:lang w:val="en-US" w:eastAsia="zh-CN" w:bidi="ar"/>
              </w:rPr>
              <w:t>全面提升各学段</w:t>
            </w:r>
            <w:r>
              <w:rPr>
                <w:rFonts w:hint="eastAsia" w:ascii="仿宋_GB2312" w:hAnsi="仿宋_GB2312" w:eastAsia="仿宋_GB2312" w:cs="仿宋_GB2312"/>
                <w:color w:val="000000"/>
                <w:sz w:val="28"/>
                <w:szCs w:val="28"/>
                <w:highlight w:val="none"/>
                <w:u w:val="none"/>
                <w:lang w:bidi="ar"/>
              </w:rPr>
              <w:t>教师学历</w:t>
            </w:r>
            <w:r>
              <w:rPr>
                <w:rFonts w:hint="eastAsia" w:ascii="仿宋_GB2312" w:hAnsi="仿宋_GB2312" w:eastAsia="仿宋_GB2312" w:cs="仿宋_GB2312"/>
                <w:color w:val="000000"/>
                <w:sz w:val="28"/>
                <w:szCs w:val="28"/>
                <w:highlight w:val="none"/>
                <w:u w:val="none"/>
                <w:lang w:val="en-US" w:eastAsia="zh-CN" w:bidi="ar"/>
              </w:rPr>
              <w:t>水平</w:t>
            </w:r>
            <w:r>
              <w:rPr>
                <w:rFonts w:hint="eastAsia" w:ascii="仿宋_GB2312" w:hAnsi="仿宋_GB2312" w:eastAsia="仿宋_GB2312" w:cs="仿宋_GB2312"/>
                <w:color w:val="000000"/>
                <w:sz w:val="28"/>
                <w:szCs w:val="28"/>
                <w:highlight w:val="none"/>
                <w:u w:val="none"/>
                <w:lang w:eastAsia="zh-CN" w:bidi="ar"/>
              </w:rPr>
              <w:t>，</w:t>
            </w:r>
            <w:r>
              <w:rPr>
                <w:rFonts w:hint="eastAsia" w:ascii="仿宋_GB2312" w:hAnsi="仿宋_GB2312" w:eastAsia="仿宋_GB2312" w:cs="仿宋_GB2312"/>
                <w:color w:val="000000"/>
                <w:sz w:val="28"/>
                <w:szCs w:val="28"/>
                <w:highlight w:val="none"/>
                <w:u w:val="none"/>
                <w:lang w:bidi="ar"/>
              </w:rPr>
              <w:t>到2030年幼儿园专任教师专科以上学历比例不低于</w:t>
            </w:r>
            <w:r>
              <w:rPr>
                <w:rFonts w:hint="eastAsia" w:ascii="仿宋_GB2312" w:hAnsi="仿宋_GB2312" w:eastAsia="仿宋_GB2312" w:cs="仿宋_GB2312"/>
                <w:color w:val="000000"/>
                <w:sz w:val="28"/>
                <w:szCs w:val="28"/>
                <w:highlight w:val="none"/>
                <w:u w:val="none"/>
                <w:lang w:val="en-US" w:eastAsia="zh-CN" w:bidi="ar"/>
              </w:rPr>
              <w:t>90</w:t>
            </w:r>
            <w:bookmarkStart w:id="16" w:name="_GoBack"/>
            <w:bookmarkEnd w:id="16"/>
            <w:r>
              <w:rPr>
                <w:rFonts w:hint="eastAsia" w:ascii="仿宋_GB2312" w:hAnsi="仿宋_GB2312" w:eastAsia="仿宋_GB2312" w:cs="仿宋_GB2312"/>
                <w:color w:val="000000"/>
                <w:sz w:val="28"/>
                <w:szCs w:val="28"/>
                <w:highlight w:val="none"/>
                <w:u w:val="none"/>
                <w:lang w:bidi="ar"/>
              </w:rPr>
              <w:t>%，小学和初中专任教师本科以上学历比例分别不低于</w:t>
            </w:r>
            <w:r>
              <w:rPr>
                <w:rFonts w:hint="eastAsia" w:ascii="仿宋_GB2312" w:hAnsi="仿宋_GB2312" w:eastAsia="仿宋_GB2312" w:cs="仿宋_GB2312"/>
                <w:color w:val="000000"/>
                <w:sz w:val="28"/>
                <w:szCs w:val="28"/>
                <w:highlight w:val="none"/>
                <w:u w:val="none"/>
                <w:lang w:val="en-US" w:eastAsia="zh-CN" w:bidi="ar"/>
              </w:rPr>
              <w:t>88</w:t>
            </w:r>
            <w:r>
              <w:rPr>
                <w:rFonts w:hint="eastAsia" w:ascii="仿宋_GB2312" w:hAnsi="仿宋_GB2312" w:eastAsia="仿宋_GB2312" w:cs="仿宋_GB2312"/>
                <w:color w:val="000000"/>
                <w:sz w:val="28"/>
                <w:szCs w:val="28"/>
                <w:highlight w:val="none"/>
                <w:u w:val="none"/>
                <w:lang w:bidi="ar"/>
              </w:rPr>
              <w:t>%和9</w:t>
            </w:r>
            <w:r>
              <w:rPr>
                <w:rFonts w:hint="eastAsia" w:ascii="仿宋_GB2312" w:hAnsi="仿宋_GB2312" w:eastAsia="仿宋_GB2312" w:cs="仿宋_GB2312"/>
                <w:color w:val="000000"/>
                <w:sz w:val="28"/>
                <w:szCs w:val="28"/>
                <w:highlight w:val="none"/>
                <w:u w:val="none"/>
                <w:lang w:eastAsia="zh-CN" w:bidi="ar"/>
              </w:rPr>
              <w:t>5</w:t>
            </w:r>
            <w:r>
              <w:rPr>
                <w:rFonts w:hint="eastAsia" w:ascii="仿宋_GB2312" w:hAnsi="仿宋_GB2312" w:eastAsia="仿宋_GB2312" w:cs="仿宋_GB2312"/>
                <w:color w:val="000000"/>
                <w:sz w:val="28"/>
                <w:szCs w:val="28"/>
                <w:highlight w:val="none"/>
                <w:u w:val="none"/>
                <w:lang w:bidi="ar"/>
              </w:rPr>
              <w:t>%，高中阶段学校教师研究生学历比例力争达到2</w:t>
            </w:r>
            <w:r>
              <w:rPr>
                <w:rFonts w:hint="eastAsia" w:ascii="仿宋_GB2312" w:hAnsi="仿宋_GB2312" w:eastAsia="仿宋_GB2312" w:cs="仿宋_GB2312"/>
                <w:color w:val="000000"/>
                <w:sz w:val="28"/>
                <w:szCs w:val="28"/>
                <w:highlight w:val="none"/>
                <w:u w:val="none"/>
                <w:lang w:val="en-US" w:eastAsia="zh-CN" w:bidi="ar"/>
              </w:rPr>
              <w:t>0</w:t>
            </w:r>
            <w:r>
              <w:rPr>
                <w:rFonts w:hint="eastAsia" w:ascii="仿宋_GB2312" w:hAnsi="仿宋_GB2312" w:eastAsia="仿宋_GB2312" w:cs="仿宋_GB2312"/>
                <w:color w:val="000000"/>
                <w:sz w:val="28"/>
                <w:szCs w:val="28"/>
                <w:highlight w:val="none"/>
                <w:u w:val="none"/>
                <w:lang w:bidi="ar"/>
              </w:rPr>
              <w:t>%。</w:t>
            </w:r>
            <w:r>
              <w:rPr>
                <w:rFonts w:hint="eastAsia" w:ascii="仿宋_GB2312" w:hAnsi="仿宋_GB2312" w:eastAsia="仿宋_GB2312" w:cs="仿宋_GB2312"/>
                <w:color w:val="000000"/>
                <w:sz w:val="28"/>
                <w:szCs w:val="28"/>
                <w:highlight w:val="none"/>
                <w:u w:val="none"/>
                <w:lang w:eastAsia="zh-CN" w:bidi="ar"/>
              </w:rPr>
              <w:t>落实全员培训制度，</w:t>
            </w:r>
            <w:r>
              <w:rPr>
                <w:rFonts w:hint="eastAsia" w:ascii="仿宋_GB2312" w:hAnsi="仿宋_GB2312" w:eastAsia="仿宋_GB2312" w:cs="仿宋_GB2312"/>
                <w:color w:val="000000"/>
                <w:sz w:val="28"/>
                <w:szCs w:val="28"/>
                <w:highlight w:val="none"/>
                <w:u w:val="none"/>
                <w:lang w:bidi="ar"/>
              </w:rPr>
              <w:t>每位</w:t>
            </w:r>
            <w:r>
              <w:rPr>
                <w:rFonts w:hint="eastAsia" w:ascii="仿宋_GB2312" w:hAnsi="仿宋_GB2312" w:eastAsia="仿宋_GB2312" w:cs="仿宋_GB2312"/>
                <w:color w:val="000000"/>
                <w:sz w:val="28"/>
                <w:szCs w:val="28"/>
                <w:highlight w:val="none"/>
                <w:u w:val="none"/>
                <w:lang w:val="en-US" w:eastAsia="zh-CN" w:bidi="ar"/>
              </w:rPr>
              <w:t>校长、</w:t>
            </w:r>
            <w:r>
              <w:rPr>
                <w:rFonts w:hint="eastAsia" w:ascii="仿宋_GB2312" w:hAnsi="仿宋_GB2312" w:eastAsia="仿宋_GB2312" w:cs="仿宋_GB2312"/>
                <w:color w:val="000000"/>
                <w:sz w:val="28"/>
                <w:szCs w:val="28"/>
                <w:highlight w:val="none"/>
                <w:u w:val="none"/>
                <w:lang w:bidi="ar"/>
              </w:rPr>
              <w:t>教师</w:t>
            </w:r>
            <w:r>
              <w:rPr>
                <w:rFonts w:hint="eastAsia" w:ascii="仿宋_GB2312" w:hAnsi="仿宋_GB2312" w:eastAsia="仿宋_GB2312" w:cs="仿宋_GB2312"/>
                <w:color w:val="000000"/>
                <w:sz w:val="28"/>
                <w:szCs w:val="28"/>
                <w:highlight w:val="none"/>
                <w:u w:val="none"/>
                <w:lang w:eastAsia="zh-CN" w:bidi="ar"/>
              </w:rPr>
              <w:t>、</w:t>
            </w:r>
            <w:r>
              <w:rPr>
                <w:rFonts w:hint="eastAsia" w:ascii="仿宋_GB2312" w:hAnsi="仿宋_GB2312" w:eastAsia="仿宋_GB2312" w:cs="仿宋_GB2312"/>
                <w:color w:val="000000"/>
                <w:sz w:val="28"/>
                <w:szCs w:val="28"/>
                <w:highlight w:val="none"/>
                <w:u w:val="none"/>
                <w:lang w:val="en-US" w:eastAsia="zh-CN" w:bidi="ar"/>
              </w:rPr>
              <w:t>教研员</w:t>
            </w:r>
            <w:r>
              <w:rPr>
                <w:rFonts w:hint="eastAsia" w:ascii="仿宋_GB2312" w:hAnsi="仿宋_GB2312" w:eastAsia="仿宋_GB2312" w:cs="仿宋_GB2312"/>
                <w:color w:val="000000"/>
                <w:sz w:val="28"/>
                <w:szCs w:val="28"/>
                <w:highlight w:val="none"/>
                <w:u w:val="none"/>
                <w:lang w:bidi="ar"/>
              </w:rPr>
              <w:t>每年不少于</w:t>
            </w:r>
            <w:r>
              <w:rPr>
                <w:rFonts w:hint="eastAsia" w:ascii="仿宋_GB2312" w:hAnsi="仿宋_GB2312" w:eastAsia="仿宋_GB2312" w:cs="仿宋_GB2312"/>
                <w:color w:val="000000"/>
                <w:sz w:val="28"/>
                <w:szCs w:val="28"/>
                <w:highlight w:val="none"/>
                <w:u w:val="none"/>
                <w:lang w:eastAsia="zh-CN" w:bidi="ar"/>
              </w:rPr>
              <w:t>9</w:t>
            </w:r>
            <w:r>
              <w:rPr>
                <w:rFonts w:hint="eastAsia" w:ascii="仿宋_GB2312" w:hAnsi="仿宋_GB2312" w:eastAsia="仿宋_GB2312" w:cs="仿宋_GB2312"/>
                <w:color w:val="000000"/>
                <w:sz w:val="28"/>
                <w:szCs w:val="28"/>
                <w:highlight w:val="none"/>
                <w:u w:val="none"/>
                <w:lang w:bidi="ar"/>
              </w:rPr>
              <w:t>0学时的培训</w:t>
            </w:r>
            <w:r>
              <w:rPr>
                <w:rFonts w:hint="eastAsia" w:ascii="仿宋_GB2312" w:hAnsi="仿宋_GB2312" w:eastAsia="仿宋_GB2312" w:cs="仿宋_GB2312"/>
                <w:color w:val="000000"/>
                <w:sz w:val="28"/>
                <w:szCs w:val="28"/>
                <w:highlight w:val="none"/>
                <w:u w:val="none"/>
                <w:lang w:eastAsia="zh-CN" w:bidi="ar"/>
              </w:rPr>
              <w:t>，每年至少接受</w:t>
            </w:r>
            <w:r>
              <w:rPr>
                <w:rFonts w:hint="eastAsia" w:ascii="仿宋_GB2312" w:hAnsi="仿宋_GB2312" w:eastAsia="仿宋_GB2312" w:cs="仿宋_GB2312"/>
                <w:color w:val="000000"/>
                <w:sz w:val="28"/>
                <w:szCs w:val="28"/>
                <w:highlight w:val="none"/>
                <w:u w:val="none"/>
                <w:lang w:val="en-US" w:eastAsia="zh-CN" w:bidi="ar"/>
              </w:rPr>
              <w:t>1次</w:t>
            </w:r>
            <w:r>
              <w:rPr>
                <w:rFonts w:hint="eastAsia" w:ascii="仿宋_GB2312" w:hAnsi="仿宋_GB2312" w:eastAsia="仿宋_GB2312" w:cs="仿宋_GB2312"/>
                <w:color w:val="000000"/>
                <w:sz w:val="28"/>
                <w:szCs w:val="28"/>
                <w:highlight w:val="none"/>
                <w:u w:val="none"/>
                <w:lang w:bidi="ar"/>
              </w:rPr>
              <w:t>师德</w:t>
            </w:r>
            <w:r>
              <w:rPr>
                <w:rFonts w:hint="eastAsia" w:ascii="仿宋_GB2312" w:hAnsi="仿宋_GB2312" w:eastAsia="仿宋_GB2312" w:cs="仿宋_GB2312"/>
                <w:color w:val="000000"/>
                <w:sz w:val="28"/>
                <w:szCs w:val="28"/>
                <w:highlight w:val="none"/>
                <w:u w:val="none"/>
                <w:lang w:eastAsia="zh-CN" w:bidi="ar"/>
              </w:rPr>
              <w:t>师风</w:t>
            </w:r>
            <w:r>
              <w:rPr>
                <w:rFonts w:hint="eastAsia" w:ascii="仿宋_GB2312" w:hAnsi="仿宋_GB2312" w:eastAsia="仿宋_GB2312" w:cs="仿宋_GB2312"/>
                <w:color w:val="000000"/>
                <w:sz w:val="28"/>
                <w:szCs w:val="28"/>
                <w:highlight w:val="none"/>
                <w:u w:val="none"/>
                <w:lang w:bidi="ar"/>
              </w:rPr>
              <w:t>专题教育</w:t>
            </w:r>
            <w:r>
              <w:rPr>
                <w:rFonts w:hint="eastAsia" w:ascii="仿宋_GB2312" w:hAnsi="仿宋_GB2312" w:eastAsia="仿宋_GB2312" w:cs="仿宋_GB2312"/>
                <w:color w:val="000000"/>
                <w:sz w:val="28"/>
                <w:szCs w:val="28"/>
                <w:highlight w:val="none"/>
                <w:u w:val="none"/>
                <w:lang w:val="en-US" w:eastAsia="zh-CN" w:bidi="ar"/>
              </w:rPr>
              <w:t>。培育300名市级以上名书记、名校长、名班主任、名教师。</w:t>
            </w:r>
          </w:p>
          <w:p w14:paraId="5A1C8D66">
            <w:pPr>
              <w:pageBreakBefore w:val="0"/>
              <w:widowControl/>
              <w:kinsoku/>
              <w:wordWrap/>
              <w:overflowPunct/>
              <w:autoSpaceDN/>
              <w:bidi w:val="0"/>
              <w:spacing w:line="100" w:lineRule="exact"/>
              <w:ind w:firstLine="560" w:firstLineChars="200"/>
              <w:textAlignment w:val="auto"/>
              <w:rPr>
                <w:rFonts w:hint="eastAsia" w:ascii="仿宋_GB2312" w:hAnsi="仿宋_GB2312" w:eastAsia="仿宋_GB2312" w:cs="仿宋_GB2312"/>
                <w:color w:val="000000"/>
                <w:sz w:val="28"/>
                <w:szCs w:val="28"/>
                <w:highlight w:val="none"/>
                <w:u w:val="none"/>
                <w:lang w:eastAsia="zh-CN" w:bidi="ar"/>
              </w:rPr>
            </w:pPr>
          </w:p>
        </w:tc>
      </w:tr>
    </w:tbl>
    <w:p w14:paraId="00A9845E">
      <w:pPr>
        <w:pStyle w:val="8"/>
        <w:keepNext w:val="0"/>
        <w:keepLines w:val="0"/>
        <w:pageBreakBefore w:val="0"/>
        <w:widowControl w:val="0"/>
        <w:kinsoku/>
        <w:wordWrap/>
        <w:overflowPunct/>
        <w:topLinePunct w:val="0"/>
        <w:autoSpaceDE/>
        <w:autoSpaceDN/>
        <w:bidi w:val="0"/>
        <w:snapToGrid/>
        <w:spacing w:line="240" w:lineRule="auto"/>
        <w:ind w:firstLine="640" w:firstLineChars="200"/>
        <w:textAlignment w:val="auto"/>
        <w:rPr>
          <w:rFonts w:hint="eastAsia" w:ascii="楷体_GB2312" w:hAnsi="楷体_GB2312" w:eastAsia="楷体_GB2312" w:cs="楷体_GB2312"/>
          <w:color w:val="000000"/>
          <w:sz w:val="32"/>
          <w:szCs w:val="24"/>
          <w:highlight w:val="none"/>
          <w:u w:val="none" w:color="auto"/>
          <w:lang w:eastAsia="zh-CN"/>
        </w:rPr>
      </w:pPr>
      <w:r>
        <w:rPr>
          <w:rFonts w:hint="eastAsia" w:ascii="楷体_GB2312" w:hAnsi="楷体_GB2312" w:eastAsia="楷体_GB2312" w:cs="楷体_GB2312"/>
          <w:color w:val="000000"/>
          <w:sz w:val="32"/>
          <w:szCs w:val="24"/>
          <w:highlight w:val="none"/>
          <w:u w:val="none" w:color="auto"/>
          <w:lang w:eastAsia="zh-CN"/>
        </w:rPr>
        <w:t>（</w:t>
      </w:r>
      <w:r>
        <w:rPr>
          <w:rFonts w:hint="eastAsia" w:ascii="楷体_GB2312" w:hAnsi="楷体_GB2312" w:eastAsia="楷体_GB2312" w:cs="楷体_GB2312"/>
          <w:color w:val="000000"/>
          <w:sz w:val="32"/>
          <w:szCs w:val="24"/>
          <w:highlight w:val="none"/>
          <w:u w:val="none" w:color="auto"/>
        </w:rPr>
        <w:t>五</w:t>
      </w:r>
      <w:r>
        <w:rPr>
          <w:rFonts w:hint="eastAsia" w:ascii="楷体_GB2312" w:hAnsi="楷体_GB2312" w:eastAsia="楷体_GB2312" w:cs="楷体_GB2312"/>
          <w:color w:val="000000"/>
          <w:sz w:val="32"/>
          <w:szCs w:val="24"/>
          <w:highlight w:val="none"/>
          <w:u w:val="none" w:color="auto"/>
          <w:lang w:eastAsia="zh-CN"/>
        </w:rPr>
        <w:t>）</w:t>
      </w:r>
      <w:r>
        <w:rPr>
          <w:rFonts w:hint="eastAsia" w:ascii="楷体_GB2312" w:hAnsi="楷体_GB2312" w:eastAsia="楷体_GB2312" w:cs="楷体_GB2312"/>
          <w:color w:val="000000"/>
          <w:sz w:val="32"/>
          <w:szCs w:val="24"/>
          <w:highlight w:val="none"/>
          <w:u w:val="none" w:color="auto"/>
        </w:rPr>
        <w:t>加快对外开放，提高教育国际化水平</w:t>
      </w:r>
      <w:r>
        <w:rPr>
          <w:rFonts w:hint="eastAsia" w:ascii="楷体_GB2312" w:hAnsi="楷体_GB2312" w:eastAsia="楷体_GB2312" w:cs="楷体_GB2312"/>
          <w:color w:val="000000"/>
          <w:sz w:val="32"/>
          <w:szCs w:val="24"/>
          <w:highlight w:val="none"/>
          <w:u w:val="none" w:color="auto"/>
          <w:lang w:eastAsia="zh-CN"/>
        </w:rPr>
        <w:t>。</w:t>
      </w:r>
    </w:p>
    <w:p w14:paraId="29011D71">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19</w:t>
      </w:r>
      <w:r>
        <w:rPr>
          <w:rFonts w:hint="eastAsia" w:ascii="Times New Roman" w:hAnsi="Times New Roman" w:eastAsia="仿宋_GB2312"/>
          <w:b/>
          <w:bCs/>
          <w:color w:val="000000"/>
          <w:sz w:val="32"/>
          <w:szCs w:val="24"/>
          <w:highlight w:val="none"/>
          <w:u w:val="none" w:color="auto"/>
        </w:rPr>
        <w:t>.全面推进教育“融湾”升级。</w:t>
      </w:r>
      <w:r>
        <w:rPr>
          <w:rFonts w:hint="eastAsia" w:ascii="Times New Roman" w:hAnsi="Times New Roman" w:eastAsia="仿宋_GB2312"/>
          <w:color w:val="000000"/>
          <w:sz w:val="32"/>
          <w:szCs w:val="24"/>
          <w:highlight w:val="none"/>
          <w:u w:val="none" w:color="auto"/>
        </w:rPr>
        <w:t>持续引进大湾区优质教育资源落户市中心城区及重点区域，</w:t>
      </w:r>
      <w:r>
        <w:rPr>
          <w:rFonts w:hint="eastAsia" w:ascii="Times New Roman" w:hAnsi="Times New Roman" w:eastAsia="仿宋_GB2312"/>
          <w:color w:val="000000"/>
          <w:sz w:val="32"/>
          <w:szCs w:val="24"/>
          <w:highlight w:val="none"/>
          <w:u w:val="none" w:color="auto"/>
          <w:lang w:eastAsia="zh-CN"/>
        </w:rPr>
        <w:t>共同打造</w:t>
      </w:r>
      <w:r>
        <w:rPr>
          <w:rFonts w:hint="eastAsia" w:ascii="Times New Roman" w:hAnsi="Times New Roman" w:eastAsia="仿宋_GB2312"/>
          <w:color w:val="000000"/>
          <w:sz w:val="32"/>
          <w:szCs w:val="24"/>
          <w:highlight w:val="none"/>
          <w:u w:val="none" w:color="auto"/>
        </w:rPr>
        <w:t>更多品牌学校。推动职业教育与湾区深度合作，鼓励职业院校与大湾区院校共建产教协同联盟</w:t>
      </w:r>
      <w:r>
        <w:rPr>
          <w:rFonts w:hint="eastAsia" w:ascii="Times New Roman" w:hAnsi="Times New Roman" w:eastAsia="仿宋_GB2312"/>
          <w:color w:val="000000"/>
          <w:sz w:val="32"/>
          <w:szCs w:val="24"/>
          <w:highlight w:val="none"/>
          <w:u w:val="none" w:color="auto"/>
          <w:lang w:eastAsia="zh-CN"/>
        </w:rPr>
        <w:t>，逐步</w:t>
      </w:r>
      <w:r>
        <w:rPr>
          <w:rFonts w:hint="eastAsia" w:ascii="Times New Roman" w:hAnsi="Times New Roman" w:eastAsia="仿宋_GB2312"/>
          <w:color w:val="000000"/>
          <w:sz w:val="32"/>
          <w:szCs w:val="24"/>
          <w:highlight w:val="none"/>
          <w:u w:val="none" w:color="auto"/>
        </w:rPr>
        <w:t>扩大</w:t>
      </w:r>
      <w:r>
        <w:rPr>
          <w:rFonts w:hint="eastAsia" w:ascii="Times New Roman" w:hAnsi="Times New Roman" w:eastAsia="仿宋_GB2312"/>
          <w:color w:val="000000"/>
          <w:sz w:val="32"/>
          <w:szCs w:val="24"/>
          <w:highlight w:val="none"/>
          <w:u w:val="none" w:color="auto"/>
          <w:lang w:eastAsia="zh-CN"/>
        </w:rPr>
        <w:t>“中职—高职—本科”学历提升试点招生</w:t>
      </w:r>
      <w:r>
        <w:rPr>
          <w:rFonts w:hint="eastAsia" w:ascii="Times New Roman" w:hAnsi="Times New Roman" w:eastAsia="仿宋_GB2312"/>
          <w:color w:val="000000"/>
          <w:sz w:val="32"/>
          <w:szCs w:val="24"/>
          <w:highlight w:val="none"/>
          <w:u w:val="none" w:color="auto"/>
        </w:rPr>
        <w:t>规模。拓展姊妹学校</w:t>
      </w:r>
      <w:r>
        <w:rPr>
          <w:rFonts w:hint="eastAsia" w:ascii="Times New Roman" w:hAnsi="Times New Roman" w:eastAsia="仿宋_GB2312"/>
          <w:color w:val="000000"/>
          <w:sz w:val="32"/>
          <w:szCs w:val="24"/>
          <w:highlight w:val="none"/>
          <w:u w:val="none" w:color="auto"/>
          <w:lang w:eastAsia="zh-CN"/>
        </w:rPr>
        <w:t>共建</w:t>
      </w:r>
      <w:r>
        <w:rPr>
          <w:rFonts w:hint="eastAsia" w:ascii="Times New Roman" w:hAnsi="Times New Roman" w:eastAsia="仿宋_GB2312"/>
          <w:color w:val="000000"/>
          <w:sz w:val="32"/>
          <w:szCs w:val="24"/>
          <w:highlight w:val="none"/>
          <w:u w:val="none" w:color="auto"/>
        </w:rPr>
        <w:t>，深化与珠三角、港澳地区优质学校教师交流、学生</w:t>
      </w:r>
      <w:r>
        <w:rPr>
          <w:rFonts w:hint="eastAsia" w:ascii="Times New Roman" w:hAnsi="Times New Roman" w:eastAsia="仿宋_GB2312"/>
          <w:color w:val="000000"/>
          <w:sz w:val="32"/>
          <w:szCs w:val="24"/>
          <w:highlight w:val="none"/>
          <w:u w:val="none" w:color="auto"/>
          <w:lang w:eastAsia="zh-CN"/>
        </w:rPr>
        <w:t>研</w:t>
      </w:r>
      <w:r>
        <w:rPr>
          <w:rFonts w:hint="eastAsia" w:ascii="Times New Roman" w:hAnsi="Times New Roman" w:eastAsia="仿宋_GB2312"/>
          <w:color w:val="000000"/>
          <w:sz w:val="32"/>
          <w:szCs w:val="24"/>
          <w:highlight w:val="none"/>
          <w:u w:val="none" w:color="auto"/>
        </w:rPr>
        <w:t>学等合作。借助教育信息化等手段，扩大与广州、佛山优质教学资源共享范围。</w:t>
      </w:r>
    </w:p>
    <w:p w14:paraId="7C776976">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20</w:t>
      </w:r>
      <w:r>
        <w:rPr>
          <w:rFonts w:hint="eastAsia" w:ascii="Times New Roman" w:hAnsi="Times New Roman" w:eastAsia="仿宋_GB2312"/>
          <w:b/>
          <w:bCs/>
          <w:color w:val="000000"/>
          <w:sz w:val="32"/>
          <w:szCs w:val="24"/>
          <w:highlight w:val="none"/>
          <w:u w:val="none" w:color="auto"/>
        </w:rPr>
        <w:t>.提升人才教育国际化水平。</w:t>
      </w:r>
      <w:r>
        <w:rPr>
          <w:rFonts w:hint="eastAsia" w:ascii="Times New Roman" w:hAnsi="Times New Roman" w:eastAsia="仿宋_GB2312"/>
          <w:color w:val="000000"/>
          <w:sz w:val="32"/>
          <w:szCs w:val="24"/>
          <w:highlight w:val="none"/>
          <w:u w:val="none" w:color="auto"/>
        </w:rPr>
        <w:t>加强与RCEP成员国、“一带一路”国家交流合作，推动罗定职业技术学院与东盟开展职业教育合作，积极引进国际优质教育资源落户云浮，探索开设中外合作办学项目，吸引国际资金与人才助力云浮发展。建立完善校长、教师、科研人员国外研修、学术交流批准、管理机制。</w:t>
      </w:r>
    </w:p>
    <w:p w14:paraId="3197493E">
      <w:pPr>
        <w:pStyle w:val="8"/>
        <w:keepNext w:val="0"/>
        <w:keepLines w:val="0"/>
        <w:pageBreakBefore w:val="0"/>
        <w:widowControl w:val="0"/>
        <w:kinsoku/>
        <w:wordWrap/>
        <w:overflowPunct/>
        <w:topLinePunct w:val="0"/>
        <w:autoSpaceDE/>
        <w:autoSpaceDN/>
        <w:bidi w:val="0"/>
        <w:snapToGrid/>
        <w:spacing w:line="240" w:lineRule="auto"/>
        <w:ind w:firstLine="640" w:firstLineChars="200"/>
        <w:textAlignment w:val="auto"/>
        <w:rPr>
          <w:rFonts w:hint="eastAsia" w:ascii="楷体_GB2312" w:hAnsi="楷体_GB2312" w:eastAsia="楷体_GB2312" w:cs="楷体_GB2312"/>
          <w:color w:val="000000"/>
          <w:sz w:val="32"/>
          <w:szCs w:val="24"/>
          <w:highlight w:val="none"/>
          <w:u w:val="none" w:color="auto"/>
          <w:lang w:eastAsia="zh-CN"/>
        </w:rPr>
      </w:pPr>
      <w:r>
        <w:rPr>
          <w:rFonts w:hint="eastAsia" w:ascii="楷体_GB2312" w:hAnsi="楷体_GB2312" w:eastAsia="楷体_GB2312" w:cs="楷体_GB2312"/>
          <w:color w:val="000000"/>
          <w:sz w:val="32"/>
          <w:szCs w:val="24"/>
          <w:highlight w:val="none"/>
          <w:u w:val="none" w:color="auto"/>
          <w:lang w:eastAsia="zh-CN"/>
        </w:rPr>
        <w:t>（</w:t>
      </w:r>
      <w:r>
        <w:rPr>
          <w:rFonts w:hint="eastAsia" w:ascii="楷体_GB2312" w:hAnsi="楷体_GB2312" w:eastAsia="楷体_GB2312" w:cs="楷体_GB2312"/>
          <w:color w:val="000000"/>
          <w:sz w:val="32"/>
          <w:szCs w:val="24"/>
          <w:highlight w:val="none"/>
          <w:u w:val="none" w:color="auto"/>
        </w:rPr>
        <w:t>六</w:t>
      </w:r>
      <w:r>
        <w:rPr>
          <w:rFonts w:hint="eastAsia" w:ascii="楷体_GB2312" w:hAnsi="楷体_GB2312" w:eastAsia="楷体_GB2312" w:cs="楷体_GB2312"/>
          <w:color w:val="000000"/>
          <w:sz w:val="32"/>
          <w:szCs w:val="24"/>
          <w:highlight w:val="none"/>
          <w:u w:val="none" w:color="auto"/>
          <w:lang w:eastAsia="zh-CN"/>
        </w:rPr>
        <w:t>）</w:t>
      </w:r>
      <w:r>
        <w:rPr>
          <w:rFonts w:hint="eastAsia" w:ascii="楷体_GB2312" w:hAnsi="楷体_GB2312" w:eastAsia="楷体_GB2312" w:cs="楷体_GB2312"/>
          <w:color w:val="000000"/>
          <w:sz w:val="32"/>
          <w:szCs w:val="24"/>
          <w:highlight w:val="none"/>
          <w:u w:val="none" w:color="auto"/>
        </w:rPr>
        <w:t>推动技术赋能，建设智慧教育新样板</w:t>
      </w:r>
      <w:r>
        <w:rPr>
          <w:rFonts w:hint="eastAsia" w:ascii="楷体_GB2312" w:hAnsi="楷体_GB2312" w:eastAsia="楷体_GB2312" w:cs="楷体_GB2312"/>
          <w:color w:val="000000"/>
          <w:sz w:val="32"/>
          <w:szCs w:val="24"/>
          <w:highlight w:val="none"/>
          <w:u w:val="none" w:color="auto"/>
          <w:lang w:eastAsia="zh-CN"/>
        </w:rPr>
        <w:t>。</w:t>
      </w:r>
    </w:p>
    <w:p w14:paraId="026B7AC8">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2</w:t>
      </w:r>
      <w:r>
        <w:rPr>
          <w:rFonts w:hint="eastAsia" w:ascii="Times New Roman" w:hAnsi="Times New Roman" w:eastAsia="仿宋_GB2312"/>
          <w:b/>
          <w:bCs/>
          <w:color w:val="000000"/>
          <w:sz w:val="32"/>
          <w:szCs w:val="24"/>
          <w:highlight w:val="none"/>
          <w:u w:val="none" w:color="auto"/>
        </w:rPr>
        <w:t>1.加强教育</w:t>
      </w:r>
      <w:r>
        <w:rPr>
          <w:rFonts w:hint="eastAsia" w:ascii="Times New Roman" w:hAnsi="Times New Roman" w:eastAsia="仿宋_GB2312"/>
          <w:b/>
          <w:bCs/>
          <w:color w:val="000000"/>
          <w:sz w:val="32"/>
          <w:szCs w:val="24"/>
          <w:highlight w:val="none"/>
          <w:u w:val="none" w:color="auto"/>
          <w:lang w:eastAsia="zh-CN"/>
        </w:rPr>
        <w:t>数字</w:t>
      </w:r>
      <w:r>
        <w:rPr>
          <w:rFonts w:hint="eastAsia" w:ascii="Times New Roman" w:hAnsi="Times New Roman" w:eastAsia="仿宋_GB2312"/>
          <w:b/>
          <w:bCs/>
          <w:color w:val="000000"/>
          <w:sz w:val="32"/>
          <w:szCs w:val="24"/>
          <w:highlight w:val="none"/>
          <w:u w:val="none" w:color="auto"/>
        </w:rPr>
        <w:t>化基础设施建设。</w:t>
      </w:r>
      <w:r>
        <w:rPr>
          <w:rFonts w:hint="eastAsia" w:ascii="Times New Roman" w:hAnsi="Times New Roman" w:eastAsia="仿宋_GB2312"/>
          <w:color w:val="000000"/>
          <w:sz w:val="32"/>
          <w:szCs w:val="24"/>
          <w:highlight w:val="none"/>
          <w:u w:val="none" w:color="auto"/>
        </w:rPr>
        <w:t>加快推进信息网络、数字资源、智慧校园、可信安全等基础设施建设，推进校园5G网络全覆盖，满足线上教学、虚拟仿真实验、远程互动等教学活动的网络需求。到2030年，全市95%以上的学校实现5G网络覆盖。落实各级各类学校数字校园建设规范，逐步统筹更新中小学智能教学设备，实现教学设备智能化、现代化。推动有线网与无线网深度融合，提升各类教室、实验室的数字化装备水平，按需配备高清互动、虚拟仿真、智能感知等先进装备，逐步普及符合技术标准的个人学习终端。鼓励学校探索新型教学设备应用。</w:t>
      </w:r>
    </w:p>
    <w:p w14:paraId="1D5B7353">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2</w:t>
      </w:r>
      <w:r>
        <w:rPr>
          <w:rFonts w:hint="eastAsia" w:ascii="Times New Roman" w:hAnsi="Times New Roman" w:eastAsia="仿宋_GB2312"/>
          <w:b/>
          <w:bCs/>
          <w:color w:val="000000"/>
          <w:sz w:val="32"/>
          <w:szCs w:val="24"/>
          <w:highlight w:val="none"/>
          <w:u w:val="none" w:color="auto"/>
        </w:rPr>
        <w:t>2.推进人工智能与教育教学深度融合。</w:t>
      </w:r>
      <w:r>
        <w:rPr>
          <w:rFonts w:hint="eastAsia" w:ascii="Times New Roman" w:hAnsi="Times New Roman" w:eastAsia="仿宋_GB2312"/>
          <w:color w:val="000000"/>
          <w:sz w:val="32"/>
          <w:szCs w:val="24"/>
          <w:highlight w:val="none"/>
          <w:u w:val="none" w:color="auto"/>
        </w:rPr>
        <w:t>推动落实国家中小学智慧教育平台的全域深度应用，推进开展基于国家智慧教育平台的系列教研活动，形成国家平台深度应用的新模式新样态，用好国家中小学智慧教育平台优质资源和教学、评价工具。实施国家教育数字化战略，</w:t>
      </w:r>
      <w:r>
        <w:rPr>
          <w:rFonts w:hint="eastAsia" w:ascii="Times New Roman" w:hAnsi="Times New Roman" w:eastAsia="仿宋_GB2312"/>
          <w:color w:val="000000"/>
          <w:sz w:val="32"/>
          <w:szCs w:val="24"/>
          <w:highlight w:val="none"/>
          <w:u w:val="none" w:color="auto"/>
          <w:lang w:eastAsia="zh-CN"/>
        </w:rPr>
        <w:t>落实</w:t>
      </w:r>
      <w:r>
        <w:rPr>
          <w:rFonts w:hint="eastAsia" w:ascii="Times New Roman" w:hAnsi="Times New Roman" w:eastAsia="仿宋_GB2312"/>
          <w:color w:val="000000"/>
          <w:sz w:val="32"/>
          <w:szCs w:val="24"/>
          <w:highlight w:val="none"/>
          <w:u w:val="none" w:color="auto"/>
        </w:rPr>
        <w:t>人工智能赋能基础教育行动方案，</w:t>
      </w:r>
      <w:r>
        <w:rPr>
          <w:rFonts w:hint="eastAsia" w:ascii="Times New Roman" w:hAnsi="Times New Roman" w:eastAsia="仿宋_GB2312"/>
          <w:color w:val="000000"/>
          <w:sz w:val="32"/>
          <w:szCs w:val="24"/>
          <w:highlight w:val="none"/>
          <w:u w:val="none" w:color="auto"/>
          <w:lang w:eastAsia="zh-CN"/>
        </w:rPr>
        <w:t>保障</w:t>
      </w:r>
      <w:r>
        <w:rPr>
          <w:rFonts w:hint="eastAsia" w:ascii="Times New Roman" w:hAnsi="Times New Roman" w:eastAsia="仿宋_GB2312"/>
          <w:color w:val="000000"/>
          <w:sz w:val="32"/>
          <w:szCs w:val="24"/>
          <w:highlight w:val="none"/>
          <w:u w:val="none" w:color="auto"/>
        </w:rPr>
        <w:t>人工智能课时。加强智能化课程资源建设，深化普及应用。每年举办市级中小学人工智能竞赛，提升学生的实践能力和创新思维。</w:t>
      </w:r>
    </w:p>
    <w:p w14:paraId="26C130DC">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2</w:t>
      </w:r>
      <w:r>
        <w:rPr>
          <w:rFonts w:hint="eastAsia" w:ascii="Times New Roman" w:hAnsi="Times New Roman" w:eastAsia="仿宋_GB2312"/>
          <w:b/>
          <w:bCs/>
          <w:color w:val="000000"/>
          <w:sz w:val="32"/>
          <w:szCs w:val="24"/>
          <w:highlight w:val="none"/>
          <w:u w:val="none" w:color="auto"/>
        </w:rPr>
        <w:t>3.提升教育管理与评价智能化水平。</w:t>
      </w:r>
      <w:r>
        <w:rPr>
          <w:rFonts w:hint="eastAsia" w:ascii="Times New Roman" w:hAnsi="Times New Roman" w:eastAsia="仿宋_GB2312"/>
          <w:color w:val="000000"/>
          <w:sz w:val="32"/>
          <w:szCs w:val="24"/>
          <w:highlight w:val="none"/>
          <w:u w:val="none" w:color="auto"/>
        </w:rPr>
        <w:t>利用大数据、人工智能等技术构建涵盖学生综合素质评价、教师教学质量评价、学校办学水平评价的智能化教育评价体系。强化教师人工智能素养培育提升。加强与科技企业、科研机构合作，开展人工智能教育实践基地建设，开展智慧教育相关课题研究。</w:t>
      </w:r>
    </w:p>
    <w:p w14:paraId="359D6C1E">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2</w:t>
      </w:r>
      <w:r>
        <w:rPr>
          <w:rFonts w:hint="eastAsia" w:ascii="Times New Roman" w:hAnsi="Times New Roman" w:eastAsia="仿宋_GB2312"/>
          <w:b/>
          <w:bCs/>
          <w:color w:val="000000"/>
          <w:sz w:val="32"/>
          <w:szCs w:val="24"/>
          <w:highlight w:val="none"/>
          <w:u w:val="none" w:color="auto"/>
        </w:rPr>
        <w:t>4.进一步推进考试考点智能化建设。</w:t>
      </w:r>
      <w:r>
        <w:rPr>
          <w:rFonts w:hint="eastAsia" w:ascii="Times New Roman" w:hAnsi="Times New Roman" w:eastAsia="仿宋_GB2312"/>
          <w:color w:val="000000"/>
          <w:sz w:val="32"/>
          <w:szCs w:val="24"/>
          <w:highlight w:val="none"/>
          <w:u w:val="none" w:color="auto"/>
        </w:rPr>
        <w:t>实现国家、省级教育考试考场和保密室智能监控全覆盖，实现人工智能技术应用普及，全面加强考场巡查，防范利用手机等智能产品实施高科技作弊，从严从实从细做好考试组织保障工作。</w:t>
      </w:r>
    </w:p>
    <w:tbl>
      <w:tblPr>
        <w:tblStyle w:val="4"/>
        <w:tblW w:w="9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0"/>
      </w:tblGrid>
      <w:tr w14:paraId="379F4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9140" w:type="dxa"/>
            <w:vAlign w:val="center"/>
          </w:tcPr>
          <w:p w14:paraId="50272DA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rPr>
              <w:t>专栏</w:t>
            </w:r>
            <w:r>
              <w:rPr>
                <w:rFonts w:hint="eastAsia" w:ascii="仿宋_GB2312" w:hAnsi="仿宋_GB2312" w:eastAsia="仿宋_GB2312" w:cs="仿宋_GB2312"/>
                <w:b/>
                <w:bCs/>
                <w:sz w:val="28"/>
                <w:szCs w:val="28"/>
                <w:highlight w:val="none"/>
                <w:lang w:val="en-US" w:eastAsia="zh-CN"/>
              </w:rPr>
              <w:t>4：</w:t>
            </w:r>
            <w:r>
              <w:rPr>
                <w:rFonts w:hint="eastAsia" w:ascii="仿宋_GB2312" w:hAnsi="仿宋_GB2312" w:eastAsia="仿宋_GB2312" w:cs="仿宋_GB2312"/>
                <w:b/>
                <w:bCs/>
                <w:sz w:val="28"/>
                <w:szCs w:val="28"/>
                <w:highlight w:val="none"/>
              </w:rPr>
              <w:t>教育</w:t>
            </w:r>
            <w:r>
              <w:rPr>
                <w:rFonts w:hint="eastAsia" w:ascii="仿宋_GB2312" w:hAnsi="仿宋_GB2312" w:eastAsia="仿宋_GB2312" w:cs="仿宋_GB2312"/>
                <w:b/>
                <w:bCs/>
                <w:sz w:val="28"/>
                <w:szCs w:val="28"/>
                <w:highlight w:val="none"/>
                <w:lang w:eastAsia="zh-CN"/>
              </w:rPr>
              <w:t>数智化</w:t>
            </w:r>
            <w:r>
              <w:rPr>
                <w:rFonts w:hint="eastAsia" w:ascii="仿宋_GB2312" w:hAnsi="仿宋_GB2312" w:eastAsia="仿宋_GB2312" w:cs="仿宋_GB2312"/>
                <w:b/>
                <w:bCs/>
                <w:sz w:val="28"/>
                <w:szCs w:val="28"/>
                <w:highlight w:val="none"/>
              </w:rPr>
              <w:t>工程</w:t>
            </w:r>
          </w:p>
        </w:tc>
      </w:tr>
      <w:tr w14:paraId="21BB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0" w:hRule="atLeast"/>
          <w:jc w:val="center"/>
        </w:trPr>
        <w:tc>
          <w:tcPr>
            <w:tcW w:w="9140" w:type="dxa"/>
            <w:shd w:val="clear" w:color="auto" w:fill="auto"/>
            <w:vAlign w:val="center"/>
          </w:tcPr>
          <w:p w14:paraId="58F0DC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b/>
                <w:bCs/>
                <w:kern w:val="2"/>
                <w:sz w:val="28"/>
                <w:szCs w:val="28"/>
                <w:highlight w:val="none"/>
                <w:lang w:val="en-US" w:eastAsia="zh-CN" w:bidi="ar-SA"/>
              </w:rPr>
            </w:pPr>
            <w:r>
              <w:rPr>
                <w:rFonts w:hint="eastAsia" w:ascii="仿宋_GB2312" w:hAnsi="仿宋_GB2312" w:eastAsia="仿宋_GB2312" w:cs="仿宋_GB2312"/>
                <w:sz w:val="28"/>
                <w:szCs w:val="28"/>
                <w:highlight w:val="none"/>
              </w:rPr>
              <w:t>力争到2027年完成教育系统软件正版化工作。到2030年，实现全市中小学智能教学设备配备率达到100%。推动各县（市、区）建设不少于1个AI教育工作室。推动每个学科至少打造10个人工智能教学示范案例。</w:t>
            </w:r>
            <w:r>
              <w:rPr>
                <w:rFonts w:hint="eastAsia" w:ascii="仿宋_GB2312" w:hAnsi="仿宋_GB2312" w:eastAsia="仿宋_GB2312" w:cs="仿宋_GB2312"/>
                <w:b w:val="0"/>
                <w:bCs w:val="0"/>
                <w:kern w:val="2"/>
                <w:sz w:val="28"/>
                <w:szCs w:val="28"/>
                <w:highlight w:val="none"/>
                <w:lang w:val="en-US" w:eastAsia="zh-CN" w:bidi="ar-SA"/>
              </w:rPr>
              <w:t>开展教师信息技术应用能力分层分类培训，建立“AI+教育”与大数据深度融合示范体系，培育25所人工智能应用标杆学校，500名种子教师。</w:t>
            </w:r>
          </w:p>
        </w:tc>
      </w:tr>
    </w:tbl>
    <w:p w14:paraId="3AC4149E">
      <w:pPr>
        <w:pStyle w:val="8"/>
        <w:keepNext w:val="0"/>
        <w:keepLines w:val="0"/>
        <w:pageBreakBefore w:val="0"/>
        <w:widowControl w:val="0"/>
        <w:kinsoku/>
        <w:wordWrap/>
        <w:overflowPunct/>
        <w:topLinePunct w:val="0"/>
        <w:autoSpaceDE/>
        <w:autoSpaceDN/>
        <w:bidi w:val="0"/>
        <w:snapToGrid/>
        <w:spacing w:line="240" w:lineRule="auto"/>
        <w:ind w:firstLine="640" w:firstLineChars="200"/>
        <w:textAlignment w:val="auto"/>
        <w:rPr>
          <w:rFonts w:hint="eastAsia" w:ascii="楷体_GB2312" w:hAnsi="楷体_GB2312" w:eastAsia="楷体_GB2312" w:cs="楷体_GB2312"/>
          <w:color w:val="000000"/>
          <w:sz w:val="32"/>
          <w:szCs w:val="24"/>
          <w:highlight w:val="none"/>
          <w:u w:val="none" w:color="auto"/>
          <w:lang w:eastAsia="zh-CN"/>
        </w:rPr>
      </w:pPr>
      <w:r>
        <w:rPr>
          <w:rFonts w:hint="eastAsia" w:ascii="楷体_GB2312" w:hAnsi="楷体_GB2312" w:eastAsia="楷体_GB2312" w:cs="楷体_GB2312"/>
          <w:color w:val="000000"/>
          <w:sz w:val="32"/>
          <w:szCs w:val="24"/>
          <w:highlight w:val="none"/>
          <w:u w:val="none" w:color="auto"/>
          <w:lang w:eastAsia="zh-CN"/>
        </w:rPr>
        <w:t>（</w:t>
      </w:r>
      <w:r>
        <w:rPr>
          <w:rFonts w:hint="eastAsia" w:ascii="楷体_GB2312" w:hAnsi="楷体_GB2312" w:eastAsia="楷体_GB2312" w:cs="楷体_GB2312"/>
          <w:color w:val="000000"/>
          <w:sz w:val="32"/>
          <w:szCs w:val="24"/>
          <w:highlight w:val="none"/>
          <w:u w:val="none" w:color="auto"/>
        </w:rPr>
        <w:t>七</w:t>
      </w:r>
      <w:r>
        <w:rPr>
          <w:rFonts w:hint="eastAsia" w:ascii="楷体_GB2312" w:hAnsi="楷体_GB2312" w:eastAsia="楷体_GB2312" w:cs="楷体_GB2312"/>
          <w:color w:val="000000"/>
          <w:sz w:val="32"/>
          <w:szCs w:val="24"/>
          <w:highlight w:val="none"/>
          <w:u w:val="none" w:color="auto"/>
          <w:lang w:eastAsia="zh-CN"/>
        </w:rPr>
        <w:t>）</w:t>
      </w:r>
      <w:r>
        <w:rPr>
          <w:rFonts w:hint="eastAsia" w:ascii="楷体_GB2312" w:hAnsi="楷体_GB2312" w:eastAsia="楷体_GB2312" w:cs="楷体_GB2312"/>
          <w:color w:val="000000"/>
          <w:sz w:val="32"/>
          <w:szCs w:val="24"/>
          <w:highlight w:val="none"/>
          <w:u w:val="none" w:color="auto"/>
        </w:rPr>
        <w:t>深化综合改革，激发教育活力与创新</w:t>
      </w:r>
      <w:r>
        <w:rPr>
          <w:rFonts w:hint="eastAsia" w:ascii="楷体_GB2312" w:hAnsi="楷体_GB2312" w:eastAsia="楷体_GB2312" w:cs="楷体_GB2312"/>
          <w:color w:val="000000"/>
          <w:sz w:val="32"/>
          <w:szCs w:val="24"/>
          <w:highlight w:val="none"/>
          <w:u w:val="none" w:color="auto"/>
          <w:lang w:eastAsia="zh-CN"/>
        </w:rPr>
        <w:t>。</w:t>
      </w:r>
    </w:p>
    <w:p w14:paraId="2662A79F">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24</w:t>
      </w:r>
      <w:r>
        <w:rPr>
          <w:rFonts w:hint="eastAsia" w:ascii="Times New Roman" w:hAnsi="Times New Roman" w:eastAsia="仿宋_GB2312"/>
          <w:b/>
          <w:bCs/>
          <w:color w:val="000000"/>
          <w:sz w:val="32"/>
          <w:szCs w:val="24"/>
          <w:highlight w:val="none"/>
          <w:u w:val="none" w:color="auto"/>
        </w:rPr>
        <w:t>.深化教育评价改革。</w:t>
      </w:r>
      <w:r>
        <w:rPr>
          <w:rFonts w:hint="eastAsia" w:ascii="Times New Roman" w:hAnsi="Times New Roman" w:eastAsia="仿宋_GB2312"/>
          <w:color w:val="000000"/>
          <w:sz w:val="32"/>
          <w:szCs w:val="24"/>
          <w:highlight w:val="none"/>
          <w:u w:val="none" w:color="auto"/>
        </w:rPr>
        <w:t>深入推进教育评价改革试点市建设，坚持科学的教育评价导向，防止和纠正“分数至上”等偏差。推进中考改革，强化综合素质评价结果应用，探索实施符合条件的随迁子女与户籍学生同等享受升学机会的办法。深化</w:t>
      </w:r>
      <w:r>
        <w:rPr>
          <w:rFonts w:hint="eastAsia" w:ascii="Times New Roman" w:hAnsi="Times New Roman" w:eastAsia="仿宋_GB2312"/>
          <w:color w:val="000000"/>
          <w:sz w:val="32"/>
          <w:szCs w:val="24"/>
          <w:highlight w:val="none"/>
          <w:u w:val="none" w:color="auto"/>
          <w:lang w:eastAsia="zh-CN"/>
        </w:rPr>
        <w:t>中</w:t>
      </w:r>
      <w:r>
        <w:rPr>
          <w:rFonts w:hint="eastAsia" w:ascii="Times New Roman" w:hAnsi="Times New Roman" w:eastAsia="仿宋_GB2312"/>
          <w:color w:val="000000"/>
          <w:sz w:val="32"/>
          <w:szCs w:val="24"/>
          <w:highlight w:val="none"/>
          <w:u w:val="none" w:color="auto"/>
        </w:rPr>
        <w:t>考改革，</w:t>
      </w:r>
      <w:r>
        <w:rPr>
          <w:rFonts w:hint="eastAsia" w:ascii="Times New Roman" w:hAnsi="Times New Roman" w:eastAsia="仿宋_GB2312"/>
          <w:color w:val="000000"/>
          <w:sz w:val="32"/>
          <w:szCs w:val="24"/>
          <w:highlight w:val="none"/>
          <w:u w:val="none" w:color="auto"/>
          <w:lang w:eastAsia="zh-CN"/>
        </w:rPr>
        <w:t>出台中考改革方案，完善学业水平考试成绩与综合素质评价相融合的评价机制，</w:t>
      </w:r>
      <w:r>
        <w:rPr>
          <w:rFonts w:hint="eastAsia" w:ascii="Times New Roman" w:hAnsi="Times New Roman" w:eastAsia="仿宋_GB2312"/>
          <w:color w:val="000000"/>
          <w:sz w:val="32"/>
          <w:szCs w:val="24"/>
          <w:highlight w:val="none"/>
          <w:u w:val="none" w:color="auto"/>
        </w:rPr>
        <w:t>重点强化学生关键能力、学科素养和思维品质考查。规范义务教育阶段招生管理，严禁小学、初中以任何形式通过考试选拔招生。有序提高普通高中指标到校招生占比，指标到校招生不得划定最低录取分数线。</w:t>
      </w:r>
      <w:r>
        <w:rPr>
          <w:rFonts w:hint="eastAsia" w:ascii="Times New Roman" w:hAnsi="Times New Roman" w:eastAsia="仿宋_GB2312"/>
          <w:color w:val="000000"/>
          <w:sz w:val="32"/>
          <w:szCs w:val="24"/>
          <w:highlight w:val="none"/>
          <w:u w:val="none" w:color="auto"/>
          <w:lang w:eastAsia="zh-CN"/>
        </w:rPr>
        <w:t>推动全市统一组织实施中考体育、艺术考试，规范高中自主招生。</w:t>
      </w:r>
      <w:r>
        <w:rPr>
          <w:rFonts w:hint="eastAsia" w:ascii="Times New Roman" w:hAnsi="Times New Roman" w:eastAsia="仿宋_GB2312"/>
          <w:color w:val="000000"/>
          <w:sz w:val="32"/>
          <w:szCs w:val="24"/>
          <w:highlight w:val="none"/>
          <w:u w:val="none" w:color="auto"/>
        </w:rPr>
        <w:t>推进信息技术赋能考试评价改革。</w:t>
      </w:r>
    </w:p>
    <w:p w14:paraId="4C757D3B">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rPr>
        <w:t>2</w:t>
      </w:r>
      <w:r>
        <w:rPr>
          <w:rFonts w:hint="eastAsia" w:ascii="Times New Roman" w:hAnsi="Times New Roman" w:eastAsia="仿宋_GB2312"/>
          <w:b/>
          <w:bCs/>
          <w:color w:val="000000"/>
          <w:sz w:val="32"/>
          <w:szCs w:val="24"/>
          <w:highlight w:val="none"/>
          <w:u w:val="none" w:color="auto"/>
          <w:lang w:val="en-US" w:eastAsia="zh-CN"/>
        </w:rPr>
        <w:t>5</w:t>
      </w:r>
      <w:r>
        <w:rPr>
          <w:rFonts w:hint="eastAsia" w:ascii="Times New Roman" w:hAnsi="Times New Roman" w:eastAsia="仿宋_GB2312"/>
          <w:b/>
          <w:bCs/>
          <w:color w:val="000000"/>
          <w:sz w:val="32"/>
          <w:szCs w:val="24"/>
          <w:highlight w:val="none"/>
          <w:u w:val="none" w:color="auto"/>
        </w:rPr>
        <w:t>.提升依法治教和安全管理水平。</w:t>
      </w:r>
      <w:r>
        <w:rPr>
          <w:rFonts w:hint="eastAsia" w:ascii="Times New Roman" w:hAnsi="Times New Roman" w:eastAsia="仿宋_GB2312"/>
          <w:color w:val="000000"/>
          <w:sz w:val="32"/>
          <w:szCs w:val="24"/>
          <w:highlight w:val="none"/>
          <w:u w:val="none" w:color="auto"/>
        </w:rPr>
        <w:t>健全教育行政决策机制，将公众参与、专家论证、风险评估、合法性审查和集体讨论决定的程序要求，全面、严格落实到重大教育行政决策的全过程。鼓励学校开放办学，完善公众参与学校议事、监督和意见反馈的制度，鼓励各级各类学校与社区建立互助互利、共同发展的良性合作关系。巩固“双减”工作成果</w:t>
      </w:r>
      <w:r>
        <w:rPr>
          <w:rFonts w:hint="eastAsia" w:ascii="Times New Roman" w:hAnsi="Times New Roman" w:eastAsia="仿宋_GB2312"/>
          <w:color w:val="000000"/>
          <w:sz w:val="32"/>
          <w:szCs w:val="24"/>
          <w:highlight w:val="none"/>
          <w:u w:val="none" w:color="auto"/>
          <w:lang w:eastAsia="zh-CN"/>
        </w:rPr>
        <w:t>，建立健全校外培训机构进校园监管机制，从严规范校外培训行为，联合打击各类隐形变异学科类培训。</w:t>
      </w:r>
      <w:r>
        <w:rPr>
          <w:rFonts w:hint="eastAsia" w:ascii="Times New Roman" w:hAnsi="Times New Roman" w:eastAsia="仿宋_GB2312"/>
          <w:color w:val="000000"/>
          <w:sz w:val="32"/>
          <w:szCs w:val="24"/>
          <w:highlight w:val="none"/>
          <w:u w:val="none" w:color="auto"/>
        </w:rPr>
        <w:t>构建校园智能化安防体系，完善学生欺凌和暴力行为早发现、早预防、早控制机制，完善校园安全纠纷多元化解机制和安全风险社会化分担机制。推进校园安全专项治理。</w:t>
      </w:r>
    </w:p>
    <w:p w14:paraId="733B2A55">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26</w:t>
      </w:r>
      <w:r>
        <w:rPr>
          <w:rFonts w:hint="eastAsia" w:ascii="Times New Roman" w:hAnsi="Times New Roman" w:eastAsia="仿宋_GB2312"/>
          <w:b/>
          <w:bCs/>
          <w:color w:val="000000"/>
          <w:sz w:val="32"/>
          <w:szCs w:val="24"/>
          <w:highlight w:val="none"/>
          <w:u w:val="none" w:color="auto"/>
        </w:rPr>
        <w:t>.推进终身教育内涵发展。</w:t>
      </w:r>
      <w:r>
        <w:rPr>
          <w:rFonts w:hint="eastAsia" w:ascii="Times New Roman" w:hAnsi="Times New Roman" w:eastAsia="仿宋_GB2312"/>
          <w:color w:val="000000"/>
          <w:sz w:val="32"/>
          <w:szCs w:val="24"/>
          <w:highlight w:val="none"/>
          <w:u w:val="none" w:color="auto"/>
        </w:rPr>
        <w:t>推动职业教育与普通教育、学历教育与非学历教育、职前教育与职后培训相互衔接和学分互认。加强校企社政合作，推动职业教育与社区教育联动发展。优先发展城市社区教育、逐步发展乡村社区教育，着力推进城乡一体、以城带乡的社区教育协调发展机制。完善终身学习参与激励机制，鼓励各级各类社会组织和个人广泛参与终身教育。加强老年大学建设，培育一批社区教育示范基地和老年大学示范校，建设具有云浮特色的老年教育品牌项目。</w:t>
      </w:r>
    </w:p>
    <w:p w14:paraId="1CB86956">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27</w:t>
      </w:r>
      <w:r>
        <w:rPr>
          <w:rFonts w:hint="eastAsia" w:ascii="Times New Roman" w:hAnsi="Times New Roman" w:eastAsia="仿宋_GB2312"/>
          <w:b/>
          <w:bCs/>
          <w:color w:val="000000"/>
          <w:sz w:val="32"/>
          <w:szCs w:val="24"/>
          <w:highlight w:val="none"/>
          <w:u w:val="none" w:color="auto"/>
        </w:rPr>
        <w:t>.深化教育督导改革。</w:t>
      </w:r>
      <w:r>
        <w:rPr>
          <w:rFonts w:hint="eastAsia" w:ascii="Times New Roman" w:hAnsi="Times New Roman" w:eastAsia="仿宋_GB2312"/>
          <w:color w:val="000000"/>
          <w:sz w:val="32"/>
          <w:szCs w:val="24"/>
          <w:highlight w:val="none"/>
          <w:u w:val="none" w:color="auto"/>
        </w:rPr>
        <w:t>完善督政、督学、评估监测教育督导体系，健全教育督导管理体制和运行、问责、保障机制，提升教育督导专业化水平。加强和改进政府履行教育职责评价工作。</w:t>
      </w:r>
      <w:r>
        <w:rPr>
          <w:rFonts w:hint="eastAsia" w:ascii="Times New Roman" w:hAnsi="Times New Roman" w:eastAsia="仿宋_GB2312"/>
          <w:color w:val="000000"/>
          <w:sz w:val="32"/>
          <w:szCs w:val="24"/>
          <w:highlight w:val="none"/>
          <w:u w:val="none" w:color="auto"/>
          <w:lang w:eastAsia="zh-CN"/>
        </w:rPr>
        <w:t>加快推进</w:t>
      </w:r>
      <w:r>
        <w:rPr>
          <w:rFonts w:hint="eastAsia" w:ascii="Times New Roman" w:hAnsi="Times New Roman" w:eastAsia="仿宋_GB2312"/>
          <w:color w:val="000000"/>
          <w:sz w:val="32"/>
          <w:szCs w:val="24"/>
          <w:highlight w:val="none"/>
          <w:u w:val="none" w:color="auto"/>
          <w:lang w:val="en-US" w:eastAsia="zh-CN"/>
        </w:rPr>
        <w:t>国家</w:t>
      </w:r>
      <w:r>
        <w:rPr>
          <w:rFonts w:hint="eastAsia" w:ascii="Times New Roman" w:hAnsi="Times New Roman" w:eastAsia="仿宋_GB2312"/>
          <w:color w:val="000000"/>
          <w:sz w:val="32"/>
          <w:szCs w:val="24"/>
          <w:highlight w:val="none"/>
          <w:u w:val="none" w:color="auto"/>
        </w:rPr>
        <w:t>学前教育普及普惠县</w:t>
      </w:r>
      <w:r>
        <w:rPr>
          <w:rFonts w:hint="eastAsia" w:ascii="Times New Roman" w:hAnsi="Times New Roman" w:eastAsia="仿宋_GB2312"/>
          <w:color w:val="000000"/>
          <w:sz w:val="32"/>
          <w:szCs w:val="24"/>
          <w:highlight w:val="none"/>
          <w:u w:val="none" w:color="auto"/>
          <w:lang w:eastAsia="zh-CN"/>
        </w:rPr>
        <w:t>和</w:t>
      </w:r>
      <w:r>
        <w:rPr>
          <w:rFonts w:hint="eastAsia" w:ascii="Times New Roman" w:hAnsi="Times New Roman" w:eastAsia="仿宋_GB2312"/>
          <w:color w:val="000000"/>
          <w:sz w:val="32"/>
          <w:szCs w:val="24"/>
          <w:highlight w:val="none"/>
          <w:u w:val="none" w:color="auto"/>
          <w:lang w:val="en-US" w:eastAsia="zh-CN"/>
        </w:rPr>
        <w:t>国家</w:t>
      </w:r>
      <w:r>
        <w:rPr>
          <w:rFonts w:hint="eastAsia" w:ascii="Times New Roman" w:hAnsi="Times New Roman" w:eastAsia="仿宋_GB2312"/>
          <w:color w:val="000000"/>
          <w:sz w:val="32"/>
          <w:szCs w:val="24"/>
          <w:highlight w:val="none"/>
          <w:u w:val="none" w:color="auto"/>
        </w:rPr>
        <w:t>义务教育优质均衡发展县</w:t>
      </w:r>
      <w:r>
        <w:rPr>
          <w:rFonts w:hint="eastAsia" w:ascii="Times New Roman" w:hAnsi="Times New Roman" w:eastAsia="仿宋_GB2312"/>
          <w:color w:val="000000"/>
          <w:sz w:val="32"/>
          <w:szCs w:val="24"/>
          <w:highlight w:val="none"/>
          <w:u w:val="none" w:color="auto"/>
          <w:lang w:eastAsia="zh-CN"/>
        </w:rPr>
        <w:t>建设工作</w:t>
      </w:r>
      <w:r>
        <w:rPr>
          <w:rFonts w:hint="eastAsia" w:ascii="Times New Roman" w:hAnsi="Times New Roman" w:eastAsia="仿宋_GB2312"/>
          <w:color w:val="000000"/>
          <w:sz w:val="32"/>
          <w:szCs w:val="24"/>
          <w:highlight w:val="none"/>
          <w:u w:val="none" w:color="auto"/>
        </w:rPr>
        <w:t>。探索建立各级教育督导机构通过政府购买服务方式，委托第三方评估监测机构和社会组织开展教育评估监测的工作机制。加强教育督导队伍建设，配齐配强市县级政府督学、</w:t>
      </w:r>
      <w:r>
        <w:rPr>
          <w:rFonts w:hint="eastAsia" w:ascii="Times New Roman" w:hAnsi="Times New Roman" w:eastAsia="仿宋_GB2312"/>
          <w:color w:val="000000"/>
          <w:sz w:val="32"/>
          <w:szCs w:val="24"/>
          <w:highlight w:val="none"/>
          <w:u w:val="none" w:color="auto"/>
          <w:lang w:eastAsia="zh-CN"/>
        </w:rPr>
        <w:t>中小学幼儿园</w:t>
      </w:r>
      <w:r>
        <w:rPr>
          <w:rFonts w:hint="eastAsia" w:ascii="Times New Roman" w:hAnsi="Times New Roman" w:eastAsia="仿宋_GB2312"/>
          <w:color w:val="000000"/>
          <w:sz w:val="32"/>
          <w:szCs w:val="24"/>
          <w:highlight w:val="none"/>
          <w:u w:val="none" w:color="auto"/>
        </w:rPr>
        <w:t>挂牌责任督学。</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18F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5DCE85A0">
            <w:pPr>
              <w:pageBreakBefore w:val="0"/>
              <w:widowControl/>
              <w:kinsoku/>
              <w:wordWrap/>
              <w:overflowPunct/>
              <w:autoSpaceDN/>
              <w:bidi w:val="0"/>
              <w:spacing w:line="560" w:lineRule="exact"/>
              <w:ind w:firstLine="0" w:firstLineChars="0"/>
              <w:jc w:val="center"/>
              <w:textAlignment w:val="auto"/>
              <w:rPr>
                <w:rFonts w:hint="eastAsia" w:ascii="仿宋_GB2312" w:hAnsi="仿宋_GB2312" w:eastAsia="仿宋_GB2312" w:cs="仿宋_GB2312"/>
                <w:color w:val="000000"/>
                <w:sz w:val="28"/>
                <w:szCs w:val="28"/>
                <w:highlight w:val="none"/>
                <w:u w:val="none"/>
                <w:lang w:val="en-US" w:eastAsia="zh-CN" w:bidi="ar"/>
              </w:rPr>
            </w:pPr>
            <w:r>
              <w:rPr>
                <w:rFonts w:hint="eastAsia" w:ascii="仿宋_GB2312" w:hAnsi="仿宋_GB2312" w:eastAsia="仿宋_GB2312" w:cs="仿宋_GB2312"/>
                <w:b/>
                <w:bCs/>
                <w:color w:val="000000"/>
                <w:sz w:val="28"/>
                <w:szCs w:val="28"/>
                <w:highlight w:val="none"/>
                <w:u w:val="none"/>
                <w:lang w:val="en-US" w:eastAsia="zh-CN" w:bidi="ar"/>
              </w:rPr>
              <w:t>专栏5：</w:t>
            </w:r>
            <w:r>
              <w:rPr>
                <w:rFonts w:hint="eastAsia" w:ascii="仿宋_GB2312" w:hAnsi="仿宋_GB2312" w:eastAsia="仿宋_GB2312" w:cs="仿宋_GB2312"/>
                <w:b/>
                <w:bCs/>
                <w:color w:val="000000"/>
                <w:sz w:val="28"/>
                <w:szCs w:val="28"/>
                <w:highlight w:val="none"/>
                <w:u w:val="none"/>
                <w:lang w:eastAsia="zh-CN" w:bidi="ar"/>
              </w:rPr>
              <w:t>“两项督导”攻坚行动</w:t>
            </w:r>
          </w:p>
        </w:tc>
      </w:tr>
      <w:tr w14:paraId="04AB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exact"/>
          <w:jc w:val="center"/>
        </w:trPr>
        <w:tc>
          <w:tcPr>
            <w:tcW w:w="8522" w:type="dxa"/>
            <w:noWrap w:val="0"/>
            <w:vAlign w:val="center"/>
          </w:tcPr>
          <w:p w14:paraId="1FCFE1B2">
            <w:pPr>
              <w:pageBreakBefore w:val="0"/>
              <w:widowControl/>
              <w:kinsoku/>
              <w:wordWrap/>
              <w:overflowPunct/>
              <w:autoSpaceDN/>
              <w:bidi w:val="0"/>
              <w:spacing w:line="440" w:lineRule="exact"/>
              <w:ind w:firstLine="560" w:firstLineChars="200"/>
              <w:textAlignment w:val="auto"/>
              <w:rPr>
                <w:rFonts w:hint="eastAsia" w:ascii="仿宋_GB2312" w:hAnsi="仿宋_GB2312" w:eastAsia="仿宋_GB2312" w:cs="仿宋_GB2312"/>
                <w:color w:val="000000"/>
                <w:sz w:val="28"/>
                <w:szCs w:val="28"/>
                <w:highlight w:val="none"/>
                <w:u w:val="none"/>
                <w:lang w:val="en-US" w:eastAsia="zh-CN" w:bidi="ar"/>
              </w:rPr>
            </w:pPr>
            <w:r>
              <w:rPr>
                <w:rFonts w:hint="eastAsia" w:ascii="仿宋_GB2312" w:hAnsi="仿宋_GB2312" w:eastAsia="仿宋_GB2312" w:cs="仿宋_GB2312"/>
                <w:color w:val="000000"/>
                <w:sz w:val="28"/>
                <w:szCs w:val="28"/>
                <w:highlight w:val="none"/>
                <w:u w:val="none"/>
                <w:lang w:val="en-US" w:eastAsia="zh-CN" w:bidi="ar"/>
              </w:rPr>
              <w:t>全域推进“两项督导”行动，推动各县（市、区）到2027年全面完成国家义务教育优质均衡发展县建设，2029年全面完成国家学前教育普及普惠县建设。其中，新兴2026年，云城、云安、罗定、郁南2027年前力争建设义务教育优质均衡发展县（市、区）；新兴2026年，云安、郁南2027年，云城、罗定2029年前力争完成建设学前教育普及普惠县（市、区）。</w:t>
            </w:r>
          </w:p>
        </w:tc>
      </w:tr>
    </w:tbl>
    <w:p w14:paraId="690FA69A">
      <w:pPr>
        <w:pStyle w:val="8"/>
        <w:keepNext w:val="0"/>
        <w:keepLines w:val="0"/>
        <w:pageBreakBefore w:val="0"/>
        <w:widowControl w:val="0"/>
        <w:kinsoku/>
        <w:wordWrap/>
        <w:overflowPunct/>
        <w:topLinePunct w:val="0"/>
        <w:autoSpaceDE/>
        <w:autoSpaceDN/>
        <w:bidi w:val="0"/>
        <w:snapToGrid/>
        <w:spacing w:line="240" w:lineRule="auto"/>
        <w:ind w:firstLine="640" w:firstLineChars="200"/>
        <w:textAlignment w:val="auto"/>
        <w:rPr>
          <w:rFonts w:hint="eastAsia" w:ascii="楷体_GB2312" w:hAnsi="楷体_GB2312" w:eastAsia="楷体_GB2312" w:cs="楷体_GB2312"/>
          <w:color w:val="000000"/>
          <w:sz w:val="32"/>
          <w:szCs w:val="24"/>
          <w:highlight w:val="none"/>
          <w:u w:val="none" w:color="auto"/>
          <w:lang w:eastAsia="zh-CN"/>
        </w:rPr>
      </w:pPr>
      <w:r>
        <w:rPr>
          <w:rFonts w:hint="eastAsia" w:ascii="楷体_GB2312" w:hAnsi="楷体_GB2312" w:eastAsia="楷体_GB2312" w:cs="楷体_GB2312"/>
          <w:color w:val="000000"/>
          <w:sz w:val="32"/>
          <w:szCs w:val="24"/>
          <w:highlight w:val="none"/>
          <w:u w:val="none" w:color="auto"/>
          <w:lang w:eastAsia="zh-CN"/>
        </w:rPr>
        <w:t>（八）</w:t>
      </w:r>
      <w:r>
        <w:rPr>
          <w:rFonts w:hint="eastAsia" w:ascii="楷体_GB2312" w:hAnsi="楷体_GB2312" w:eastAsia="楷体_GB2312" w:cs="楷体_GB2312"/>
          <w:color w:val="000000"/>
          <w:sz w:val="32"/>
          <w:szCs w:val="24"/>
          <w:highlight w:val="none"/>
          <w:u w:val="none" w:color="auto"/>
        </w:rPr>
        <w:t>筑牢安全防线，打造高水平平安校园</w:t>
      </w:r>
      <w:r>
        <w:rPr>
          <w:rFonts w:hint="eastAsia" w:ascii="楷体_GB2312" w:hAnsi="楷体_GB2312" w:eastAsia="楷体_GB2312" w:cs="楷体_GB2312"/>
          <w:color w:val="000000"/>
          <w:sz w:val="32"/>
          <w:szCs w:val="24"/>
          <w:highlight w:val="none"/>
          <w:u w:val="none" w:color="auto"/>
          <w:lang w:eastAsia="zh-CN"/>
        </w:rPr>
        <w:t>。</w:t>
      </w:r>
    </w:p>
    <w:p w14:paraId="02BBDDFD">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28.</w:t>
      </w:r>
      <w:r>
        <w:rPr>
          <w:rFonts w:hint="eastAsia" w:ascii="Times New Roman" w:hAnsi="Times New Roman" w:eastAsia="仿宋_GB2312"/>
          <w:b/>
          <w:bCs/>
          <w:color w:val="000000"/>
          <w:sz w:val="32"/>
          <w:szCs w:val="24"/>
          <w:highlight w:val="none"/>
          <w:u w:val="none" w:color="auto"/>
        </w:rPr>
        <w:t>加强青少年法治和安全教育。</w:t>
      </w:r>
      <w:r>
        <w:rPr>
          <w:rFonts w:hint="eastAsia" w:ascii="Times New Roman" w:hAnsi="Times New Roman" w:eastAsia="仿宋_GB2312"/>
          <w:color w:val="000000"/>
          <w:sz w:val="32"/>
          <w:szCs w:val="24"/>
          <w:highlight w:val="none"/>
          <w:u w:val="none" w:color="auto"/>
        </w:rPr>
        <w:t>把习近平法治思想融入学校教育，建立法律学习机制，增强青少年的法治意识和法治素养。完善法治副校长聘任和评价考核制度，健全青少年参与法治实践机制，推进青少年法治教育实践基地建设。着力抓好有不良行为学生的教育转化工作，加强专门学校建设和专门教育工作</w:t>
      </w:r>
      <w:r>
        <w:rPr>
          <w:rFonts w:hint="eastAsia" w:ascii="Times New Roman" w:hAnsi="Times New Roman" w:eastAsia="仿宋_GB2312"/>
          <w:color w:val="000000"/>
          <w:sz w:val="32"/>
          <w:szCs w:val="24"/>
          <w:highlight w:val="none"/>
          <w:u w:val="none" w:color="auto"/>
          <w:lang w:eastAsia="zh-CN"/>
        </w:rPr>
        <w:t>，</w:t>
      </w:r>
      <w:r>
        <w:rPr>
          <w:rFonts w:hint="eastAsia" w:ascii="Times New Roman" w:hAnsi="Times New Roman" w:eastAsia="仿宋_GB2312"/>
          <w:color w:val="000000"/>
          <w:sz w:val="32"/>
          <w:szCs w:val="24"/>
          <w:highlight w:val="none"/>
          <w:u w:val="none" w:color="auto"/>
        </w:rPr>
        <w:t>加强对不良行为未成年人的干预矫治。推动国防教育特色学校建设，完善学生军训工作，提升国防意识和军事素养。全面推行“1530”安全教育模式，实现安全宣传教育制度化、常态化。加强学生防溺水、交通安全、校车安全、消防安全、食品安全、预防学生欺凌和校园暴力、预防电信诈骗、预防性侵害学生和禁毒等各项安全宣传教育工作，全面提升学生安全防范意识。</w:t>
      </w:r>
    </w:p>
    <w:p w14:paraId="73731769">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29</w:t>
      </w:r>
      <w:r>
        <w:rPr>
          <w:rFonts w:hint="eastAsia" w:ascii="Times New Roman" w:hAnsi="Times New Roman" w:eastAsia="仿宋_GB2312"/>
          <w:b/>
          <w:bCs/>
          <w:color w:val="000000"/>
          <w:sz w:val="32"/>
          <w:szCs w:val="24"/>
          <w:highlight w:val="none"/>
          <w:u w:val="none" w:color="auto"/>
        </w:rPr>
        <w:t>.强化学生心理健康教育。</w:t>
      </w:r>
      <w:r>
        <w:rPr>
          <w:rFonts w:hint="eastAsia" w:ascii="Times New Roman" w:hAnsi="Times New Roman" w:eastAsia="仿宋_GB2312"/>
          <w:color w:val="000000"/>
          <w:sz w:val="32"/>
          <w:szCs w:val="24"/>
          <w:highlight w:val="none"/>
          <w:u w:val="none" w:color="auto"/>
        </w:rPr>
        <w:t>完善中小学心理辅导室建设，提高教师心理健康教育能力和水平，落实心理健康教育课程设置，丰富教学内容与形式，每学期开展开学心理赋能活动，持续完善学生心理危机预防预警干预工作体系，深化家校社医协同合作，构建全方位、多层次的心理健康教育网络，共同守护学生心理健康。</w:t>
      </w:r>
    </w:p>
    <w:p w14:paraId="60D7D712">
      <w:pPr>
        <w:pStyle w:val="8"/>
        <w:keepNext w:val="0"/>
        <w:keepLines w:val="0"/>
        <w:pageBreakBefore w:val="0"/>
        <w:widowControl w:val="0"/>
        <w:kinsoku/>
        <w:wordWrap/>
        <w:overflowPunct/>
        <w:topLinePunct w:val="0"/>
        <w:autoSpaceDE/>
        <w:autoSpaceDN/>
        <w:bidi w:val="0"/>
        <w:snapToGrid/>
        <w:spacing w:line="240" w:lineRule="auto"/>
        <w:ind w:firstLine="643" w:firstLineChars="200"/>
        <w:textAlignment w:val="auto"/>
        <w:rPr>
          <w:rFonts w:hint="eastAsia" w:ascii="Times New Roman" w:hAnsi="Times New Roman" w:eastAsia="仿宋_GB2312"/>
          <w:color w:val="000000"/>
          <w:sz w:val="32"/>
          <w:szCs w:val="24"/>
          <w:highlight w:val="none"/>
          <w:u w:val="none" w:color="auto"/>
        </w:rPr>
      </w:pPr>
      <w:r>
        <w:rPr>
          <w:rFonts w:hint="eastAsia" w:ascii="Times New Roman" w:hAnsi="Times New Roman" w:eastAsia="仿宋_GB2312"/>
          <w:b/>
          <w:bCs/>
          <w:color w:val="000000"/>
          <w:sz w:val="32"/>
          <w:szCs w:val="24"/>
          <w:highlight w:val="none"/>
          <w:u w:val="none" w:color="auto"/>
          <w:lang w:val="en-US" w:eastAsia="zh-CN"/>
        </w:rPr>
        <w:t>30.</w:t>
      </w:r>
      <w:r>
        <w:rPr>
          <w:rFonts w:hint="eastAsia" w:ascii="Times New Roman" w:hAnsi="Times New Roman" w:eastAsia="仿宋_GB2312"/>
          <w:b/>
          <w:bCs/>
          <w:color w:val="000000"/>
          <w:sz w:val="32"/>
          <w:szCs w:val="24"/>
          <w:highlight w:val="none"/>
          <w:u w:val="none" w:color="auto"/>
        </w:rPr>
        <w:t>加强学校卫生与健康教育。</w:t>
      </w:r>
      <w:r>
        <w:rPr>
          <w:rFonts w:hint="eastAsia" w:ascii="Times New Roman" w:hAnsi="Times New Roman" w:eastAsia="仿宋_GB2312"/>
          <w:color w:val="000000"/>
          <w:sz w:val="32"/>
          <w:szCs w:val="24"/>
          <w:highlight w:val="none"/>
          <w:u w:val="none" w:color="auto"/>
        </w:rPr>
        <w:t>全面推动健康学校建设，完善健康学校建设工作体系。深入开展校园爱国卫生运动，加强学校卫生环境建设</w:t>
      </w:r>
      <w:r>
        <w:rPr>
          <w:rFonts w:hint="eastAsia" w:ascii="Times New Roman" w:hAnsi="Times New Roman" w:eastAsia="仿宋_GB2312"/>
          <w:color w:val="000000"/>
          <w:sz w:val="32"/>
          <w:szCs w:val="24"/>
          <w:highlight w:val="none"/>
          <w:u w:val="none" w:color="auto"/>
          <w:lang w:eastAsia="zh-CN"/>
        </w:rPr>
        <w:t>。</w:t>
      </w:r>
      <w:r>
        <w:rPr>
          <w:rFonts w:hint="eastAsia" w:ascii="Times New Roman" w:hAnsi="Times New Roman" w:eastAsia="仿宋_GB2312"/>
          <w:color w:val="000000"/>
          <w:sz w:val="32"/>
          <w:szCs w:val="24"/>
          <w:highlight w:val="none"/>
          <w:u w:val="none" w:color="auto"/>
        </w:rPr>
        <w:t>加强儿童青少年近视防控工作。加强学校健康监测和疾病预警能力，严格落实校园传染病防控措施。强化学校健康服务和卫生保障设施，实施学生营养改善计划，减少肥胖、脊柱侧弯等学生常见病。加强学校急救教育，推动急救设施设备配备全覆盖。</w:t>
      </w:r>
    </w:p>
    <w:p w14:paraId="10927B63">
      <w:pPr>
        <w:pStyle w:val="8"/>
        <w:keepNext w:val="0"/>
        <w:keepLines w:val="0"/>
        <w:pageBreakBefore w:val="0"/>
        <w:widowControl w:val="0"/>
        <w:kinsoku/>
        <w:wordWrap/>
        <w:overflowPunct/>
        <w:topLinePunct w:val="0"/>
        <w:autoSpaceDE/>
        <w:autoSpaceDN/>
        <w:bidi w:val="0"/>
        <w:snapToGrid/>
        <w:spacing w:line="240" w:lineRule="auto"/>
        <w:ind w:firstLine="640" w:firstLineChars="200"/>
        <w:textAlignment w:val="auto"/>
        <w:rPr>
          <w:rFonts w:hint="eastAsia" w:ascii="黑体" w:hAnsi="黑体" w:eastAsia="黑体" w:cs="黑体"/>
          <w:color w:val="000000"/>
          <w:sz w:val="32"/>
          <w:szCs w:val="24"/>
          <w:highlight w:val="none"/>
          <w:u w:val="none" w:color="auto"/>
          <w:lang w:eastAsia="zh-CN"/>
        </w:rPr>
      </w:pPr>
      <w:r>
        <w:rPr>
          <w:rFonts w:hint="eastAsia" w:ascii="黑体" w:hAnsi="黑体" w:eastAsia="黑体" w:cs="黑体"/>
          <w:color w:val="000000"/>
          <w:sz w:val="32"/>
          <w:szCs w:val="24"/>
          <w:highlight w:val="none"/>
          <w:u w:val="none" w:color="auto"/>
          <w:lang w:eastAsia="zh-CN"/>
        </w:rPr>
        <w:t>三、保障措施</w:t>
      </w:r>
    </w:p>
    <w:p w14:paraId="02079911">
      <w:pPr>
        <w:pStyle w:val="8"/>
        <w:keepNext w:val="0"/>
        <w:keepLines w:val="0"/>
        <w:pageBreakBefore w:val="0"/>
        <w:widowControl w:val="0"/>
        <w:kinsoku/>
        <w:wordWrap/>
        <w:overflowPunct/>
        <w:topLinePunct w:val="0"/>
        <w:autoSpaceDE/>
        <w:autoSpaceDN/>
        <w:bidi w:val="0"/>
        <w:snapToGrid/>
        <w:spacing w:line="240" w:lineRule="auto"/>
        <w:ind w:firstLine="640" w:firstLineChars="200"/>
        <w:textAlignment w:val="auto"/>
        <w:rPr>
          <w:rFonts w:hint="eastAsia" w:ascii="Times New Roman" w:hAnsi="Times New Roman" w:eastAsia="仿宋_GB2312"/>
          <w:color w:val="000000"/>
          <w:sz w:val="32"/>
          <w:szCs w:val="24"/>
          <w:highlight w:val="none"/>
          <w:u w:val="none" w:color="auto"/>
          <w:lang w:eastAsia="zh-CN"/>
        </w:rPr>
      </w:pPr>
      <w:r>
        <w:rPr>
          <w:rFonts w:hint="eastAsia" w:ascii="楷体_GB2312" w:hAnsi="楷体_GB2312" w:eastAsia="楷体_GB2312" w:cs="楷体_GB2312"/>
          <w:color w:val="000000"/>
          <w:sz w:val="32"/>
          <w:szCs w:val="24"/>
          <w:highlight w:val="none"/>
          <w:u w:val="none" w:color="auto"/>
          <w:lang w:eastAsia="zh-CN"/>
        </w:rPr>
        <w:t>（一）</w:t>
      </w:r>
      <w:r>
        <w:rPr>
          <w:rFonts w:hint="eastAsia" w:ascii="楷体_GB2312" w:hAnsi="楷体_GB2312" w:eastAsia="楷体_GB2312" w:cs="楷体_GB2312"/>
          <w:color w:val="000000"/>
          <w:sz w:val="32"/>
          <w:szCs w:val="24"/>
          <w:highlight w:val="none"/>
          <w:u w:val="none" w:color="auto"/>
        </w:rPr>
        <w:t>加强</w:t>
      </w:r>
      <w:r>
        <w:rPr>
          <w:rFonts w:hint="eastAsia" w:ascii="楷体_GB2312" w:hAnsi="楷体_GB2312" w:eastAsia="楷体_GB2312" w:cs="楷体_GB2312"/>
          <w:color w:val="000000"/>
          <w:sz w:val="32"/>
          <w:szCs w:val="24"/>
          <w:highlight w:val="none"/>
          <w:u w:val="none" w:color="auto"/>
          <w:lang w:eastAsia="zh-CN"/>
        </w:rPr>
        <w:t>组织保障。</w:t>
      </w:r>
      <w:r>
        <w:rPr>
          <w:rFonts w:hint="eastAsia" w:ascii="Times New Roman" w:hAnsi="Times New Roman" w:eastAsia="仿宋_GB2312"/>
          <w:color w:val="000000"/>
          <w:sz w:val="32"/>
          <w:szCs w:val="24"/>
          <w:highlight w:val="none"/>
          <w:u w:val="none" w:color="auto"/>
        </w:rPr>
        <w:t>落实各级党委发展教育的领导责任和各级政府发展教育的主体责任，把教育改革发展纳入各级党委、政府议事日程。</w:t>
      </w:r>
      <w:r>
        <w:rPr>
          <w:rFonts w:hint="eastAsia" w:ascii="Times New Roman" w:hAnsi="Times New Roman" w:eastAsia="仿宋_GB2312"/>
          <w:color w:val="000000"/>
          <w:sz w:val="32"/>
          <w:szCs w:val="24"/>
          <w:highlight w:val="none"/>
          <w:u w:val="none" w:color="auto"/>
          <w:lang w:eastAsia="zh-CN"/>
        </w:rPr>
        <w:t>充分发挥各级党委教育工作领导小组作用，完善党对教育工作全面领导的体制机制，协调解决规划实施过程中遇到的重大问题。</w:t>
      </w:r>
      <w:r>
        <w:rPr>
          <w:rFonts w:hint="eastAsia" w:ascii="Times New Roman" w:hAnsi="Times New Roman" w:eastAsia="仿宋_GB2312"/>
          <w:color w:val="000000"/>
          <w:sz w:val="32"/>
          <w:szCs w:val="24"/>
          <w:highlight w:val="none"/>
          <w:u w:val="none" w:color="auto"/>
        </w:rPr>
        <w:t>加强</w:t>
      </w:r>
      <w:r>
        <w:rPr>
          <w:rFonts w:hint="eastAsia" w:ascii="Times New Roman" w:hAnsi="Times New Roman" w:eastAsia="仿宋_GB2312"/>
          <w:color w:val="000000"/>
          <w:sz w:val="32"/>
          <w:szCs w:val="24"/>
          <w:highlight w:val="none"/>
          <w:u w:val="none" w:color="auto"/>
          <w:lang w:eastAsia="zh-CN"/>
        </w:rPr>
        <w:t>各</w:t>
      </w:r>
      <w:r>
        <w:rPr>
          <w:rFonts w:hint="eastAsia" w:ascii="Times New Roman" w:hAnsi="Times New Roman" w:eastAsia="仿宋_GB2312"/>
          <w:color w:val="000000"/>
          <w:sz w:val="32"/>
          <w:szCs w:val="24"/>
          <w:highlight w:val="none"/>
          <w:u w:val="none" w:color="auto"/>
        </w:rPr>
        <w:t>部门、市</w:t>
      </w:r>
      <w:r>
        <w:rPr>
          <w:rFonts w:hint="eastAsia" w:ascii="Times New Roman" w:hAnsi="Times New Roman" w:eastAsia="仿宋_GB2312"/>
          <w:color w:val="000000"/>
          <w:sz w:val="32"/>
          <w:szCs w:val="24"/>
          <w:highlight w:val="none"/>
          <w:u w:val="none" w:color="auto"/>
          <w:lang w:eastAsia="zh-CN"/>
        </w:rPr>
        <w:t>县两级</w:t>
      </w:r>
      <w:r>
        <w:rPr>
          <w:rFonts w:hint="eastAsia" w:ascii="Times New Roman" w:hAnsi="Times New Roman" w:eastAsia="仿宋_GB2312"/>
          <w:color w:val="000000"/>
          <w:sz w:val="32"/>
          <w:szCs w:val="24"/>
          <w:highlight w:val="none"/>
          <w:u w:val="none" w:color="auto"/>
        </w:rPr>
        <w:t>政策衔接和统筹协调，形成协同推进、各级各类教育协调发展的工作局面，构建社会多方参与和支持教育发展的良好生态。</w:t>
      </w:r>
      <w:r>
        <w:rPr>
          <w:rFonts w:hint="eastAsia" w:ascii="Times New Roman" w:hAnsi="Times New Roman" w:eastAsia="仿宋_GB2312"/>
          <w:color w:val="000000"/>
          <w:sz w:val="32"/>
          <w:szCs w:val="24"/>
          <w:highlight w:val="none"/>
          <w:u w:val="none" w:color="auto"/>
          <w:lang w:eastAsia="zh-CN"/>
        </w:rPr>
        <w:t>推进中小学校党组织领导的校长负责制改革，加强基层党组织建设。</w:t>
      </w:r>
    </w:p>
    <w:p w14:paraId="68F31454">
      <w:pPr>
        <w:pStyle w:val="8"/>
        <w:keepNext w:val="0"/>
        <w:keepLines w:val="0"/>
        <w:pageBreakBefore w:val="0"/>
        <w:widowControl w:val="0"/>
        <w:kinsoku/>
        <w:wordWrap/>
        <w:overflowPunct/>
        <w:topLinePunct w:val="0"/>
        <w:autoSpaceDE/>
        <w:autoSpaceDN/>
        <w:bidi w:val="0"/>
        <w:snapToGrid/>
        <w:spacing w:line="240" w:lineRule="auto"/>
        <w:ind w:firstLine="640" w:firstLineChars="200"/>
        <w:textAlignment w:val="auto"/>
        <w:rPr>
          <w:rFonts w:hint="eastAsia" w:ascii="Times New Roman" w:hAnsi="Times New Roman" w:eastAsia="仿宋_GB2312"/>
          <w:color w:val="000000"/>
          <w:sz w:val="32"/>
          <w:szCs w:val="24"/>
          <w:highlight w:val="none"/>
          <w:u w:val="none" w:color="auto"/>
        </w:rPr>
      </w:pPr>
      <w:r>
        <w:rPr>
          <w:rFonts w:hint="eastAsia" w:ascii="楷体_GB2312" w:hAnsi="楷体_GB2312" w:eastAsia="楷体_GB2312" w:cs="楷体_GB2312"/>
          <w:color w:val="000000"/>
          <w:sz w:val="32"/>
          <w:szCs w:val="24"/>
          <w:highlight w:val="none"/>
          <w:u w:val="none" w:color="auto"/>
          <w:lang w:eastAsia="zh-CN"/>
        </w:rPr>
        <w:t>（二）强化要素保障。</w:t>
      </w:r>
      <w:r>
        <w:rPr>
          <w:rFonts w:hint="eastAsia" w:ascii="Times New Roman" w:hAnsi="Times New Roman" w:eastAsia="仿宋_GB2312"/>
          <w:color w:val="000000"/>
          <w:sz w:val="32"/>
          <w:szCs w:val="24"/>
          <w:highlight w:val="none"/>
          <w:u w:val="none" w:color="auto"/>
        </w:rPr>
        <w:t>巩固完善以政府投入为主、多渠道筹集教育经费的体制</w:t>
      </w:r>
      <w:r>
        <w:rPr>
          <w:rFonts w:hint="eastAsia" w:ascii="Times New Roman" w:hAnsi="Times New Roman" w:eastAsia="仿宋_GB2312"/>
          <w:color w:val="000000"/>
          <w:sz w:val="32"/>
          <w:szCs w:val="24"/>
          <w:highlight w:val="none"/>
          <w:u w:val="none" w:color="auto"/>
          <w:lang w:eastAsia="zh-CN"/>
        </w:rPr>
        <w:t>，建立健全适应人口结构变化的教育资源配置机制。优化教育经费投入结构，压实各级教育财政支出责任，</w:t>
      </w:r>
      <w:r>
        <w:rPr>
          <w:rFonts w:hint="eastAsia" w:ascii="Times New Roman" w:hAnsi="Times New Roman" w:eastAsia="仿宋_GB2312"/>
          <w:color w:val="000000"/>
          <w:sz w:val="32"/>
          <w:szCs w:val="24"/>
          <w:highlight w:val="none"/>
          <w:u w:val="none" w:color="auto"/>
        </w:rPr>
        <w:t>健全保证财政教育投入持续稳定增长的长效机制，确保财政一般公共预算教育支出逐年只增不减，确保按在校学生人数平均的一般公共预算教育支出逐年只增不减。</w:t>
      </w:r>
      <w:r>
        <w:rPr>
          <w:rFonts w:hint="eastAsia" w:ascii="Times New Roman" w:hAnsi="Times New Roman" w:eastAsia="仿宋_GB2312"/>
          <w:color w:val="000000"/>
          <w:sz w:val="32"/>
          <w:szCs w:val="24"/>
          <w:highlight w:val="none"/>
          <w:u w:val="none" w:color="auto"/>
          <w:lang w:eastAsia="zh-CN"/>
        </w:rPr>
        <w:t>完善教育</w:t>
      </w:r>
      <w:r>
        <w:rPr>
          <w:rFonts w:hint="eastAsia" w:ascii="Times New Roman" w:hAnsi="Times New Roman" w:eastAsia="仿宋_GB2312"/>
          <w:color w:val="000000"/>
          <w:sz w:val="32"/>
          <w:szCs w:val="24"/>
          <w:highlight w:val="none"/>
          <w:u w:val="none" w:color="auto"/>
        </w:rPr>
        <w:t>经费</w:t>
      </w:r>
      <w:r>
        <w:rPr>
          <w:rFonts w:hint="eastAsia" w:ascii="Times New Roman" w:hAnsi="Times New Roman" w:eastAsia="仿宋_GB2312"/>
          <w:color w:val="000000"/>
          <w:sz w:val="32"/>
          <w:szCs w:val="24"/>
          <w:highlight w:val="none"/>
          <w:u w:val="none" w:color="auto"/>
          <w:lang w:eastAsia="zh-CN"/>
        </w:rPr>
        <w:t>合理分配制度，保障资金更多</w:t>
      </w:r>
      <w:r>
        <w:rPr>
          <w:rFonts w:hint="eastAsia" w:ascii="Times New Roman" w:hAnsi="Times New Roman" w:eastAsia="仿宋_GB2312"/>
          <w:color w:val="000000"/>
          <w:sz w:val="32"/>
          <w:szCs w:val="24"/>
          <w:highlight w:val="none"/>
          <w:u w:val="none" w:color="auto"/>
        </w:rPr>
        <w:t>投入薄弱环节和重点领域，加大对</w:t>
      </w:r>
      <w:r>
        <w:rPr>
          <w:rFonts w:hint="eastAsia" w:ascii="Times New Roman" w:hAnsi="Times New Roman" w:eastAsia="仿宋_GB2312"/>
          <w:color w:val="000000"/>
          <w:sz w:val="32"/>
          <w:szCs w:val="24"/>
          <w:highlight w:val="none"/>
          <w:u w:val="none" w:color="auto"/>
          <w:lang w:eastAsia="zh-CN"/>
        </w:rPr>
        <w:t>高中阶段</w:t>
      </w:r>
      <w:r>
        <w:rPr>
          <w:rFonts w:hint="eastAsia" w:ascii="Times New Roman" w:hAnsi="Times New Roman" w:eastAsia="仿宋_GB2312"/>
          <w:color w:val="000000"/>
          <w:sz w:val="32"/>
          <w:szCs w:val="24"/>
          <w:highlight w:val="none"/>
          <w:u w:val="none" w:color="auto"/>
        </w:rPr>
        <w:t>教育、教师队伍建设和教育信息化的财政投入。逐步提高各学段生均财政拨款水平。强化财政教育经费监督管理，完善教育重大投入政策的评估咨询机制。</w:t>
      </w:r>
    </w:p>
    <w:p w14:paraId="5962E135">
      <w:pPr>
        <w:pStyle w:val="8"/>
        <w:keepNext w:val="0"/>
        <w:keepLines w:val="0"/>
        <w:pageBreakBefore w:val="0"/>
        <w:widowControl w:val="0"/>
        <w:kinsoku/>
        <w:wordWrap/>
        <w:overflowPunct/>
        <w:topLinePunct w:val="0"/>
        <w:autoSpaceDE/>
        <w:autoSpaceDN/>
        <w:bidi w:val="0"/>
        <w:snapToGrid/>
        <w:spacing w:line="240" w:lineRule="auto"/>
        <w:ind w:firstLine="640" w:firstLineChars="200"/>
        <w:textAlignment w:val="auto"/>
        <w:rPr>
          <w:rFonts w:hint="eastAsia"/>
          <w:highlight w:val="none"/>
          <w:u w:val="none" w:color="auto"/>
        </w:rPr>
      </w:pPr>
      <w:r>
        <w:rPr>
          <w:rFonts w:hint="eastAsia" w:ascii="楷体_GB2312" w:hAnsi="楷体_GB2312" w:eastAsia="楷体_GB2312" w:cs="楷体_GB2312"/>
          <w:color w:val="000000"/>
          <w:sz w:val="32"/>
          <w:szCs w:val="24"/>
          <w:highlight w:val="none"/>
          <w:u w:val="none" w:color="auto"/>
          <w:lang w:eastAsia="zh-CN"/>
        </w:rPr>
        <w:t>（三）推进规划落实。</w:t>
      </w:r>
      <w:r>
        <w:rPr>
          <w:rFonts w:hint="eastAsia" w:ascii="Times New Roman" w:hAnsi="Times New Roman" w:eastAsia="仿宋_GB2312"/>
          <w:color w:val="000000"/>
          <w:sz w:val="32"/>
          <w:szCs w:val="24"/>
          <w:highlight w:val="none"/>
          <w:u w:val="none" w:color="auto"/>
        </w:rPr>
        <w:t>各级党委、政府和有关单位要抓好规划的贯彻实施</w:t>
      </w:r>
      <w:r>
        <w:rPr>
          <w:rFonts w:hint="eastAsia" w:ascii="Times New Roman" w:hAnsi="Times New Roman" w:eastAsia="仿宋_GB2312"/>
          <w:color w:val="000000"/>
          <w:sz w:val="32"/>
          <w:szCs w:val="24"/>
          <w:highlight w:val="none"/>
          <w:u w:val="none" w:color="auto"/>
          <w:lang w:eastAsia="zh-CN"/>
        </w:rPr>
        <w:t>，把</w:t>
      </w:r>
      <w:r>
        <w:rPr>
          <w:rFonts w:hint="eastAsia" w:ascii="Times New Roman" w:hAnsi="Times New Roman" w:eastAsia="仿宋_GB2312"/>
          <w:color w:val="000000"/>
          <w:sz w:val="32"/>
          <w:szCs w:val="24"/>
          <w:highlight w:val="none"/>
          <w:u w:val="none" w:color="auto"/>
        </w:rPr>
        <w:t>推进教育优先发展和高质量发展作为“十</w:t>
      </w:r>
      <w:r>
        <w:rPr>
          <w:rFonts w:hint="eastAsia" w:ascii="Times New Roman" w:hAnsi="Times New Roman" w:eastAsia="仿宋_GB2312"/>
          <w:color w:val="000000"/>
          <w:sz w:val="32"/>
          <w:szCs w:val="24"/>
          <w:highlight w:val="none"/>
          <w:u w:val="none" w:color="auto"/>
          <w:lang w:eastAsia="zh-CN"/>
        </w:rPr>
        <w:t>五</w:t>
      </w:r>
      <w:r>
        <w:rPr>
          <w:rFonts w:hint="eastAsia" w:ascii="Times New Roman" w:hAnsi="Times New Roman" w:eastAsia="仿宋_GB2312"/>
          <w:color w:val="000000"/>
          <w:sz w:val="32"/>
          <w:szCs w:val="24"/>
          <w:highlight w:val="none"/>
          <w:u w:val="none" w:color="auto"/>
        </w:rPr>
        <w:t>五”时期履行教育职责的</w:t>
      </w:r>
      <w:r>
        <w:rPr>
          <w:rFonts w:hint="eastAsia" w:ascii="Times New Roman" w:hAnsi="Times New Roman" w:eastAsia="仿宋_GB2312"/>
          <w:color w:val="000000"/>
          <w:sz w:val="32"/>
          <w:szCs w:val="24"/>
          <w:highlight w:val="none"/>
          <w:u w:val="none" w:color="auto"/>
          <w:lang w:eastAsia="zh-CN"/>
        </w:rPr>
        <w:t>重点</w:t>
      </w:r>
      <w:r>
        <w:rPr>
          <w:rFonts w:hint="eastAsia" w:ascii="Times New Roman" w:hAnsi="Times New Roman" w:eastAsia="仿宋_GB2312"/>
          <w:color w:val="000000"/>
          <w:sz w:val="32"/>
          <w:szCs w:val="24"/>
          <w:highlight w:val="none"/>
          <w:u w:val="none" w:color="auto"/>
        </w:rPr>
        <w:t>任务</w:t>
      </w:r>
      <w:r>
        <w:rPr>
          <w:rFonts w:hint="eastAsia" w:ascii="Times New Roman" w:hAnsi="Times New Roman" w:eastAsia="仿宋_GB2312"/>
          <w:color w:val="000000"/>
          <w:sz w:val="32"/>
          <w:szCs w:val="24"/>
          <w:highlight w:val="none"/>
          <w:u w:val="none" w:color="auto"/>
          <w:lang w:eastAsia="zh-CN"/>
        </w:rPr>
        <w:t>。</w:t>
      </w:r>
      <w:r>
        <w:rPr>
          <w:rFonts w:hint="eastAsia" w:ascii="Times New Roman" w:hAnsi="Times New Roman" w:eastAsia="仿宋_GB2312"/>
          <w:color w:val="000000"/>
          <w:sz w:val="32"/>
          <w:szCs w:val="24"/>
          <w:highlight w:val="none"/>
          <w:u w:val="none" w:color="auto"/>
        </w:rPr>
        <w:t>各级、各类学校要</w:t>
      </w:r>
      <w:r>
        <w:rPr>
          <w:rFonts w:hint="eastAsia" w:ascii="Times New Roman" w:hAnsi="Times New Roman" w:eastAsia="仿宋_GB2312"/>
          <w:color w:val="000000"/>
          <w:sz w:val="32"/>
          <w:szCs w:val="24"/>
          <w:highlight w:val="none"/>
          <w:u w:val="none" w:color="auto"/>
          <w:lang w:eastAsia="zh-CN"/>
        </w:rPr>
        <w:t>认真</w:t>
      </w:r>
      <w:r>
        <w:rPr>
          <w:rFonts w:hint="eastAsia" w:ascii="Times New Roman" w:hAnsi="Times New Roman" w:eastAsia="仿宋_GB2312"/>
          <w:color w:val="000000"/>
          <w:sz w:val="32"/>
          <w:szCs w:val="24"/>
          <w:highlight w:val="none"/>
          <w:u w:val="none" w:color="auto"/>
        </w:rPr>
        <w:t>贯彻落实本规划。健全规划落实责任分工和工作协同机制，</w:t>
      </w:r>
      <w:r>
        <w:rPr>
          <w:rFonts w:hint="eastAsia" w:ascii="Times New Roman" w:hAnsi="Times New Roman" w:eastAsia="仿宋_GB2312"/>
          <w:color w:val="000000"/>
          <w:sz w:val="32"/>
          <w:szCs w:val="24"/>
          <w:highlight w:val="none"/>
          <w:u w:val="none" w:color="auto"/>
          <w:lang w:eastAsia="zh-CN"/>
        </w:rPr>
        <w:t>开展</w:t>
      </w:r>
      <w:r>
        <w:rPr>
          <w:rFonts w:hint="eastAsia" w:ascii="Times New Roman" w:hAnsi="Times New Roman" w:eastAsia="仿宋_GB2312"/>
          <w:color w:val="000000"/>
          <w:sz w:val="32"/>
          <w:szCs w:val="24"/>
          <w:highlight w:val="none"/>
          <w:u w:val="none" w:color="auto"/>
        </w:rPr>
        <w:t>年度、期中、期末规划落实情况监测评估，及时调整优化策略办法。建立</w:t>
      </w:r>
      <w:r>
        <w:rPr>
          <w:rFonts w:hint="eastAsia" w:ascii="Times New Roman" w:hAnsi="Times New Roman" w:eastAsia="仿宋_GB2312"/>
          <w:color w:val="000000"/>
          <w:sz w:val="32"/>
          <w:szCs w:val="24"/>
          <w:highlight w:val="none"/>
          <w:u w:val="none" w:color="auto"/>
          <w:lang w:eastAsia="zh-CN"/>
        </w:rPr>
        <w:t>健全</w:t>
      </w:r>
      <w:r>
        <w:rPr>
          <w:rFonts w:hint="eastAsia" w:ascii="Times New Roman" w:hAnsi="Times New Roman" w:eastAsia="仿宋_GB2312"/>
          <w:color w:val="000000"/>
          <w:sz w:val="32"/>
          <w:szCs w:val="24"/>
          <w:highlight w:val="none"/>
          <w:u w:val="none" w:color="auto"/>
        </w:rPr>
        <w:t>社会各界和广大人民群众参与、监督规划实施的机制，</w:t>
      </w:r>
      <w:r>
        <w:rPr>
          <w:rFonts w:hint="eastAsia" w:ascii="Times New Roman" w:hAnsi="Times New Roman" w:eastAsia="仿宋_GB2312"/>
          <w:color w:val="000000"/>
          <w:sz w:val="32"/>
          <w:szCs w:val="24"/>
          <w:highlight w:val="none"/>
          <w:u w:val="none" w:color="auto"/>
          <w:lang w:eastAsia="zh-CN"/>
        </w:rPr>
        <w:t>强化宣传和舆论引导，</w:t>
      </w:r>
      <w:r>
        <w:rPr>
          <w:rFonts w:hint="eastAsia" w:ascii="Times New Roman" w:hAnsi="Times New Roman" w:eastAsia="仿宋_GB2312"/>
          <w:color w:val="000000"/>
          <w:sz w:val="32"/>
          <w:szCs w:val="24"/>
          <w:highlight w:val="none"/>
          <w:u w:val="none" w:color="auto"/>
        </w:rPr>
        <w:t>营造</w:t>
      </w:r>
      <w:r>
        <w:rPr>
          <w:rFonts w:hint="eastAsia" w:ascii="Times New Roman" w:hAnsi="Times New Roman" w:eastAsia="仿宋_GB2312"/>
          <w:color w:val="000000"/>
          <w:sz w:val="32"/>
          <w:szCs w:val="24"/>
          <w:highlight w:val="none"/>
          <w:u w:val="none" w:color="auto"/>
          <w:lang w:eastAsia="zh-CN"/>
        </w:rPr>
        <w:t>有利于</w:t>
      </w:r>
      <w:r>
        <w:rPr>
          <w:rFonts w:hint="eastAsia" w:ascii="Times New Roman" w:hAnsi="Times New Roman" w:eastAsia="仿宋_GB2312"/>
          <w:color w:val="000000"/>
          <w:sz w:val="32"/>
          <w:szCs w:val="24"/>
          <w:highlight w:val="none"/>
          <w:u w:val="none" w:color="auto"/>
        </w:rPr>
        <w:t>教育改革发展的良好社会氛围，确保本规划目标任务得到全面实现。</w:t>
      </w:r>
    </w:p>
    <w:p w14:paraId="34CD4312">
      <w:pPr>
        <w:pStyle w:val="7"/>
        <w:ind w:firstLine="640" w:firstLineChars="200"/>
        <w:rPr>
          <w:rFonts w:hint="default" w:ascii="仿宋_GB2312" w:hAnsi="仿宋_GB2312" w:eastAsia="仿宋_GB2312" w:cs="仿宋_GB2312"/>
          <w:color w:val="000000"/>
          <w:sz w:val="32"/>
          <w:szCs w:val="32"/>
          <w:highlight w:val="none"/>
          <w:u w:val="none" w:color="auto"/>
          <w:lang w:val="en-US" w:eastAsia="zh-CN"/>
        </w:rPr>
      </w:pPr>
    </w:p>
    <w:p w14:paraId="1167A28A">
      <w:pPr>
        <w:rPr>
          <w:highlight w:val="none"/>
          <w:u w:val="none" w:color="auto"/>
        </w:rPr>
      </w:pPr>
    </w:p>
    <w:p w14:paraId="34404347">
      <w:pPr>
        <w:rPr>
          <w:highlight w:val="none"/>
          <w:u w:val="none" w:color="auto"/>
        </w:rPr>
      </w:pPr>
    </w:p>
    <w:p w14:paraId="5E3C3AB4">
      <w:pPr>
        <w:rPr>
          <w:highlight w:val="none"/>
          <w:u w:val="none" w:color="auto"/>
        </w:rPr>
      </w:pPr>
    </w:p>
    <w:p w14:paraId="4C68F27E"/>
    <w:sectPr>
      <w:footerReference r:id="rId3" w:type="default"/>
      <w:pgSz w:w="11906" w:h="16838"/>
      <w:pgMar w:top="2098" w:right="1474" w:bottom="1984" w:left="158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CF0BD">
    <w:pPr>
      <w:pStyle w:val="7"/>
      <w:spacing w:before="1" w:line="242" w:lineRule="auto"/>
      <w:ind w:right="360" w:firstLine="360"/>
      <w:rPr>
        <w:rFonts w:ascii="仿宋_GB2312" w:hAnsi="仿宋_GB2312" w:eastAsia="仿宋_GB2312" w:cs="仿宋_GB2312"/>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72A268">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alSs7WAAAABgEAAA8AAAAAAAAAAQAgAAAAIgAAAGRycy9k&#10;b3ducmV2LnhtbFBLAQIUABQAAAAIAIdO4kD1CCf3PQIAAHkEAAAOAAAAAAAAAAEAIAAAACUBAABk&#10;cnMvZTJvRG9jLnhtbFBLBQYAAAAABgAGAFkBAADUBQAAAAA=&#10;">
              <v:fill on="f" focussize="0,0"/>
              <v:stroke on="f" weight="0.5pt"/>
              <v:imagedata o:title=""/>
              <o:lock v:ext="edit" aspectratio="f"/>
              <v:textbox inset="16pt,0mm,16pt,0mm" style="mso-fit-shape-to-text:t;">
                <w:txbxContent>
                  <w:p w14:paraId="4A72A268">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3E2BDF"/>
    <w:rsid w:val="044D71EC"/>
    <w:rsid w:val="078E2C12"/>
    <w:rsid w:val="093F343F"/>
    <w:rsid w:val="0C572C4B"/>
    <w:rsid w:val="0E4A2051"/>
    <w:rsid w:val="0FB75ADD"/>
    <w:rsid w:val="10C84048"/>
    <w:rsid w:val="11515C2E"/>
    <w:rsid w:val="12507B78"/>
    <w:rsid w:val="14FD13F7"/>
    <w:rsid w:val="19D07257"/>
    <w:rsid w:val="19EA0440"/>
    <w:rsid w:val="1C472721"/>
    <w:rsid w:val="1E421268"/>
    <w:rsid w:val="25AC544E"/>
    <w:rsid w:val="25CB28DB"/>
    <w:rsid w:val="29516491"/>
    <w:rsid w:val="2A342274"/>
    <w:rsid w:val="2A3E2BDF"/>
    <w:rsid w:val="32B60090"/>
    <w:rsid w:val="33B87A72"/>
    <w:rsid w:val="3E8F6B39"/>
    <w:rsid w:val="41B53FBC"/>
    <w:rsid w:val="4250579A"/>
    <w:rsid w:val="43863836"/>
    <w:rsid w:val="467317C3"/>
    <w:rsid w:val="46FD4105"/>
    <w:rsid w:val="48B408FF"/>
    <w:rsid w:val="4A273284"/>
    <w:rsid w:val="4B0A121E"/>
    <w:rsid w:val="4C054A64"/>
    <w:rsid w:val="4F843B05"/>
    <w:rsid w:val="57757A8B"/>
    <w:rsid w:val="581110D0"/>
    <w:rsid w:val="58F10B82"/>
    <w:rsid w:val="5ADC1A73"/>
    <w:rsid w:val="5E02284A"/>
    <w:rsid w:val="628250A4"/>
    <w:rsid w:val="64FF0C2E"/>
    <w:rsid w:val="672A62E0"/>
    <w:rsid w:val="68550B65"/>
    <w:rsid w:val="68AF4719"/>
    <w:rsid w:val="6C7631EF"/>
    <w:rsid w:val="6F323053"/>
    <w:rsid w:val="7434641A"/>
    <w:rsid w:val="76AD7663"/>
    <w:rsid w:val="791218EC"/>
    <w:rsid w:val="792455F6"/>
    <w:rsid w:val="7B3D5F08"/>
    <w:rsid w:val="7EC32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caption"/>
    <w:basedOn w:val="1"/>
    <w:next w:val="1"/>
    <w:unhideWhenUsed/>
    <w:qFormat/>
    <w:uiPriority w:val="0"/>
    <w:pPr>
      <w:jc w:val="center"/>
    </w:pPr>
    <w:rPr>
      <w:rFonts w:ascii="等线 Light" w:hAnsi="等线 Light" w:cs="Times New Roman"/>
      <w:szCs w:val="20"/>
    </w:rPr>
  </w:style>
  <w:style w:type="paragraph" w:styleId="3">
    <w:name w:val="footer"/>
    <w:basedOn w:val="1"/>
    <w:qFormat/>
    <w:uiPriority w:val="0"/>
    <w:pPr>
      <w:tabs>
        <w:tab w:val="center" w:pos="4153"/>
        <w:tab w:val="right" w:pos="8306"/>
      </w:tabs>
      <w:spacing w:line="240" w:lineRule="atLeast"/>
      <w:jc w:val="left"/>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 New New New New New New New New New New New New New New New New New New New New New New"/>
    <w:qFormat/>
    <w:uiPriority w:val="0"/>
    <w:pPr>
      <w:widowControl w:val="0"/>
      <w:jc w:val="both"/>
    </w:pPr>
    <w:rPr>
      <w:rFonts w:hint="eastAsia" w:ascii="Calibri" w:hAnsi="Calibri" w:eastAsia="宋体" w:cs="黑体"/>
      <w:kern w:val="2"/>
      <w:sz w:val="21"/>
      <w:lang w:val="en-US" w:eastAsia="zh-CN"/>
    </w:rPr>
  </w:style>
  <w:style w:type="paragraph" w:customStyle="1" w:styleId="8">
    <w:name w:val="正文 New New New New New New New New New New New New New New New New New New New"/>
    <w:qFormat/>
    <w:uiPriority w:val="0"/>
    <w:pPr>
      <w:widowControl w:val="0"/>
      <w:jc w:val="both"/>
    </w:pPr>
    <w:rPr>
      <w:rFonts w:ascii="Calibri" w:hAnsi="Calibri" w:eastAsia="宋体" w:cs="黑体"/>
      <w:kern w:val="2"/>
      <w:sz w:val="21"/>
      <w:lang w:val="en-US" w:eastAsia="zh-CN"/>
    </w:rPr>
  </w:style>
  <w:style w:type="paragraph" w:customStyle="1" w:styleId="9">
    <w:name w:val="标题 1 New"/>
    <w:basedOn w:val="7"/>
    <w:next w:val="7"/>
    <w:qFormat/>
    <w:uiPriority w:val="0"/>
    <w:pPr>
      <w:keepNext/>
      <w:keepLines/>
      <w:spacing w:before="340" w:beforeLines="0" w:after="330" w:afterLines="0" w:line="578" w:lineRule="auto"/>
      <w:outlineLvl w:val="0"/>
    </w:pPr>
    <w:rPr>
      <w:b/>
      <w:bCs/>
      <w:kern w:val="44"/>
      <w:sz w:val="44"/>
      <w:szCs w:val="44"/>
    </w:rPr>
  </w:style>
  <w:style w:type="paragraph" w:customStyle="1" w:styleId="10">
    <w:name w:val="标题 2 New"/>
    <w:basedOn w:val="7"/>
    <w:next w:val="7"/>
    <w:qFormat/>
    <w:uiPriority w:val="0"/>
    <w:pPr>
      <w:keepNext/>
      <w:spacing w:before="240" w:beforeLines="0" w:after="60" w:afterLines="0"/>
      <w:outlineLvl w:val="1"/>
    </w:pPr>
    <w:rPr>
      <w:rFonts w:ascii="Arial" w:hAnsi="Arial"/>
      <w:b/>
      <w: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2c3fc73b-3ca1-456d-aadf-e0bebd45a49a</errorID>
      <errorWord>党的二十大及二十届历次全会精神</errorWord>
      <group>L1_Political</group>
      <groupName>政治性问题</groupName>
      <ability>L2_Unpolitical</ability>
      <abilityName>政治敏感错误</abilityName>
      <candidateList>
        <item>党的二十大和二十届历次全会精神</item>
      </candidateList>
      <explain/>
      <paraID>44EAFD1D</paraID>
      <start>25</start>
      <end>40</end>
      <status>unmodified</status>
      <modifiedWord/>
      <trackRevisions>false</trackRevisions>
    </reviewItem>
    <reviewItem>
      <errorID>69ee9b61-7f7f-4036-a9b6-c6f8dca9adbf</errorID>
      <errorWord>栋梁之才</errorWord>
      <group>L1_Word</group>
      <groupName>字词问题</groupName>
      <ability>L2_Alias</ability>
      <abilityName>也作/曾用词</abilityName>
      <candidateList>
        <item>栋梁之材</item>
      </candidateList>
      <explain>词汇[栋梁之才]为不规范表述或旧称，其规范书面表述为[栋梁之材]。</explain>
      <paraID>44EAFD1D</paraID>
      <start>240</start>
      <end>244</end>
      <status>unmodified</status>
      <modifiedWord/>
      <trackRevisions>false</trackRevisions>
    </reviewItem>
    <reviewItem>
      <errorID>f4ebb5a8-f91f-46b5-806e-3caa4656461c</errorID>
      <errorWord>＞</errorWord>
      <group>L1_Format</group>
      <groupName>格式问题</groupName>
      <ability>L2_HalfPunc_CN</ability>
      <abilityName>全半角检查</abilityName>
      <candidateList>
        <item>&gt;</item>
      </candidateList>
      <explain>文本全半角错误。</explain>
      <paraID>26E1FC0F</paraID>
      <start>0</start>
      <end>1</end>
      <status>unmodified</status>
      <modifiedWord/>
      <trackRevisions>false</trackRevisions>
    </reviewItem>
    <reviewItem>
      <errorID>4cacbf41-7790-458f-967b-84cf469c5aac</errorID>
      <errorWord>＞</errorWord>
      <group>L1_Format</group>
      <groupName>格式问题</groupName>
      <ability>L2_HalfPunc_CN</ability>
      <abilityName>全半角检查</abilityName>
      <candidateList>
        <item>&gt;</item>
      </candidateList>
      <explain>文本全半角错误。</explain>
      <paraID>2852204E</paraID>
      <start>0</start>
      <end>1</end>
      <status>unmodified</status>
      <modifiedWord/>
      <trackRevisions>false</trackRevisions>
    </reviewItem>
    <reviewItem>
      <errorID>958f86c4-8afe-428f-90d7-2da7b1afb985</errorID>
      <errorWord>＞</errorWord>
      <group>L1_Format</group>
      <groupName>格式问题</groupName>
      <ability>L2_HalfPunc_CN</ability>
      <abilityName>全半角检查</abilityName>
      <candidateList>
        <item>&gt;</item>
      </candidateList>
      <explain>文本全半角错误。</explain>
      <paraID>248DCB45</paraID>
      <start>0</start>
      <end>1</end>
      <status>unmodified</status>
      <modifiedWord/>
      <trackRevisions>false</trackRevisions>
    </reviewItem>
    <reviewItem>
      <errorID>2d6a5e6a-7252-44c9-b25e-5a35a677ab4e</errorID>
      <errorWord>双师型教师</errorWord>
      <group>L1_Political</group>
      <groupName>政治性问题</groupName>
      <ability>L2_Keyword</ability>
      <abilityName>固定表述</abilityName>
      <candidateList>
        <item>“双师型”教师</item>
      </candidateList>
      <explain>注意检查当前固定表述标点是否使用规范。</explain>
      <paraID>20C3799B</paraID>
      <start>4</start>
      <end>9</end>
      <status>unmodified</status>
      <modifiedWord/>
      <trackRevisions>false</trackRevisions>
    </reviewItem>
    <reviewItem>
      <errorID>ca6f3753-0ac7-477a-8229-c2c7b543d02d</errorID>
      <errorWord>＞</errorWord>
      <group>L1_Format</group>
      <groupName>格式问题</groupName>
      <ability>L2_HalfPunc_CN</ability>
      <abilityName>全半角检查</abilityName>
      <candidateList>
        <item>&gt;</item>
      </candidateList>
      <explain>文本全半角错误。</explain>
      <paraID>75D6B686</paraID>
      <start>0</start>
      <end>1</end>
      <status>unmodified</status>
      <modifiedWord/>
      <trackRevisions>false</trackRevisions>
    </reviewItem>
    <reviewItem>
      <errorID>746a0034-c0c3-4ccd-aa50-9121de555202</errorID>
      <errorWord>一所</errorWord>
      <group>L1_Knowledge</group>
      <groupName>知识性问题</groupName>
      <ability>L2_Knowledge</ability>
      <abilityName>其他知识</abilityName>
      <candidateList>
        <item>一批</item>
      </candidateList>
      <explain/>
      <paraID>618AEE16</paraID>
      <start>86</start>
      <end>88</end>
      <status>unmodified</status>
      <modifiedWord/>
      <trackRevisions>false</trackRevisions>
    </reviewItem>
    <reviewItem>
      <errorID>290097fb-8d38-48aa-b753-1047bfd5b1dd</errorID>
      <errorWord>教育数智化</errorWord>
      <group>L1_Political</group>
      <groupName>政治性问题</groupName>
      <ability>L2_Keyword</ability>
      <abilityName>固定表述</abilityName>
      <candidateList>
        <item>教育数字化</item>
      </candidateList>
      <explain>词汇“教育数字化”在特定场景下为固定表述形式，请确认此处的“教育数智化”是否存在不当。</explain>
      <paraID>50272DAD</paraID>
      <start>4</start>
      <end>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14d55c-c099-40cc-a535-3a61bdcaaf7c}">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8985</Words>
  <Characters>9186</Characters>
  <Lines>0</Lines>
  <Paragraphs>0</Paragraphs>
  <TotalTime>6</TotalTime>
  <ScaleCrop>false</ScaleCrop>
  <LinksUpToDate>false</LinksUpToDate>
  <CharactersWithSpaces>9187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2026-06-24T14:12:00Z</dcterms:created>
  <dc:creator>咚咚石</dc:creator>
  <cp:lastModifiedBy>咚咚石</cp:lastModifiedBy>
  <cp:lastPrinted>2026-08-10T13:19:00Z</cp:lastPrinted>
  <dcterms:modified xsi:type="dcterms:W3CDTF">2026-08-28T07:29:26Z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2C75216BCFBF4649A49687636652F7D1_13</vt:lpwstr>
  </property>
  <property fmtid="{D5CDD505-2E9C-101B-9397-08002B2CF9AE}" pid="4" name="KSOTemplateDocerSaveRecord">
    <vt:lpwstr>eyJoZGlkIjoiM2UzZjhlZWIwNjRkMmM1MGE5NWQzMDNmZGRiZTg0YTgiLCJ1c2VySWQiOiI0MDY1NDczOTcifQ==</vt:lpwstr>
  </property>
</Properties>
</file>