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1A5A7">
      <w:r>
        <w:t xml:space="preserve"> </w:t>
      </w:r>
      <w:r>
        <w:tab/>
      </w:r>
    </w:p>
    <w:p w14:paraId="2DB8B029">
      <w:pPr>
        <w:jc w:val="center"/>
        <w:rPr>
          <w:rFonts w:ascii="黑体" w:hAnsi="黑体" w:eastAsia="黑体" w:cs="黑体"/>
          <w:b/>
          <w:color w:val="ED0000"/>
          <w:kern w:val="0"/>
          <w:sz w:val="36"/>
          <w:szCs w:val="36"/>
        </w:rPr>
      </w:pPr>
      <w:r>
        <w:rPr>
          <w:rFonts w:hint="eastAsia" w:ascii="黑体" w:hAnsi="黑体" w:eastAsia="黑体" w:cs="黑体"/>
          <w:b/>
          <w:color w:val="ED0000"/>
          <w:kern w:val="0"/>
          <w:sz w:val="36"/>
          <w:szCs w:val="36"/>
          <w:lang w:eastAsia="zh-CN"/>
        </w:rPr>
        <w:t xml:space="preserve"> </w:t>
      </w:r>
      <w:r>
        <w:rPr>
          <w:rFonts w:hint="eastAsia" w:ascii="黑体" w:hAnsi="黑体" w:eastAsia="黑体" w:cs="黑体"/>
          <w:color w:val="ED0000"/>
          <w:spacing w:val="-2"/>
          <w:kern w:val="0"/>
          <w:sz w:val="36"/>
          <w:szCs w:val="36"/>
          <w:u w:val="single"/>
        </w:rPr>
        <w:t xml:space="preserve">          </w:t>
      </w:r>
      <w:r>
        <w:rPr>
          <w:rFonts w:hint="eastAsia" w:ascii="黑体" w:hAnsi="黑体" w:eastAsia="黑体" w:cs="黑体"/>
          <w:b/>
          <w:color w:val="ED0000"/>
          <w:kern w:val="0"/>
          <w:sz w:val="36"/>
          <w:szCs w:val="36"/>
        </w:rPr>
        <w:t>有限公司</w:t>
      </w:r>
    </w:p>
    <w:p w14:paraId="2D73289D">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3B00329D">
      <w:pPr>
        <w:jc w:val="center"/>
        <w:rPr>
          <w:rFonts w:ascii="Microsoft JhengHei" w:hAnsi="Microsoft JhengHei" w:eastAsia="Microsoft JhengHei" w:cs="Times New Roman"/>
          <w:b/>
          <w:kern w:val="0"/>
          <w:sz w:val="36"/>
        </w:rPr>
      </w:pPr>
    </w:p>
    <w:p w14:paraId="6D70636B">
      <w:pPr>
        <w:jc w:val="center"/>
        <w:rPr>
          <w:rFonts w:ascii="Microsoft JhengHei" w:hAnsi="Microsoft JhengHei" w:eastAsia="Microsoft JhengHei" w:cs="Times New Roman"/>
          <w:b/>
          <w:kern w:val="0"/>
          <w:sz w:val="32"/>
        </w:rPr>
      </w:pPr>
      <w:r>
        <w:rPr>
          <w:rFonts w:hint="eastAsia" w:ascii="黑体" w:hAnsi="黑体" w:eastAsia="黑体" w:cs="黑体"/>
          <w:b/>
          <w:kern w:val="0"/>
          <w:sz w:val="32"/>
          <w:szCs w:val="32"/>
        </w:rPr>
        <w:t>第一章  总  则</w:t>
      </w:r>
    </w:p>
    <w:p w14:paraId="0625B99E">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20832C6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公司类型：有限责任公司。</w:t>
      </w:r>
    </w:p>
    <w:p w14:paraId="295FC88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第三条</w:t>
      </w:r>
      <w:r>
        <w:rPr>
          <w:rFonts w:ascii="宋体" w:hAnsi="宋体" w:eastAsia="宋体" w:cs="Times New Roman"/>
          <w:spacing w:val="-2"/>
          <w:kern w:val="0"/>
          <w:sz w:val="32"/>
        </w:rPr>
        <w:t xml:space="preserve"> 本章程为本公司行为准则，对公司、股东、董事、监事、高级管理人员具有约束力。</w:t>
      </w:r>
    </w:p>
    <w:p w14:paraId="181223E6">
      <w:pPr>
        <w:jc w:val="center"/>
        <w:rPr>
          <w:rFonts w:ascii="Microsoft JhengHei" w:hAnsi="Microsoft JhengHei" w:eastAsia="Microsoft JhengHei" w:cs="Times New Roman"/>
          <w:b/>
          <w:kern w:val="0"/>
          <w:sz w:val="32"/>
        </w:rPr>
      </w:pPr>
    </w:p>
    <w:p w14:paraId="0E73D235">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58589BF8">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第四条 </w:t>
      </w:r>
      <w:r>
        <w:rPr>
          <w:rFonts w:ascii="宋体" w:hAnsi="宋体" w:eastAsia="宋体" w:cs="Times New Roman"/>
          <w:spacing w:val="-2"/>
          <w:kern w:val="0"/>
          <w:sz w:val="32"/>
        </w:rPr>
        <w:t>公司名称：</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有限公司</w:t>
      </w:r>
      <w:r>
        <w:rPr>
          <w:rFonts w:hint="eastAsia" w:ascii="宋体" w:hAnsi="宋体" w:eastAsia="宋体" w:cs="Times New Roman"/>
          <w:spacing w:val="-2"/>
          <w:kern w:val="0"/>
          <w:sz w:val="32"/>
        </w:rPr>
        <w:t>。</w:t>
      </w:r>
    </w:p>
    <w:p w14:paraId="2A952E19">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第五条 </w:t>
      </w:r>
      <w:r>
        <w:rPr>
          <w:rFonts w:ascii="宋体" w:hAnsi="宋体" w:eastAsia="宋体" w:cs="Times New Roman"/>
          <w:spacing w:val="-2"/>
          <w:kern w:val="0"/>
          <w:sz w:val="32"/>
        </w:rPr>
        <w:t>公司住所：</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0190398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ED0000"/>
          <w:spacing w:val="-2"/>
          <w:kern w:val="0"/>
          <w:sz w:val="32"/>
        </w:rPr>
        <w:t>528200</w:t>
      </w:r>
      <w:r>
        <w:rPr>
          <w:rFonts w:ascii="宋体" w:hAnsi="宋体" w:eastAsia="宋体" w:cs="Times New Roman"/>
          <w:spacing w:val="-2"/>
          <w:kern w:val="0"/>
          <w:sz w:val="32"/>
        </w:rPr>
        <w:t>。</w:t>
      </w:r>
    </w:p>
    <w:p w14:paraId="7F6311E1">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第六条 </w:t>
      </w:r>
      <w:r>
        <w:rPr>
          <w:rFonts w:ascii="宋体" w:hAnsi="宋体" w:eastAsia="宋体" w:cs="Times New Roman"/>
          <w:spacing w:val="-2"/>
          <w:kern w:val="0"/>
          <w:sz w:val="32"/>
        </w:rPr>
        <w:t>公司经营范围：</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004FE99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第七条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ED0000"/>
          <w:spacing w:val="-2"/>
          <w:kern w:val="0"/>
          <w:sz w:val="32"/>
        </w:rPr>
        <w:t>长期，</w:t>
      </w:r>
      <w:r>
        <w:rPr>
          <w:rFonts w:ascii="宋体" w:hAnsi="宋体" w:eastAsia="宋体" w:cs="Times New Roman"/>
          <w:spacing w:val="-2"/>
          <w:kern w:val="0"/>
          <w:sz w:val="32"/>
        </w:rPr>
        <w:t>自公司营业执照签发之日起计。</w:t>
      </w:r>
    </w:p>
    <w:p w14:paraId="50F32566">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第八条</w:t>
      </w:r>
      <w:r>
        <w:rPr>
          <w:rFonts w:hint="eastAsia" w:ascii="宋体" w:hAnsi="宋体" w:eastAsia="宋体" w:cs="宋体"/>
          <w:b/>
          <w:bCs/>
          <w:color w:val="000000"/>
          <w:kern w:val="0"/>
          <w:sz w:val="32"/>
          <w:szCs w:val="32"/>
          <w:lang w:bidi="ar"/>
        </w:rPr>
        <w:t xml:space="preserve">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万元。</w:t>
      </w:r>
    </w:p>
    <w:p w14:paraId="4C0BCDBB">
      <w:pPr>
        <w:jc w:val="center"/>
        <w:rPr>
          <w:rFonts w:ascii="Microsoft JhengHei" w:hAnsi="Microsoft JhengHei" w:eastAsia="Microsoft JhengHei" w:cs="Times New Roman"/>
          <w:b/>
          <w:kern w:val="0"/>
          <w:sz w:val="32"/>
        </w:rPr>
      </w:pPr>
    </w:p>
    <w:p w14:paraId="7773D856">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65A3E65C">
      <w:pPr>
        <w:widowControl/>
        <w:ind w:firstLine="635" w:firstLineChars="200"/>
        <w:jc w:val="left"/>
        <w:rPr>
          <w:color w:val="ED0000"/>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九</w:t>
      </w:r>
      <w:r>
        <w:rPr>
          <w:rFonts w:ascii="宋体" w:hAnsi="宋体" w:eastAsia="宋体" w:cs="Times New Roman"/>
          <w:b/>
          <w:bCs/>
          <w:spacing w:val="-2"/>
          <w:kern w:val="0"/>
          <w:sz w:val="32"/>
        </w:rPr>
        <w:t xml:space="preserve">条 </w:t>
      </w:r>
      <w:r>
        <w:rPr>
          <w:rFonts w:hint="eastAsia" w:ascii="宋体" w:hAnsi="宋体" w:eastAsia="宋体" w:cs="宋体"/>
          <w:color w:val="000000"/>
          <w:kern w:val="0"/>
          <w:sz w:val="32"/>
          <w:szCs w:val="32"/>
          <w:lang w:bidi="ar"/>
        </w:rPr>
        <w:t>公司股东名称：</w:t>
      </w:r>
      <w:r>
        <w:rPr>
          <w:rFonts w:hint="eastAsia" w:ascii="宋体" w:hAnsi="宋体" w:eastAsia="宋体" w:cs="宋体"/>
          <w:color w:val="ED0000"/>
          <w:kern w:val="0"/>
          <w:sz w:val="32"/>
          <w:szCs w:val="32"/>
          <w:lang w:bidi="ar"/>
        </w:rPr>
        <w:t>广东</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有限公司， </w:t>
      </w:r>
    </w:p>
    <w:p w14:paraId="3BCA4231">
      <w:pPr>
        <w:widowControl/>
        <w:ind w:firstLine="640" w:firstLineChars="200"/>
        <w:jc w:val="left"/>
        <w:rPr>
          <w:color w:val="ED0000"/>
        </w:rPr>
      </w:pPr>
      <w:r>
        <w:rPr>
          <w:rFonts w:hint="eastAsia" w:ascii="宋体" w:hAnsi="宋体" w:eastAsia="宋体" w:cs="宋体"/>
          <w:color w:val="ED0000"/>
          <w:kern w:val="0"/>
          <w:sz w:val="32"/>
          <w:szCs w:val="32"/>
          <w:lang w:bidi="ar"/>
        </w:rPr>
        <w:t xml:space="preserve">证件名称：营业执照， </w:t>
      </w:r>
    </w:p>
    <w:p w14:paraId="0F34AD61">
      <w:pPr>
        <w:widowControl/>
        <w:ind w:firstLine="640" w:firstLineChars="200"/>
        <w:jc w:val="left"/>
        <w:rPr>
          <w:color w:val="ED0000"/>
        </w:rPr>
      </w:pPr>
      <w:r>
        <w:rPr>
          <w:rFonts w:hint="eastAsia" w:ascii="宋体" w:hAnsi="宋体" w:eastAsia="宋体" w:cs="宋体"/>
          <w:color w:val="ED0000"/>
          <w:kern w:val="0"/>
          <w:sz w:val="32"/>
          <w:szCs w:val="32"/>
          <w:lang w:bidi="ar"/>
        </w:rPr>
        <w:t>证件号：</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43431AA2">
      <w:pPr>
        <w:widowControl/>
        <w:ind w:firstLine="640" w:firstLineChars="200"/>
        <w:jc w:val="left"/>
        <w:rPr>
          <w:color w:val="ED0000"/>
        </w:rPr>
      </w:pPr>
      <w:r>
        <w:rPr>
          <w:rFonts w:hint="eastAsia" w:ascii="宋体" w:hAnsi="宋体" w:eastAsia="宋体" w:cs="宋体"/>
          <w:color w:val="ED0000"/>
          <w:kern w:val="0"/>
          <w:sz w:val="32"/>
          <w:szCs w:val="32"/>
          <w:lang w:bidi="ar"/>
        </w:rPr>
        <w:t>住所：</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436C75E3">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rPr>
        <w:t>或：</w:t>
      </w:r>
    </w:p>
    <w:p w14:paraId="3149A29C">
      <w:pPr>
        <w:widowControl/>
        <w:ind w:firstLine="640" w:firstLineChars="200"/>
        <w:jc w:val="left"/>
        <w:rPr>
          <w:color w:val="ED0000"/>
        </w:rPr>
      </w:pPr>
      <w:r>
        <w:rPr>
          <w:rFonts w:hint="eastAsia" w:ascii="宋体" w:hAnsi="宋体" w:eastAsia="宋体" w:cs="宋体"/>
          <w:color w:val="ED0000"/>
          <w:kern w:val="0"/>
          <w:sz w:val="32"/>
          <w:szCs w:val="32"/>
          <w:lang w:bidi="ar"/>
        </w:rPr>
        <w:t>公司股东姓名：</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2E80D7FA">
      <w:pPr>
        <w:widowControl/>
        <w:ind w:firstLine="640" w:firstLineChars="200"/>
        <w:jc w:val="left"/>
        <w:rPr>
          <w:color w:val="ED0000"/>
        </w:rPr>
      </w:pPr>
      <w:r>
        <w:rPr>
          <w:rFonts w:hint="eastAsia" w:ascii="宋体" w:hAnsi="宋体" w:eastAsia="宋体" w:cs="宋体"/>
          <w:color w:val="ED0000"/>
          <w:kern w:val="0"/>
          <w:sz w:val="32"/>
          <w:szCs w:val="32"/>
          <w:lang w:bidi="ar"/>
        </w:rPr>
        <w:t>证件名称：</w:t>
      </w:r>
      <w:r>
        <w:rPr>
          <w:rFonts w:ascii="宋体" w:hAnsi="宋体" w:eastAsia="宋体" w:cs="Times New Roman"/>
          <w:color w:val="ED0000"/>
          <w:spacing w:val="-2"/>
          <w:kern w:val="0"/>
          <w:sz w:val="32"/>
        </w:rPr>
        <w:t>居民身份证</w:t>
      </w:r>
      <w:r>
        <w:rPr>
          <w:rFonts w:hint="eastAsia" w:ascii="宋体" w:hAnsi="宋体" w:eastAsia="宋体" w:cs="宋体"/>
          <w:color w:val="ED0000"/>
          <w:kern w:val="0"/>
          <w:sz w:val="32"/>
          <w:szCs w:val="32"/>
          <w:lang w:bidi="ar"/>
        </w:rPr>
        <w:t xml:space="preserve">， </w:t>
      </w:r>
    </w:p>
    <w:p w14:paraId="5A44E5E7">
      <w:pPr>
        <w:widowControl/>
        <w:ind w:firstLine="640" w:firstLineChars="200"/>
        <w:jc w:val="left"/>
        <w:rPr>
          <w:color w:val="ED0000"/>
        </w:rPr>
      </w:pPr>
      <w:r>
        <w:rPr>
          <w:rFonts w:hint="eastAsia" w:ascii="宋体" w:hAnsi="宋体" w:eastAsia="宋体" w:cs="宋体"/>
          <w:color w:val="ED0000"/>
          <w:kern w:val="0"/>
          <w:sz w:val="32"/>
          <w:szCs w:val="32"/>
          <w:lang w:bidi="ar"/>
        </w:rPr>
        <w:t>证件号：</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72DF9297">
      <w:pPr>
        <w:ind w:firstLine="640" w:firstLineChars="200"/>
        <w:rPr>
          <w:rFonts w:ascii="宋体" w:hAnsi="宋体" w:eastAsia="宋体" w:cs="Times New Roman"/>
          <w:spacing w:val="-2"/>
          <w:kern w:val="0"/>
          <w:sz w:val="32"/>
        </w:rPr>
      </w:pPr>
      <w:r>
        <w:rPr>
          <w:rFonts w:hint="eastAsia" w:ascii="宋体" w:hAnsi="宋体" w:eastAsia="宋体" w:cs="宋体"/>
          <w:color w:val="ED0000"/>
          <w:kern w:val="0"/>
          <w:sz w:val="32"/>
          <w:szCs w:val="32"/>
          <w:lang w:bidi="ar"/>
        </w:rPr>
        <w:t>住所：</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r>
        <w:rPr>
          <w:rFonts w:ascii="宋体" w:hAnsi="宋体" w:eastAsia="宋体" w:cs="Times New Roman"/>
          <w:spacing w:val="-2"/>
          <w:kern w:val="0"/>
          <w:sz w:val="32"/>
        </w:rPr>
        <w:t xml:space="preserve">                                                            </w:t>
      </w:r>
    </w:p>
    <w:p w14:paraId="768D30A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第十条 </w:t>
      </w:r>
      <w:r>
        <w:rPr>
          <w:rFonts w:ascii="宋体" w:hAnsi="宋体" w:eastAsia="宋体" w:cs="Times New Roman"/>
          <w:spacing w:val="-2"/>
          <w:kern w:val="0"/>
          <w:sz w:val="32"/>
        </w:rPr>
        <w:t>公司成立后，应当向股东签发出资证明书，记载下列事项：</w:t>
      </w:r>
    </w:p>
    <w:p w14:paraId="48D5287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4FE9F5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6913994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16B82F4C">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393A08B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147926F1">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4BA5355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公司应当置备股东名册，记载下列事项：</w:t>
      </w:r>
    </w:p>
    <w:p w14:paraId="494F293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5E0F459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378E6A9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3EDC100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02EBAA7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4B4658C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股东享有下列权利：</w:t>
      </w:r>
    </w:p>
    <w:p w14:paraId="39E47F3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6EFAF4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531D79B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（三）按有关规定质押所持有的股权；</w:t>
      </w:r>
    </w:p>
    <w:p w14:paraId="095A29F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）有权查阅、复制公司章程、股东名册、股东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r>
        <w:rPr>
          <w:rFonts w:hint="eastAsia" w:ascii="宋体" w:hAnsi="宋体" w:eastAsia="宋体" w:cs="Times New Roman"/>
          <w:spacing w:val="-2"/>
          <w:kern w:val="0"/>
          <w:sz w:val="32"/>
        </w:rPr>
        <w:t>董事决定</w:t>
      </w:r>
      <w:r>
        <w:rPr>
          <w:rFonts w:ascii="宋体" w:hAnsi="宋体" w:eastAsia="宋体" w:cs="Times New Roman"/>
          <w:spacing w:val="-2"/>
          <w:kern w:val="0"/>
          <w:sz w:val="32"/>
        </w:rPr>
        <w:t>、监事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和财务会计报告，对公司的经营提出建议或者质询。有权要求查阅公司会计账簿、会计凭证，公司拒绝提供查阅的，股东可以向人民法院提起诉讼；</w:t>
      </w:r>
    </w:p>
    <w:p w14:paraId="16DD9D5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）在公司清算完毕并清偿公司债务后，</w:t>
      </w:r>
      <w:r>
        <w:rPr>
          <w:rFonts w:hint="eastAsia" w:ascii="宋体" w:hAnsi="宋体" w:eastAsia="宋体" w:cs="Times New Roman"/>
          <w:spacing w:val="-2"/>
          <w:kern w:val="0"/>
          <w:sz w:val="32"/>
        </w:rPr>
        <w:t>享有剩余财产</w:t>
      </w:r>
      <w:r>
        <w:rPr>
          <w:rFonts w:ascii="宋体" w:hAnsi="宋体" w:eastAsia="宋体" w:cs="Times New Roman"/>
          <w:spacing w:val="-2"/>
          <w:kern w:val="0"/>
          <w:sz w:val="32"/>
        </w:rPr>
        <w:t>。</w:t>
      </w:r>
    </w:p>
    <w:p w14:paraId="2566A44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股东履行下列义务：</w:t>
      </w:r>
    </w:p>
    <w:p w14:paraId="02D82A2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66BC46F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（二）应当按期足额缴纳本章程载明的各自所认缴的出资额；</w:t>
      </w:r>
    </w:p>
    <w:p w14:paraId="55EDFED2">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（三）应当使</w:t>
      </w:r>
      <w:r>
        <w:rPr>
          <w:rFonts w:ascii="宋体" w:hAnsi="宋体" w:eastAsia="宋体" w:cs="Times New Roman"/>
          <w:spacing w:val="-2"/>
          <w:kern w:val="0"/>
          <w:sz w:val="32"/>
        </w:rPr>
        <w:t>公司财产独立于股东自己的财产</w:t>
      </w:r>
      <w:r>
        <w:rPr>
          <w:rFonts w:hint="eastAsia" w:ascii="宋体" w:hAnsi="宋体" w:eastAsia="宋体" w:cs="Times New Roman"/>
          <w:spacing w:val="-2"/>
          <w:kern w:val="0"/>
          <w:sz w:val="32"/>
        </w:rPr>
        <w:t>；</w:t>
      </w:r>
      <w:r>
        <w:rPr>
          <w:rFonts w:ascii="宋体" w:hAnsi="宋体" w:eastAsia="宋体" w:cs="Times New Roman"/>
          <w:spacing w:val="-2"/>
          <w:kern w:val="0"/>
          <w:sz w:val="32"/>
        </w:rPr>
        <w:t xml:space="preserve">          </w:t>
      </w:r>
    </w:p>
    <w:p w14:paraId="74C5527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）遵守公司章程，保守公司秘密；</w:t>
      </w:r>
    </w:p>
    <w:p w14:paraId="12F8E4A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）支持公司的经营管理，促进公司业务发展；</w:t>
      </w:r>
    </w:p>
    <w:p w14:paraId="227DC2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）不得抽逃出资；</w:t>
      </w:r>
    </w:p>
    <w:p w14:paraId="6C535C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）不得滥用股东权利损害公司或者其他股东的利益；</w:t>
      </w:r>
    </w:p>
    <w:p w14:paraId="4BAAFC1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）不得滥用公司法人独立地位和股东有限责任损害公司债权人的利益。</w:t>
      </w:r>
    </w:p>
    <w:p w14:paraId="33E6634F">
      <w:pPr>
        <w:rPr>
          <w:rFonts w:ascii="宋体" w:hAnsi="宋体" w:eastAsia="宋体" w:cs="Times New Roman"/>
          <w:spacing w:val="-2"/>
          <w:kern w:val="0"/>
          <w:sz w:val="32"/>
        </w:rPr>
      </w:pP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 xml:space="preserve">第十四条 </w:t>
      </w:r>
      <w:r>
        <w:rPr>
          <w:rFonts w:ascii="宋体" w:hAnsi="宋体" w:eastAsia="宋体" w:cs="Times New Roman"/>
          <w:spacing w:val="-2"/>
          <w:kern w:val="0"/>
          <w:sz w:val="32"/>
        </w:rPr>
        <w:t>股东不能证明公司财产独立于股东自己的财产的，应当对公司债务承担连带责任。</w:t>
      </w:r>
    </w:p>
    <w:p w14:paraId="3FFCFD27">
      <w:pPr>
        <w:ind w:firstLine="640" w:firstLineChars="200"/>
        <w:jc w:val="center"/>
        <w:rPr>
          <w:rFonts w:ascii="Microsoft JhengHei" w:hAnsi="Microsoft JhengHei" w:eastAsia="Microsoft JhengHei" w:cs="Times New Roman"/>
          <w:b/>
          <w:kern w:val="0"/>
          <w:sz w:val="32"/>
        </w:rPr>
      </w:pPr>
    </w:p>
    <w:p w14:paraId="6095EDAA">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2E904FB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第十五条 </w:t>
      </w:r>
      <w:r>
        <w:rPr>
          <w:rFonts w:ascii="宋体" w:hAnsi="宋体" w:eastAsia="宋体" w:cs="Times New Roman"/>
          <w:spacing w:val="-2"/>
          <w:kern w:val="0"/>
          <w:sz w:val="32"/>
        </w:rPr>
        <w:t>股东的出资额、出资方式和出资日期：</w:t>
      </w:r>
    </w:p>
    <w:p w14:paraId="09A89941">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万元，其中：以货币/知识产权作价/实物作价/土地使用权作价/股权作价/债权作价出资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于</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日前缴足。</w:t>
      </w:r>
    </w:p>
    <w:p w14:paraId="0872FBB8">
      <w:pPr>
        <w:ind w:firstLine="632" w:firstLineChars="200"/>
        <w:rPr>
          <w:rFonts w:ascii="宋体" w:hAnsi="宋体" w:eastAsia="宋体" w:cs="Times New Roman"/>
          <w:color w:val="ED0000"/>
          <w:spacing w:val="-2"/>
          <w:kern w:val="0"/>
          <w:sz w:val="32"/>
          <w:u w:val="single"/>
        </w:rPr>
      </w:pPr>
      <w:r>
        <w:rPr>
          <w:rFonts w:hint="eastAsia" w:ascii="宋体" w:hAnsi="宋体" w:eastAsia="宋体" w:cs="Times New Roman"/>
          <w:color w:val="ED0000"/>
          <w:spacing w:val="-2"/>
          <w:kern w:val="0"/>
          <w:sz w:val="32"/>
          <w:u w:val="single"/>
        </w:rPr>
        <w:t>或：</w:t>
      </w:r>
    </w:p>
    <w:p w14:paraId="6FE2CE8A">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万元，其中：以货币/知识产权作价/实物作价/土地使用权作价/股权作价/债权作价出资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w:t>
      </w:r>
      <w:r>
        <w:rPr>
          <w:rFonts w:hint="eastAsia" w:ascii="宋体" w:hAnsi="宋体" w:eastAsia="宋体" w:cs="Times New Roman"/>
          <w:color w:val="ED0000"/>
          <w:spacing w:val="-2"/>
          <w:kern w:val="0"/>
          <w:sz w:val="32"/>
        </w:rPr>
        <w:t>，已于公司</w:t>
      </w:r>
      <w:r>
        <w:rPr>
          <w:rFonts w:hint="eastAsia" w:ascii="宋体" w:hAnsi="宋体" w:eastAsia="宋体" w:cs="Times New Roman"/>
          <w:color w:val="ED0000"/>
          <w:spacing w:val="-2"/>
          <w:kern w:val="0"/>
          <w:sz w:val="32"/>
          <w:u w:val="single"/>
        </w:rPr>
        <w:t>设立</w:t>
      </w:r>
      <w:r>
        <w:rPr>
          <w:rFonts w:hint="eastAsia" w:ascii="宋体" w:hAnsi="宋体" w:eastAsia="宋体" w:cs="Times New Roman"/>
          <w:color w:val="ED0000"/>
          <w:spacing w:val="-2"/>
          <w:kern w:val="0"/>
          <w:sz w:val="32"/>
        </w:rPr>
        <w:t>登记前缴足，其余</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万元于</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日前缴足。</w:t>
      </w:r>
    </w:p>
    <w:p w14:paraId="0A661B4A">
      <w:pPr>
        <w:ind w:firstLine="632" w:firstLineChars="200"/>
        <w:rPr>
          <w:rFonts w:ascii="宋体" w:hAnsi="宋体" w:eastAsia="宋体" w:cs="Times New Roman"/>
          <w:color w:val="ED0000"/>
          <w:spacing w:val="-2"/>
          <w:kern w:val="0"/>
          <w:sz w:val="32"/>
          <w:u w:val="single"/>
        </w:rPr>
      </w:pPr>
      <w:r>
        <w:rPr>
          <w:rFonts w:hint="eastAsia" w:ascii="宋体" w:hAnsi="宋体" w:eastAsia="宋体" w:cs="Times New Roman"/>
          <w:color w:val="ED0000"/>
          <w:spacing w:val="-2"/>
          <w:kern w:val="0"/>
          <w:sz w:val="32"/>
          <w:u w:val="single"/>
        </w:rPr>
        <w:t>或：</w:t>
      </w:r>
    </w:p>
    <w:p w14:paraId="7339BBBB">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w:t>
      </w:r>
      <w:r>
        <w:rPr>
          <w:rFonts w:ascii="宋体" w:hAnsi="宋体" w:eastAsia="宋体" w:cs="Times New Roman"/>
          <w:color w:val="FF0000"/>
          <w:spacing w:val="-2"/>
          <w:kern w:val="0"/>
          <w:sz w:val="32"/>
        </w:rPr>
        <w:t>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2013665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第十六条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65FA433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1FAA576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第十七条 </w:t>
      </w:r>
      <w:r>
        <w:rPr>
          <w:rFonts w:ascii="宋体" w:hAnsi="宋体" w:eastAsia="宋体" w:cs="Times New Roman"/>
          <w:spacing w:val="-2"/>
          <w:kern w:val="0"/>
          <w:sz w:val="32"/>
        </w:rPr>
        <w:t>股东应当按期足额缴纳公司章程规定的所认缴的出资额。</w:t>
      </w:r>
    </w:p>
    <w:p w14:paraId="0E69881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762126B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6CEA970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第十八条 </w:t>
      </w:r>
      <w:r>
        <w:rPr>
          <w:rFonts w:ascii="宋体" w:hAnsi="宋体" w:eastAsia="宋体" w:cs="Times New Roman"/>
          <w:spacing w:val="-2"/>
          <w:kern w:val="0"/>
          <w:sz w:val="32"/>
        </w:rPr>
        <w:t>公司成立后，发现作为设立公司出资的非货币</w:t>
      </w:r>
    </w:p>
    <w:p w14:paraId="1C78CC86">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财产的实际价额显著低于所认缴的出资额的，应当由股东补足其差额。</w:t>
      </w:r>
    </w:p>
    <w:p w14:paraId="0C0CE63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第十九条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有限责任公司成立后，董事应当对股东的出资情况进行核查，发现股东未按期足额缴纳公司章程规定的出资的，应当由公司向股东发出书面催缴书，催缴出资。</w:t>
      </w:r>
    </w:p>
    <w:p w14:paraId="0DE6909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0CB98D7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第二十条 </w:t>
      </w:r>
      <w:r>
        <w:rPr>
          <w:rFonts w:ascii="宋体" w:hAnsi="宋体" w:eastAsia="宋体" w:cs="Times New Roman"/>
          <w:spacing w:val="-2"/>
          <w:kern w:val="0"/>
          <w:sz w:val="32"/>
        </w:rPr>
        <w:t>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可以向股东发出失权通知，通知应当以书面形式发出。自通知发出之日起，股东丧失其未缴纳出资的股权。</w:t>
      </w:r>
    </w:p>
    <w:p w14:paraId="42E4E8F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w:t>
      </w:r>
    </w:p>
    <w:p w14:paraId="5F1AA05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3C9AADF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第二十一条 </w:t>
      </w:r>
      <w:r>
        <w:rPr>
          <w:rFonts w:ascii="宋体" w:hAnsi="宋体" w:eastAsia="宋体" w:cs="Times New Roman"/>
          <w:spacing w:val="-2"/>
          <w:kern w:val="0"/>
          <w:sz w:val="32"/>
        </w:rPr>
        <w:t>公司成立后，股东不得抽逃出资。</w:t>
      </w:r>
    </w:p>
    <w:p w14:paraId="6EA3450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违反前款规定的，股东应当返还抽逃的出资；给公司造成损失的，负有责任的董事、监事、高级管理人员应当与股东承担连带赔偿责任。　</w:t>
      </w:r>
    </w:p>
    <w:p w14:paraId="1EFA8B9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第二十二条 </w:t>
      </w:r>
      <w:r>
        <w:rPr>
          <w:rFonts w:ascii="宋体" w:hAnsi="宋体" w:eastAsia="宋体" w:cs="Times New Roman"/>
          <w:spacing w:val="-2"/>
          <w:kern w:val="0"/>
          <w:sz w:val="32"/>
        </w:rPr>
        <w:t>公司不能清偿到期债务的，公司或者已到期债权的债权人有权要求已认缴出资但未届出资期限的股东提前缴纳出资。</w:t>
      </w:r>
    </w:p>
    <w:p w14:paraId="08C14082">
      <w:pPr>
        <w:ind w:firstLine="632" w:firstLineChars="200"/>
        <w:rPr>
          <w:rFonts w:ascii="宋体" w:hAnsi="宋体" w:eastAsia="宋体" w:cs="Times New Roman"/>
          <w:spacing w:val="-2"/>
          <w:kern w:val="0"/>
          <w:sz w:val="32"/>
        </w:rPr>
      </w:pPr>
    </w:p>
    <w:p w14:paraId="1A11519D">
      <w:pPr>
        <w:jc w:val="center"/>
        <w:rPr>
          <w:rFonts w:ascii="黑体" w:hAnsi="黑体" w:eastAsia="黑体" w:cs="黑体"/>
          <w:b/>
          <w:kern w:val="0"/>
          <w:sz w:val="32"/>
          <w:szCs w:val="32"/>
        </w:rPr>
      </w:pPr>
      <w:r>
        <w:rPr>
          <w:rFonts w:ascii="黑体" w:hAnsi="黑体" w:eastAsia="黑体" w:cs="黑体"/>
          <w:b/>
          <w:kern w:val="0"/>
          <w:sz w:val="32"/>
          <w:szCs w:val="32"/>
        </w:rPr>
        <w:t xml:space="preserve">第五章 </w:t>
      </w:r>
      <w:r>
        <w:rPr>
          <w:rFonts w:hint="eastAsia" w:ascii="黑体" w:hAnsi="黑体" w:eastAsia="黑体" w:cs="黑体"/>
          <w:b/>
          <w:kern w:val="0"/>
          <w:sz w:val="32"/>
          <w:szCs w:val="32"/>
        </w:rPr>
        <w:t xml:space="preserve"> </w:t>
      </w:r>
      <w:r>
        <w:rPr>
          <w:rFonts w:ascii="黑体" w:hAnsi="黑体" w:eastAsia="黑体" w:cs="黑体"/>
          <w:b/>
          <w:kern w:val="0"/>
          <w:sz w:val="32"/>
          <w:szCs w:val="32"/>
        </w:rPr>
        <w:t>股权转让</w:t>
      </w:r>
    </w:p>
    <w:p w14:paraId="1B28FEB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 xml:space="preserve">股东可以转让其全部或者部分股权。  </w:t>
      </w:r>
    </w:p>
    <w:p w14:paraId="3EEA38B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转让股权的，应当书面通知公司，请求变更股东名册；需要办理变更登记的，并请求公司向公司登记机关办理变更登记。公司拒绝或者在合理期限内不予答复的，转让人、受让人可以依法向人民法院提起诉讼。</w:t>
      </w:r>
    </w:p>
    <w:p w14:paraId="5771E46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7320E4C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w:t>
      </w:r>
    </w:p>
    <w:p w14:paraId="1A49D52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33D27C7C">
      <w:pPr>
        <w:ind w:firstLine="632" w:firstLineChars="200"/>
        <w:rPr>
          <w:rFonts w:ascii="宋体" w:hAnsi="宋体" w:eastAsia="宋体" w:cs="Times New Roman"/>
          <w:spacing w:val="-2"/>
          <w:kern w:val="0"/>
          <w:sz w:val="32"/>
        </w:rPr>
      </w:pPr>
    </w:p>
    <w:p w14:paraId="341366AD">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6448898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公司法定代表人由</w:t>
      </w:r>
      <w:r>
        <w:rPr>
          <w:rFonts w:ascii="宋体" w:hAnsi="宋体" w:eastAsia="宋体" w:cs="Times New Roman"/>
          <w:color w:val="ED0000"/>
          <w:spacing w:val="-2"/>
          <w:kern w:val="0"/>
          <w:sz w:val="32"/>
          <w:u w:val="single"/>
        </w:rPr>
        <w:t>代表公司执行公司事务的董事</w:t>
      </w:r>
      <w:r>
        <w:rPr>
          <w:rFonts w:ascii="宋体" w:hAnsi="宋体" w:eastAsia="宋体" w:cs="Times New Roman"/>
          <w:spacing w:val="-2"/>
          <w:kern w:val="0"/>
          <w:sz w:val="32"/>
        </w:rPr>
        <w:t>担任。</w:t>
      </w:r>
    </w:p>
    <w:p w14:paraId="35A03AB5">
      <w:pPr>
        <w:ind w:firstLine="632" w:firstLineChars="200"/>
        <w:rPr>
          <w:rFonts w:ascii="宋体" w:hAnsi="宋体" w:eastAsia="宋体" w:cs="Times New Roman"/>
          <w:spacing w:val="-2"/>
          <w:kern w:val="0"/>
          <w:sz w:val="32"/>
        </w:rPr>
      </w:pPr>
      <w:r>
        <w:rPr>
          <w:rFonts w:ascii="宋体" w:hAnsi="宋体" w:eastAsia="宋体" w:cs="Times New Roman"/>
          <w:color w:val="ED0000"/>
          <w:spacing w:val="-2"/>
          <w:kern w:val="0"/>
          <w:sz w:val="32"/>
          <w:u w:val="single"/>
        </w:rPr>
        <w:t>代表公司执行公司事务的董事</w:t>
      </w:r>
      <w:r>
        <w:rPr>
          <w:rFonts w:ascii="宋体" w:hAnsi="宋体" w:eastAsia="宋体" w:cs="Times New Roman"/>
          <w:spacing w:val="-2"/>
          <w:kern w:val="0"/>
          <w:sz w:val="32"/>
        </w:rPr>
        <w:t>辞任的，视为同时辞去法定代表人。</w:t>
      </w:r>
    </w:p>
    <w:p w14:paraId="42402D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62122DC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二十七</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法定代表人的职权：</w:t>
      </w:r>
    </w:p>
    <w:p w14:paraId="25BA938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254B71F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2E5506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51FC9A9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法定代表人应当遵守法律、行政法规以及本章程的规定，不得滥用职权，不得作出违背公司股东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的行为，不得违反对公司的忠实义务和勤勉义务。</w:t>
      </w:r>
    </w:p>
    <w:p w14:paraId="5C73F9D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02A52662">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第二十九条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法定代表人以公司名义从事的民事活动，其法律后果由公司承受。</w:t>
      </w:r>
    </w:p>
    <w:p w14:paraId="4B2A55F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公司章程或者股东对法定代表人职权的限制，不得对抗善意相对人。</w:t>
      </w:r>
    </w:p>
    <w:p w14:paraId="24F7124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6DDEB68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第三十条 </w:t>
      </w:r>
      <w:r>
        <w:rPr>
          <w:rFonts w:ascii="宋体" w:hAnsi="宋体" w:eastAsia="宋体" w:cs="Times New Roman"/>
          <w:spacing w:val="-2"/>
          <w:kern w:val="0"/>
          <w:sz w:val="32"/>
        </w:rPr>
        <w:t>法定代表人出现下列情形的，应当解除其职</w:t>
      </w:r>
    </w:p>
    <w:p w14:paraId="6B23E6DF">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1F06E4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00448B9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754B25A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7C902C6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3AFFABA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73450135">
      <w:pPr>
        <w:jc w:val="center"/>
        <w:rPr>
          <w:rFonts w:ascii="Microsoft JhengHei" w:hAnsi="Microsoft JhengHei" w:eastAsia="Microsoft JhengHei" w:cs="Times New Roman"/>
          <w:b/>
          <w:kern w:val="0"/>
          <w:sz w:val="32"/>
        </w:rPr>
      </w:pPr>
    </w:p>
    <w:p w14:paraId="1DD16BDD">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7F26796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w:t>
      </w:r>
      <w:r>
        <w:rPr>
          <w:rFonts w:hint="eastAsia" w:ascii="宋体" w:hAnsi="宋体" w:eastAsia="宋体" w:cs="Times New Roman"/>
          <w:spacing w:val="-2"/>
          <w:kern w:val="0"/>
          <w:sz w:val="32"/>
        </w:rPr>
        <w:t>不设</w:t>
      </w:r>
      <w:r>
        <w:rPr>
          <w:rFonts w:ascii="宋体" w:hAnsi="宋体" w:eastAsia="宋体" w:cs="Times New Roman"/>
          <w:spacing w:val="-2"/>
          <w:kern w:val="0"/>
          <w:sz w:val="32"/>
        </w:rPr>
        <w:t>股东会。股东行使下列职权：</w:t>
      </w:r>
    </w:p>
    <w:p w14:paraId="267ED9C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w:t>
      </w:r>
      <w:r>
        <w:rPr>
          <w:rFonts w:hint="eastAsia" w:ascii="宋体" w:hAnsi="宋体" w:eastAsia="宋体" w:cs="Times New Roman"/>
          <w:spacing w:val="-2"/>
          <w:kern w:val="0"/>
          <w:sz w:val="32"/>
        </w:rPr>
        <w:t>任命</w:t>
      </w:r>
      <w:r>
        <w:rPr>
          <w:rFonts w:ascii="宋体" w:hAnsi="宋体" w:eastAsia="宋体" w:cs="Times New Roman"/>
          <w:spacing w:val="-2"/>
          <w:kern w:val="0"/>
          <w:sz w:val="32"/>
        </w:rPr>
        <w:t>和更换董事、监事，决定有关董事、监事的报酬事项；</w:t>
      </w:r>
    </w:p>
    <w:p w14:paraId="7EA7481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（二）审议批准董事的报告；</w:t>
      </w:r>
    </w:p>
    <w:p w14:paraId="72D344A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（三）审议批准监事的报告；</w:t>
      </w:r>
    </w:p>
    <w:p w14:paraId="60222F8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（四）审议批准公司的利润分配方案和弥补亏损方案；</w:t>
      </w:r>
    </w:p>
    <w:p w14:paraId="2B04D5F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（五）对公司增加或者减少注册资本作出决议；</w:t>
      </w:r>
    </w:p>
    <w:p w14:paraId="1FD0070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（六）对发行公司债券作出决议；</w:t>
      </w:r>
    </w:p>
    <w:p w14:paraId="3BA003B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（七）对公司合并、分立、解散、清算或者变更公司形式作出决议；</w:t>
      </w:r>
    </w:p>
    <w:p w14:paraId="5779477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（八）修改公司章程；</w:t>
      </w:r>
    </w:p>
    <w:p w14:paraId="1D7A171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（九）公司章程规定的其他职权。</w:t>
      </w:r>
    </w:p>
    <w:p w14:paraId="338D431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股东可以授权董事对发行公司债券作出决</w:t>
      </w:r>
      <w:r>
        <w:rPr>
          <w:rFonts w:hint="eastAsia" w:ascii="宋体" w:hAnsi="宋体" w:eastAsia="宋体" w:cs="Times New Roman"/>
          <w:spacing w:val="-2"/>
          <w:kern w:val="0"/>
          <w:sz w:val="32"/>
        </w:rPr>
        <w:t>定</w:t>
      </w:r>
      <w:r>
        <w:rPr>
          <w:rFonts w:ascii="宋体" w:hAnsi="宋体" w:eastAsia="宋体" w:cs="Times New Roman"/>
          <w:spacing w:val="-2"/>
          <w:kern w:val="0"/>
          <w:sz w:val="32"/>
        </w:rPr>
        <w:t>。</w:t>
      </w:r>
    </w:p>
    <w:p w14:paraId="1F2B2E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w:t>
      </w:r>
      <w:r>
        <w:rPr>
          <w:rFonts w:hint="eastAsia" w:ascii="宋体" w:hAnsi="宋体" w:eastAsia="宋体" w:cs="Times New Roman"/>
          <w:spacing w:val="-2"/>
          <w:kern w:val="0"/>
          <w:sz w:val="32"/>
        </w:rPr>
        <w:t>本</w:t>
      </w:r>
      <w:r>
        <w:rPr>
          <w:rFonts w:ascii="宋体" w:hAnsi="宋体" w:eastAsia="宋体" w:cs="Times New Roman"/>
          <w:spacing w:val="-2"/>
          <w:kern w:val="0"/>
          <w:sz w:val="32"/>
        </w:rPr>
        <w:t>条第一款所列事项的决定时，应当采用书面形式，并由股东签名或者盖章后置备于公司。</w:t>
      </w:r>
    </w:p>
    <w:p w14:paraId="3D7BA78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公司设董事</w:t>
      </w:r>
      <w:r>
        <w:rPr>
          <w:rFonts w:hint="eastAsia" w:ascii="宋体" w:hAnsi="宋体" w:eastAsia="宋体" w:cs="Times New Roman"/>
          <w:color w:val="ED0000"/>
          <w:spacing w:val="-2"/>
          <w:kern w:val="0"/>
          <w:sz w:val="32"/>
          <w:u w:val="single"/>
        </w:rPr>
        <w:t>1</w:t>
      </w:r>
      <w:r>
        <w:rPr>
          <w:rFonts w:ascii="宋体" w:hAnsi="宋体" w:eastAsia="宋体" w:cs="Times New Roman"/>
          <w:spacing w:val="-2"/>
          <w:kern w:val="0"/>
          <w:sz w:val="32"/>
        </w:rPr>
        <w:t>人，由</w:t>
      </w:r>
      <w:r>
        <w:rPr>
          <w:rFonts w:ascii="宋体" w:hAnsi="宋体" w:eastAsia="宋体" w:cs="Times New Roman"/>
          <w:color w:val="ED0000"/>
          <w:spacing w:val="-2"/>
          <w:kern w:val="0"/>
          <w:sz w:val="32"/>
        </w:rPr>
        <w:t>股东任命</w:t>
      </w:r>
      <w:r>
        <w:rPr>
          <w:rFonts w:ascii="宋体" w:hAnsi="宋体" w:eastAsia="宋体" w:cs="Times New Roman"/>
          <w:spacing w:val="-2"/>
          <w:kern w:val="0"/>
          <w:sz w:val="32"/>
        </w:rPr>
        <w:t>产生。</w:t>
      </w:r>
    </w:p>
    <w:p w14:paraId="7307941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董事每届任期</w:t>
      </w:r>
      <w:r>
        <w:rPr>
          <w:rFonts w:hint="eastAsia" w:ascii="宋体" w:hAnsi="宋体" w:eastAsia="宋体" w:cs="Times New Roman"/>
          <w:color w:val="ED0000"/>
          <w:spacing w:val="-2"/>
          <w:kern w:val="0"/>
          <w:sz w:val="32"/>
        </w:rPr>
        <w:t>三</w:t>
      </w:r>
      <w:r>
        <w:rPr>
          <w:rFonts w:ascii="宋体" w:hAnsi="宋体" w:eastAsia="宋体" w:cs="Times New Roman"/>
          <w:spacing w:val="-2"/>
          <w:kern w:val="0"/>
          <w:sz w:val="32"/>
        </w:rPr>
        <w:t>年。董事任期届满，可以连任。</w:t>
      </w:r>
    </w:p>
    <w:p w14:paraId="02E1EC5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董事任期届满未及时改选，在改选出的董事就任前，原董事仍应当依照法律、行政法规和公司章程的规定，履行董事职务。</w:t>
      </w:r>
    </w:p>
    <w:p w14:paraId="0B9EDC5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董事行使下列职权：</w:t>
      </w:r>
    </w:p>
    <w:p w14:paraId="502D9DF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一</w:t>
      </w:r>
      <w:r>
        <w:rPr>
          <w:rFonts w:ascii="宋体" w:hAnsi="宋体" w:eastAsia="宋体" w:cs="Times New Roman"/>
          <w:spacing w:val="-2"/>
          <w:kern w:val="0"/>
          <w:sz w:val="32"/>
        </w:rPr>
        <w:t>）执行股东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p>
    <w:p w14:paraId="678DFB8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二</w:t>
      </w:r>
      <w:r>
        <w:rPr>
          <w:rFonts w:ascii="宋体" w:hAnsi="宋体" w:eastAsia="宋体" w:cs="Times New Roman"/>
          <w:spacing w:val="-2"/>
          <w:kern w:val="0"/>
          <w:sz w:val="32"/>
        </w:rPr>
        <w:t>）决定公司的经营计划和投资方案；</w:t>
      </w:r>
    </w:p>
    <w:p w14:paraId="6739FF2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三</w:t>
      </w:r>
      <w:r>
        <w:rPr>
          <w:rFonts w:ascii="宋体" w:hAnsi="宋体" w:eastAsia="宋体" w:cs="Times New Roman"/>
          <w:spacing w:val="-2"/>
          <w:kern w:val="0"/>
          <w:sz w:val="32"/>
        </w:rPr>
        <w:t>）制订公司的利润分配方案和弥补亏损方案；</w:t>
      </w:r>
    </w:p>
    <w:p w14:paraId="21D3E7A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）制订公司增加或者减少注册资本以及发行公司债券的方案；</w:t>
      </w:r>
    </w:p>
    <w:p w14:paraId="66A0278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）制订公司合并、分立、解散或者变更公司形式的方案；</w:t>
      </w:r>
    </w:p>
    <w:p w14:paraId="76F1BE9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）决定公司内部管理机构的设置；</w:t>
      </w:r>
    </w:p>
    <w:p w14:paraId="64378FD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）决定聘任或者解聘公司财务负责人及其报酬事项；</w:t>
      </w:r>
    </w:p>
    <w:p w14:paraId="577043A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）制定公司的基本管理制度</w:t>
      </w:r>
      <w:r>
        <w:rPr>
          <w:rFonts w:hint="eastAsia" w:ascii="宋体" w:hAnsi="宋体" w:eastAsia="宋体" w:cs="Times New Roman"/>
          <w:spacing w:val="-2"/>
          <w:kern w:val="0"/>
          <w:sz w:val="32"/>
        </w:rPr>
        <w:t>；</w:t>
      </w:r>
    </w:p>
    <w:p w14:paraId="107DA7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九</w:t>
      </w:r>
      <w:r>
        <w:rPr>
          <w:rFonts w:ascii="宋体" w:hAnsi="宋体" w:eastAsia="宋体" w:cs="Times New Roman"/>
          <w:spacing w:val="-2"/>
          <w:kern w:val="0"/>
          <w:sz w:val="32"/>
        </w:rPr>
        <w:t>）公司章程规定或者股东授予的其他职权。</w:t>
      </w:r>
    </w:p>
    <w:p w14:paraId="756EAF66">
      <w:pPr>
        <w:pStyle w:val="7"/>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公司章程对董事职权的限制不得对抗善意相对人。</w:t>
      </w:r>
    </w:p>
    <w:p w14:paraId="32CEAB3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color w:val="ED0000"/>
          <w:spacing w:val="-2"/>
          <w:kern w:val="0"/>
          <w:sz w:val="32"/>
        </w:rPr>
        <w:t>公司</w:t>
      </w:r>
      <w:r>
        <w:rPr>
          <w:rFonts w:hint="eastAsia" w:ascii="宋体" w:hAnsi="宋体" w:eastAsia="宋体" w:cs="Times New Roman"/>
          <w:color w:val="ED0000"/>
          <w:spacing w:val="-2"/>
          <w:kern w:val="0"/>
          <w:sz w:val="32"/>
        </w:rPr>
        <w:t>不</w:t>
      </w:r>
      <w:r>
        <w:rPr>
          <w:rFonts w:ascii="宋体" w:hAnsi="宋体" w:eastAsia="宋体" w:cs="Times New Roman"/>
          <w:color w:val="ED0000"/>
          <w:spacing w:val="-2"/>
          <w:kern w:val="0"/>
          <w:sz w:val="32"/>
        </w:rPr>
        <w:t>设经理</w:t>
      </w:r>
      <w:r>
        <w:rPr>
          <w:rFonts w:ascii="宋体" w:hAnsi="宋体" w:eastAsia="宋体" w:cs="Times New Roman"/>
          <w:spacing w:val="-2"/>
          <w:kern w:val="0"/>
          <w:sz w:val="32"/>
        </w:rPr>
        <w:t>。</w:t>
      </w:r>
    </w:p>
    <w:p w14:paraId="1783183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公司设</w:t>
      </w:r>
      <w:r>
        <w:rPr>
          <w:rFonts w:ascii="宋体" w:hAnsi="宋体" w:eastAsia="宋体" w:cs="Times New Roman"/>
          <w:color w:val="ED0000"/>
          <w:spacing w:val="-2"/>
          <w:kern w:val="0"/>
          <w:sz w:val="32"/>
        </w:rPr>
        <w:t>监事</w:t>
      </w:r>
      <w:r>
        <w:rPr>
          <w:rFonts w:ascii="宋体" w:hAnsi="宋体" w:eastAsia="宋体" w:cs="Times New Roman"/>
          <w:color w:val="ED0000"/>
          <w:spacing w:val="-2"/>
          <w:kern w:val="0"/>
          <w:sz w:val="32"/>
          <w:u w:val="single"/>
        </w:rPr>
        <w:t>1</w:t>
      </w:r>
      <w:r>
        <w:rPr>
          <w:rFonts w:ascii="宋体" w:hAnsi="宋体" w:eastAsia="宋体" w:cs="Times New Roman"/>
          <w:color w:val="ED0000"/>
          <w:spacing w:val="-2"/>
          <w:kern w:val="0"/>
          <w:sz w:val="32"/>
        </w:rPr>
        <w:t>人</w:t>
      </w:r>
      <w:r>
        <w:rPr>
          <w:rFonts w:ascii="宋体" w:hAnsi="宋体" w:eastAsia="宋体" w:cs="Times New Roman"/>
          <w:spacing w:val="-2"/>
          <w:kern w:val="0"/>
          <w:sz w:val="32"/>
        </w:rPr>
        <w:t>，由</w:t>
      </w:r>
      <w:r>
        <w:rPr>
          <w:rFonts w:ascii="宋体" w:hAnsi="宋体" w:eastAsia="宋体" w:cs="Times New Roman"/>
          <w:color w:val="ED0000"/>
          <w:spacing w:val="-2"/>
          <w:kern w:val="0"/>
          <w:sz w:val="32"/>
        </w:rPr>
        <w:t>股东任命</w:t>
      </w:r>
      <w:r>
        <w:rPr>
          <w:rFonts w:ascii="宋体" w:hAnsi="宋体" w:eastAsia="宋体" w:cs="Times New Roman"/>
          <w:spacing w:val="-2"/>
          <w:kern w:val="0"/>
          <w:sz w:val="32"/>
        </w:rPr>
        <w:t>产生，每届</w:t>
      </w:r>
    </w:p>
    <w:p w14:paraId="1F09F32C">
      <w:pPr>
        <w:rPr>
          <w:rFonts w:ascii="宋体" w:hAnsi="宋体" w:eastAsia="宋体" w:cs="Times New Roman"/>
          <w:spacing w:val="-2"/>
          <w:kern w:val="0"/>
          <w:sz w:val="32"/>
        </w:rPr>
      </w:pPr>
      <w:r>
        <w:rPr>
          <w:rFonts w:ascii="宋体" w:hAnsi="宋体" w:eastAsia="宋体" w:cs="Times New Roman"/>
          <w:spacing w:val="-2"/>
          <w:kern w:val="0"/>
          <w:sz w:val="32"/>
        </w:rPr>
        <w:t>任期</w:t>
      </w:r>
      <w:r>
        <w:rPr>
          <w:rFonts w:ascii="宋体" w:hAnsi="宋体" w:eastAsia="宋体" w:cs="Times New Roman"/>
          <w:color w:val="ED0000"/>
          <w:spacing w:val="-2"/>
          <w:kern w:val="0"/>
          <w:sz w:val="32"/>
        </w:rPr>
        <w:t>三年</w:t>
      </w:r>
      <w:r>
        <w:rPr>
          <w:rFonts w:ascii="宋体" w:hAnsi="宋体" w:eastAsia="宋体" w:cs="Times New Roman"/>
          <w:spacing w:val="-2"/>
          <w:kern w:val="0"/>
          <w:sz w:val="32"/>
        </w:rPr>
        <w:t>。任期届满，可以连任。董事、高级管理人员不得兼任监事。</w:t>
      </w:r>
    </w:p>
    <w:p w14:paraId="0F07E1C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七</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监事行使下列职权：</w:t>
      </w:r>
    </w:p>
    <w:p w14:paraId="4DBA8B7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（一）检查公司财务；</w:t>
      </w:r>
    </w:p>
    <w:p w14:paraId="069272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（二）对董事、高级管理人员执行公司职务的行为进行监督，对违反法律、行政法规、公司章程或者股东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的董事、高级管理人员提出解任的建议；</w:t>
      </w:r>
    </w:p>
    <w:p w14:paraId="03589DE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（三）当董事、高级管理人员的行为损害公司的利益时， 要求董事、高级管理人员予以纠正；</w:t>
      </w:r>
    </w:p>
    <w:p w14:paraId="32F6841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（四）向股东提出提案；</w:t>
      </w:r>
    </w:p>
    <w:p w14:paraId="392422D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（五）依照《公司法》第一百八十九条的规定，对董事、高级管理人员提起诉讼。</w:t>
      </w:r>
    </w:p>
    <w:p w14:paraId="5CF3823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三十八</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有下列情形之一的，不得担任公司的董事、监事、高级管理人员：</w:t>
      </w:r>
    </w:p>
    <w:p w14:paraId="2C3E6A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4D0672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7FE4FAC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358AA79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4B9E019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02B92FD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违反前款规定选举、委派董事、监事或者聘任高级管理人员的，该选举、委派或者聘任无效。</w:t>
      </w:r>
    </w:p>
    <w:p w14:paraId="3871ED3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董事、监事、高级管理人员在任职期间出现本条第一款所列情形的，公司应当解除其职务。</w:t>
      </w:r>
    </w:p>
    <w:p w14:paraId="1D351CD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三十九</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1D990BC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 xml:space="preserve">十条 </w:t>
      </w:r>
      <w:r>
        <w:rPr>
          <w:rFonts w:ascii="宋体" w:hAnsi="宋体" w:eastAsia="宋体" w:cs="Times New Roman"/>
          <w:spacing w:val="-2"/>
          <w:kern w:val="0"/>
          <w:sz w:val="32"/>
        </w:rPr>
        <w:t xml:space="preserve"> 董事、监事、高级管理人员不得有下列行为：</w:t>
      </w:r>
    </w:p>
    <w:p w14:paraId="181074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6D41562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2E5FC22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6A5BA6F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66FAC7D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46BE432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2418CAB7">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第四十一条 </w:t>
      </w:r>
      <w:r>
        <w:rPr>
          <w:rFonts w:ascii="宋体" w:hAnsi="宋体" w:eastAsia="宋体" w:cs="Times New Roman"/>
          <w:spacing w:val="-2"/>
          <w:kern w:val="0"/>
          <w:sz w:val="32"/>
        </w:rPr>
        <w:t>董事、监事、高级管理人员，直接或者间接与本公司订立合同或者进行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 xml:space="preserve"> 第四十二条</w:t>
      </w:r>
      <w:r>
        <w:rPr>
          <w:rFonts w:hint="eastAsia" w:ascii="Microsoft JhengHei" w:hAnsi="Microsoft JhengHei" w:eastAsia="Microsoft JhengHei" w:cs="Times New Roman"/>
          <w:b/>
          <w:kern w:val="0"/>
          <w:sz w:val="32"/>
        </w:rPr>
        <w:t xml:space="preserve"> </w:t>
      </w:r>
      <w:r>
        <w:rPr>
          <w:rFonts w:hint="eastAsia" w:ascii="宋体" w:hAnsi="宋体" w:eastAsia="宋体" w:cs="Times New Roman"/>
          <w:spacing w:val="-2"/>
          <w:kern w:val="0"/>
          <w:sz w:val="32"/>
        </w:rPr>
        <w:t>董事、监事、高级管理人员，不得利用职务便利为自己或者他人谋取属于公司的商业机会。但是，有下列情形之一的除外：</w:t>
      </w:r>
    </w:p>
    <w:p w14:paraId="697BF2E9">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w:t>
      </w:r>
    </w:p>
    <w:p w14:paraId="448B3C4B">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01D86E04">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第四十三条</w:t>
      </w:r>
      <w:r>
        <w:rPr>
          <w:rFonts w:hint="eastAsia" w:ascii="Microsoft JhengHei" w:hAnsi="Microsoft JhengHei" w:eastAsia="Microsoft JhengHei" w:cs="Times New Roman"/>
          <w:b/>
          <w:kern w:val="0"/>
          <w:sz w:val="32"/>
        </w:rPr>
        <w:t>　</w:t>
      </w:r>
      <w:r>
        <w:rPr>
          <w:rFonts w:hint="eastAsia" w:ascii="宋体" w:hAnsi="宋体" w:eastAsia="宋体" w:cs="Times New Roman"/>
          <w:spacing w:val="-2"/>
          <w:kern w:val="0"/>
          <w:sz w:val="32"/>
        </w:rPr>
        <w:t>董事、监事、高级管理人员未向董事或者股东报告，并经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决定通过，不得自营或者为他人经营与其任职公司同类的业务。</w:t>
      </w:r>
    </w:p>
    <w:p w14:paraId="32F016FA">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第四十四条 </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董事、监事、高级管理人员违反《公司法》第一百八十一条至第一百八十四条规定所得的收入应当归公司所有。</w:t>
      </w:r>
    </w:p>
    <w:p w14:paraId="63683DD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董事、监事、高级管理人员执行职务违反法律、行政法规或者公司章程的规定，给公司造成损失的，应当承担赔偿责任。</w:t>
      </w:r>
    </w:p>
    <w:p w14:paraId="33DFE39B">
      <w:pPr>
        <w:rPr>
          <w:rFonts w:ascii="宋体" w:hAnsi="宋体" w:eastAsia="宋体" w:cs="Times New Roman"/>
          <w:spacing w:val="-2"/>
          <w:kern w:val="0"/>
          <w:sz w:val="32"/>
        </w:rPr>
      </w:pPr>
    </w:p>
    <w:p w14:paraId="48F4346F">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1529417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四十六</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54BA05B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四十七</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，还可以从税后利润中提取任意公积金。</w:t>
      </w:r>
    </w:p>
    <w:p w14:paraId="6B76F697">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第四十八条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公司违反《公司法》的规定向股东分配利润的，股东应当将违反规定分配的利润退还公司；给公司造成损失的，股东及负有责任的董事、监事、高级管理人员应当承担赔偿责任。</w:t>
      </w:r>
    </w:p>
    <w:p w14:paraId="640AFA1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股东作出分配利润的决</w:t>
      </w:r>
      <w:r>
        <w:rPr>
          <w:rFonts w:hint="eastAsia" w:ascii="宋体" w:hAnsi="宋体" w:eastAsia="宋体" w:cs="Times New Roman"/>
          <w:spacing w:val="-2"/>
          <w:kern w:val="0"/>
          <w:sz w:val="32"/>
        </w:rPr>
        <w:t>定</w:t>
      </w:r>
      <w:r>
        <w:rPr>
          <w:rFonts w:ascii="宋体" w:hAnsi="宋体" w:eastAsia="宋体" w:cs="Times New Roman"/>
          <w:spacing w:val="-2"/>
          <w:kern w:val="0"/>
          <w:sz w:val="32"/>
        </w:rPr>
        <w:t>的，董事应当在股东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作出之日起六个月内进行分配。</w:t>
      </w:r>
    </w:p>
    <w:p w14:paraId="5A2DDF38">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第四十九条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466890D8">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第五十条 </w:t>
      </w:r>
      <w:r>
        <w:rPr>
          <w:rFonts w:ascii="宋体" w:hAnsi="宋体" w:eastAsia="宋体" w:cs="Times New Roman"/>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监事（三选一）</w:t>
      </w:r>
      <w:r>
        <w:rPr>
          <w:rFonts w:ascii="宋体" w:hAnsi="宋体" w:eastAsia="宋体" w:cs="Times New Roman"/>
          <w:spacing w:val="-2"/>
          <w:kern w:val="0"/>
          <w:sz w:val="32"/>
        </w:rPr>
        <w:t>决定。</w:t>
      </w:r>
    </w:p>
    <w:p w14:paraId="0A56173A">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公司除法定的会计账簿外，不得另立会计账簿。对公司资金，不得以任何个人名义开立账户存储。</w:t>
      </w:r>
    </w:p>
    <w:p w14:paraId="0A896F43">
      <w:pPr>
        <w:rPr>
          <w:rFonts w:ascii="宋体" w:hAnsi="宋体" w:eastAsia="宋体" w:cs="Times New Roman"/>
          <w:spacing w:val="-2"/>
          <w:kern w:val="0"/>
          <w:sz w:val="32"/>
        </w:rPr>
      </w:pPr>
    </w:p>
    <w:p w14:paraId="7D14BB5B">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公司的解散、清算</w:t>
      </w:r>
    </w:p>
    <w:p w14:paraId="37E30F3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公司因下列原因解散：</w:t>
      </w:r>
    </w:p>
    <w:p w14:paraId="2F80A5B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1BD11DC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解散；</w:t>
      </w:r>
    </w:p>
    <w:p w14:paraId="2D592A2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2F82060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644CDE73">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w:t>
      </w:r>
      <w:r>
        <w:rPr>
          <w:rFonts w:ascii="宋体" w:hAnsi="宋体" w:eastAsia="宋体" w:cs="Times New Roman"/>
          <w:spacing w:val="-2"/>
          <w:kern w:val="0"/>
          <w:sz w:val="32"/>
        </w:rPr>
        <w:t>照《公司法》第</w:t>
      </w:r>
      <w:r>
        <w:rPr>
          <w:rFonts w:hint="default" w:ascii="宋体" w:hAnsi="宋体" w:eastAsia="宋体" w:cs="Times New Roman"/>
          <w:spacing w:val="-2"/>
          <w:kern w:val="0"/>
          <w:sz w:val="32"/>
        </w:rPr>
        <w:t>二百三十一条的规定予以解散。</w:t>
      </w:r>
    </w:p>
    <w:p w14:paraId="3E88501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0736DB7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公司出现除上一条第（三）项以外的解散事</w:t>
      </w:r>
    </w:p>
    <w:p w14:paraId="4D4ABA6D">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2A64796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另选他人组成。</w:t>
      </w:r>
    </w:p>
    <w:p w14:paraId="22CF774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4D763B2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清算组在清算期间行使下列职权：</w:t>
      </w:r>
    </w:p>
    <w:p w14:paraId="063C75A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2D3BCD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67BA4C2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2404449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1F889BE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5961C6B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0B8D6C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59E4E75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清算组应当自成立之日起十日内通知债权人，并于六十日内在报纸上或国家企业信用信息公示系统公告。</w:t>
      </w:r>
    </w:p>
    <w:p w14:paraId="4C8F7BB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五十六</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清算组在清算公司财产、编制资产负债表和</w:t>
      </w:r>
    </w:p>
    <w:p w14:paraId="00D015DF">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财产清单后，应当制定清算方案，并报股东或者人民法院确认。</w:t>
      </w:r>
    </w:p>
    <w:p w14:paraId="602375D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w:t>
      </w:r>
      <w:r>
        <w:rPr>
          <w:rFonts w:hint="eastAsia" w:ascii="宋体" w:hAnsi="宋体" w:eastAsia="宋体" w:cs="Times New Roman"/>
          <w:spacing w:val="-2"/>
          <w:kern w:val="0"/>
          <w:sz w:val="32"/>
        </w:rPr>
        <w:t>由</w:t>
      </w:r>
      <w:r>
        <w:rPr>
          <w:rFonts w:ascii="宋体" w:hAnsi="宋体" w:eastAsia="宋体" w:cs="Times New Roman"/>
          <w:spacing w:val="-2"/>
          <w:kern w:val="0"/>
          <w:sz w:val="32"/>
        </w:rPr>
        <w:t>股东分配。</w:t>
      </w:r>
    </w:p>
    <w:p w14:paraId="59DB7C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5E48678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五十七</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公司清算结束后，清算组应当制作清算报告，</w:t>
      </w:r>
    </w:p>
    <w:p w14:paraId="647DAB79">
      <w:pPr>
        <w:rPr>
          <w:rFonts w:ascii="宋体" w:hAnsi="宋体" w:eastAsia="宋体" w:cs="Times New Roman"/>
          <w:spacing w:val="-2"/>
          <w:kern w:val="0"/>
          <w:sz w:val="32"/>
        </w:rPr>
      </w:pPr>
      <w:r>
        <w:rPr>
          <w:rFonts w:ascii="宋体" w:hAnsi="宋体" w:eastAsia="宋体" w:cs="Times New Roman"/>
          <w:spacing w:val="-2"/>
          <w:kern w:val="0"/>
          <w:sz w:val="32"/>
        </w:rPr>
        <w:t>报股东或者人民法院确认，并报送公司登记机关，申请注销公司登记。</w:t>
      </w:r>
    </w:p>
    <w:p w14:paraId="10A7EE5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公司在存续期间未产生债务，或者已清偿全部债务的，经全体股东承诺，可以按照《公司法》第二百四十条的规定通过简易程序注销公司登记。</w:t>
      </w:r>
    </w:p>
    <w:p w14:paraId="2118C4BE">
      <w:pPr>
        <w:jc w:val="center"/>
        <w:rPr>
          <w:rFonts w:ascii="Microsoft JhengHei" w:hAnsi="Microsoft JhengHei" w:eastAsia="Microsoft JhengHei" w:cs="Times New Roman"/>
          <w:b/>
          <w:kern w:val="0"/>
          <w:sz w:val="32"/>
        </w:rPr>
      </w:pPr>
    </w:p>
    <w:p w14:paraId="130291AA">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108B8F3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五十九</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w:t>
      </w:r>
      <w:r>
        <w:rPr>
          <w:rFonts w:hint="eastAsia" w:ascii="宋体" w:hAnsi="宋体" w:eastAsia="宋体" w:cs="Times New Roman"/>
          <w:spacing w:val="-2"/>
          <w:kern w:val="0"/>
          <w:sz w:val="32"/>
        </w:rPr>
        <w:t>董事、监事、高级管理人员</w:t>
      </w:r>
      <w:r>
        <w:rPr>
          <w:rFonts w:ascii="宋体" w:hAnsi="宋体" w:eastAsia="宋体" w:cs="Times New Roman"/>
          <w:spacing w:val="-2"/>
          <w:kern w:val="0"/>
          <w:sz w:val="32"/>
        </w:rPr>
        <w:t>应当把联系方式（包括通信地址、电话、电子邮箱等）报公司置备，发生变动的，应及时报公司予以更新。</w:t>
      </w:r>
    </w:p>
    <w:p w14:paraId="002628B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bookmarkStart w:id="0" w:name="_GoBack"/>
      <w:bookmarkEnd w:id="0"/>
      <w:r>
        <w:rPr>
          <w:rFonts w:ascii="宋体" w:hAnsi="宋体" w:eastAsia="宋体" w:cs="Times New Roman"/>
          <w:spacing w:val="-2"/>
          <w:kern w:val="0"/>
          <w:sz w:val="32"/>
        </w:rPr>
        <w:t>。法律规定公司不得成为对所投资企业的债务承担连带责任的出资人的，从其规定。</w:t>
      </w:r>
    </w:p>
    <w:p w14:paraId="6A6BDA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5196239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六十一</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公司应当通过国家企业信用信息公示系统公示下列事项：</w:t>
      </w:r>
    </w:p>
    <w:p w14:paraId="096CCB7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6DBC09F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5380B0C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181650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5113A8E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361CDF7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六十二</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本章程于</w:t>
      </w:r>
      <w:r>
        <w:rPr>
          <w:rFonts w:ascii="宋体" w:hAnsi="宋体" w:eastAsia="宋体" w:cs="Times New Roman"/>
          <w:color w:val="ED0000"/>
          <w:spacing w:val="-2"/>
          <w:kern w:val="0"/>
          <w:sz w:val="32"/>
        </w:rPr>
        <w:t xml:space="preserve">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 xml:space="preserve">年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4D3F2857">
      <w:pPr>
        <w:rPr>
          <w:rFonts w:ascii="宋体" w:hAnsi="宋体" w:eastAsia="宋体" w:cs="Times New Roman"/>
          <w:spacing w:val="-2"/>
          <w:kern w:val="0"/>
          <w:sz w:val="32"/>
        </w:rPr>
      </w:pPr>
    </w:p>
    <w:p w14:paraId="369020AA">
      <w:pPr>
        <w:rPr>
          <w:rFonts w:ascii="宋体" w:hAnsi="宋体" w:eastAsia="宋体" w:cs="Times New Roman"/>
          <w:spacing w:val="-2"/>
          <w:kern w:val="0"/>
          <w:sz w:val="32"/>
        </w:rPr>
      </w:pPr>
    </w:p>
    <w:p w14:paraId="5835F766">
      <w:pPr>
        <w:rPr>
          <w:rFonts w:ascii="宋体" w:hAnsi="宋体" w:eastAsia="宋体" w:cs="Times New Roman"/>
          <w:color w:val="ED0000"/>
          <w:spacing w:val="-2"/>
          <w:kern w:val="0"/>
          <w:sz w:val="32"/>
        </w:rPr>
      </w:pPr>
      <w:r>
        <w:rPr>
          <w:rFonts w:ascii="宋体" w:hAnsi="宋体" w:eastAsia="宋体" w:cs="Times New Roman"/>
          <w:color w:val="ED0000"/>
          <w:spacing w:val="-2"/>
          <w:kern w:val="0"/>
          <w:sz w:val="32"/>
        </w:rPr>
        <w:t>股东签名、盖章：</w:t>
      </w:r>
    </w:p>
    <w:p w14:paraId="70C669CC">
      <w:pPr>
        <w:rPr>
          <w:rFonts w:ascii="宋体" w:hAnsi="宋体" w:eastAsia="宋体" w:cs="Times New Roman"/>
          <w:color w:val="ED0000"/>
          <w:kern w:val="0"/>
          <w:sz w:val="32"/>
        </w:rPr>
      </w:pPr>
    </w:p>
    <w:p w14:paraId="0FCB41B8">
      <w:pPr>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p>
    <w:p w14:paraId="3B1F523F">
      <w:pPr>
        <w:rPr>
          <w:rFonts w:ascii="宋体" w:hAnsi="宋体" w:eastAsia="宋体" w:cs="Times New Roman"/>
          <w:color w:val="ED0000"/>
          <w:kern w:val="0"/>
          <w:sz w:val="32"/>
        </w:rPr>
      </w:pPr>
    </w:p>
    <w:p w14:paraId="18E43A0D">
      <w:pPr>
        <w:ind w:firstLine="4480" w:firstLineChars="1400"/>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040DCF"/>
    <w:rsid w:val="001C61F8"/>
    <w:rsid w:val="001E18C0"/>
    <w:rsid w:val="002C69D4"/>
    <w:rsid w:val="004D163C"/>
    <w:rsid w:val="005A3060"/>
    <w:rsid w:val="006E4FC3"/>
    <w:rsid w:val="00863A4E"/>
    <w:rsid w:val="00961162"/>
    <w:rsid w:val="009B3B57"/>
    <w:rsid w:val="00BF484E"/>
    <w:rsid w:val="00E21578"/>
    <w:rsid w:val="00E7149E"/>
    <w:rsid w:val="02CD1F70"/>
    <w:rsid w:val="04010A7C"/>
    <w:rsid w:val="05597299"/>
    <w:rsid w:val="058F420C"/>
    <w:rsid w:val="0EBA6009"/>
    <w:rsid w:val="13C82EBE"/>
    <w:rsid w:val="1A4F4232"/>
    <w:rsid w:val="1A9B5A17"/>
    <w:rsid w:val="21180B99"/>
    <w:rsid w:val="2E210DA6"/>
    <w:rsid w:val="30412871"/>
    <w:rsid w:val="391047A9"/>
    <w:rsid w:val="41297609"/>
    <w:rsid w:val="45750D0A"/>
    <w:rsid w:val="56D56C11"/>
    <w:rsid w:val="628B2A89"/>
    <w:rsid w:val="66A24C3D"/>
    <w:rsid w:val="6B9136FA"/>
    <w:rsid w:val="6CA37D42"/>
    <w:rsid w:val="6CB0032D"/>
    <w:rsid w:val="71394906"/>
    <w:rsid w:val="736E6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rFonts w:hint="eastAsia" w:cs="Times New Roman"/>
      <w:sz w:val="24"/>
    </w:rPr>
  </w:style>
  <w:style w:type="character" w:customStyle="1" w:styleId="10">
    <w:name w:val="页眉 字符"/>
    <w:basedOn w:val="9"/>
    <w:link w:val="6"/>
    <w:qFormat/>
    <w:uiPriority w:val="0"/>
    <w:rPr>
      <w:rFonts w:asciiTheme="minorHAnsi" w:hAnsiTheme="minorHAnsi" w:eastAsiaTheme="minorEastAsia" w:cstheme="minorBidi"/>
      <w:kern w:val="2"/>
      <w:sz w:val="18"/>
      <w:szCs w:val="18"/>
    </w:rPr>
  </w:style>
  <w:style w:type="character" w:customStyle="1" w:styleId="11">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6867</Words>
  <Characters>6872</Characters>
  <Lines>54</Lines>
  <Paragraphs>15</Paragraphs>
  <TotalTime>5</TotalTime>
  <ScaleCrop>false</ScaleCrop>
  <LinksUpToDate>false</LinksUpToDate>
  <CharactersWithSpaces>7464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2025-07-02T09:22:23Z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117BAEE56D7B4EFC8C6FFC4C8C721D0F</vt:lpwstr>
  </property>
  <property fmtid="{D5CDD505-2E9C-101B-9397-08002B2CF9AE}" pid="4" name="KSOTemplateDocerSaveRecord">
    <vt:lpwstr>eyJoZGlkIjoiZWU3OWZiMGIzOWMyMjY0NGIxNWM4ODYwMGZhYWUzYWIifQ==</vt:lpwstr>
  </property>
</Properties>
</file>