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5E7D9">
      <w:pPr>
        <w:keepNext w:val="0"/>
        <w:keepLines w:val="0"/>
        <w:pageBreakBefore w:val="0"/>
        <w:widowControl w:val="0"/>
        <w:kinsoku/>
        <w:overflowPunct/>
        <w:topLinePunct w:val="0"/>
        <w:bidi w:val="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w:t>
      </w:r>
    </w:p>
    <w:p w14:paraId="118618AD">
      <w:pPr>
        <w:pStyle w:val="8"/>
        <w:keepNext w:val="0"/>
        <w:keepLines w:val="0"/>
        <w:pageBreakBefore w:val="0"/>
        <w:widowControl w:val="0"/>
        <w:kinsoku/>
        <w:overflowPunct/>
        <w:topLinePunct w:val="0"/>
        <w:bidi w:val="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13DC41B">
      <w:pPr>
        <w:pStyle w:val="2"/>
        <w:keepNext w:val="0"/>
        <w:keepLines w:val="0"/>
        <w:pageBreakBefore w:val="0"/>
        <w:widowControl w:val="0"/>
        <w:kinsoku/>
        <w:overflowPunct/>
        <w:topLinePunct w:val="0"/>
        <w:autoSpaceDN/>
        <w:bidi w:val="0"/>
        <w:spacing w:beforeLines="0" w:afterLines="0" w:line="560" w:lineRule="exact"/>
        <w:jc w:val="center"/>
        <w:textAlignment w:val="auto"/>
        <w:rPr>
          <w:rFonts w:hint="default" w:ascii="Times New Roman" w:hAnsi="Times New Roman" w:eastAsia="方正小标宋简体"/>
          <w:color w:val="000000" w:themeColor="text1"/>
          <w:kern w:val="0"/>
          <w:sz w:val="44"/>
          <w:szCs w:val="44"/>
          <w:highlight w:val="none"/>
          <w:lang w:val="en-US" w:eastAsia="zh-CN"/>
          <w14:textFill>
            <w14:solidFill>
              <w14:schemeClr w14:val="tx1"/>
            </w14:solidFill>
          </w14:textFill>
        </w:rPr>
      </w:pPr>
      <w:bookmarkStart w:id="4" w:name="_GoBack"/>
      <w:bookmarkEnd w:id="4"/>
      <w:r>
        <w:rPr>
          <w:rFonts w:hint="eastAsia" w:ascii="方正小标宋简体" w:hAnsi="方正小标宋简体" w:eastAsia="方正小标宋简体" w:cs="方正小标宋简体"/>
          <w:color w:val="000000" w:themeColor="text1"/>
          <w:kern w:val="0"/>
          <w:sz w:val="44"/>
          <w:szCs w:val="44"/>
          <w:highlight w:val="none"/>
          <w14:textFill>
            <w14:solidFill>
              <w14:schemeClr w14:val="tx1"/>
            </w14:solidFill>
          </w14:textFill>
        </w:rPr>
        <w:t>云浮市长期护理保险</w:t>
      </w:r>
      <w:r>
        <w:rPr>
          <w:rFonts w:hint="eastAsia" w:ascii="方正小标宋简体" w:hAnsi="方正小标宋简体" w:eastAsia="方正小标宋简体" w:cs="方正小标宋简体"/>
          <w:color w:val="000000" w:themeColor="text1"/>
          <w:kern w:val="0"/>
          <w:sz w:val="44"/>
          <w:szCs w:val="44"/>
          <w:highlight w:val="none"/>
          <w:lang w:val="en-US" w:eastAsia="zh-CN"/>
          <w14:textFill>
            <w14:solidFill>
              <w14:schemeClr w14:val="tx1"/>
            </w14:solidFill>
          </w14:textFill>
        </w:rPr>
        <w:t>实施细则</w:t>
      </w:r>
    </w:p>
    <w:p w14:paraId="77AAEBD3">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jc w:val="center"/>
        <w:textAlignment w:val="auto"/>
        <w:outlineLvl w:val="0"/>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征求意见</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稿）</w:t>
      </w:r>
    </w:p>
    <w:p w14:paraId="59F4D0BC">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jc w:val="center"/>
        <w:textAlignment w:val="auto"/>
        <w:outlineLvl w:val="0"/>
        <w:rPr>
          <w:rStyle w:val="11"/>
          <w:rFonts w:hint="eastAsia" w:ascii="黑体" w:hAnsi="宋体" w:eastAsia="黑体" w:cs="黑体"/>
          <w:b w:val="0"/>
          <w:color w:val="000000" w:themeColor="text1"/>
          <w:sz w:val="32"/>
          <w:szCs w:val="32"/>
          <w:highlight w:val="none"/>
          <w14:textFill>
            <w14:solidFill>
              <w14:schemeClr w14:val="tx1"/>
            </w14:solidFill>
          </w14:textFill>
        </w:rPr>
      </w:pPr>
    </w:p>
    <w:p w14:paraId="5A2B923A">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jc w:val="center"/>
        <w:textAlignment w:val="auto"/>
        <w:outlineLvl w:val="0"/>
        <w:rPr>
          <w:rFonts w:hint="eastAsia" w:ascii="黑体" w:eastAsia="黑体" w:cs="黑体"/>
          <w:color w:val="000000" w:themeColor="text1"/>
          <w:sz w:val="32"/>
          <w:szCs w:val="32"/>
          <w:highlight w:val="none"/>
          <w14:textFill>
            <w14:solidFill>
              <w14:schemeClr w14:val="tx1"/>
            </w14:solidFill>
          </w14:textFill>
        </w:rPr>
      </w:pPr>
      <w:r>
        <w:rPr>
          <w:rStyle w:val="11"/>
          <w:rFonts w:hint="eastAsia" w:ascii="黑体" w:hAnsi="宋体" w:eastAsia="黑体" w:cs="黑体"/>
          <w:b w:val="0"/>
          <w:color w:val="000000" w:themeColor="text1"/>
          <w:sz w:val="32"/>
          <w:szCs w:val="32"/>
          <w:highlight w:val="none"/>
          <w14:textFill>
            <w14:solidFill>
              <w14:schemeClr w14:val="tx1"/>
            </w14:solidFill>
          </w14:textFill>
        </w:rPr>
        <w:t>第一章 总则</w:t>
      </w:r>
    </w:p>
    <w:p w14:paraId="2F5CC5B6">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Style w:val="11"/>
          <w:rFonts w:hint="eastAsia" w:ascii="黑体" w:hAnsi="宋体" w:eastAsia="黑体" w:cs="黑体"/>
          <w:b w:val="0"/>
          <w:color w:val="000000" w:themeColor="text1"/>
          <w:sz w:val="32"/>
          <w:szCs w:val="32"/>
          <w:highlight w:val="none"/>
          <w14:textFill>
            <w14:solidFill>
              <w14:schemeClr w14:val="tx1"/>
            </w14:solidFill>
          </w14:textFill>
        </w:rPr>
      </w:pPr>
    </w:p>
    <w:p w14:paraId="2FCB1F1D">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1"/>
          <w:rFonts w:hint="eastAsia" w:ascii="黑体" w:hAnsi="黑体" w:eastAsia="黑体" w:cs="黑体"/>
          <w:b w:val="0"/>
          <w:color w:val="000000" w:themeColor="text1"/>
          <w:sz w:val="32"/>
          <w:szCs w:val="32"/>
          <w:highlight w:val="none"/>
          <w14:textFill>
            <w14:solidFill>
              <w14:schemeClr w14:val="tx1"/>
            </w14:solidFill>
          </w14:textFill>
        </w:rPr>
        <w:t>第一条</w:t>
      </w:r>
      <w:r>
        <w:rPr>
          <w:rStyle w:val="11"/>
          <w:rFonts w:hint="eastAsia" w:ascii="仿宋" w:hAnsi="仿宋" w:eastAsia="仿宋" w:cs="仿宋"/>
          <w:color w:val="000000" w:themeColor="text1"/>
          <w:sz w:val="32"/>
          <w:szCs w:val="32"/>
          <w:highlight w:val="none"/>
          <w14:textFill>
            <w14:solidFill>
              <w14:schemeClr w14:val="tx1"/>
            </w14:solidFill>
          </w14:textFill>
        </w:rPr>
        <w:t>【政策依据】</w:t>
      </w:r>
      <w:r>
        <w:rPr>
          <w:rFonts w:hint="eastAsia" w:ascii="仿宋_GB2312" w:hAnsi="仿宋_GB2312" w:eastAsia="仿宋_GB2312" w:cs="仿宋_GB2312"/>
          <w:color w:val="000000" w:themeColor="text1"/>
          <w:sz w:val="32"/>
          <w:szCs w:val="32"/>
          <w:highlight w:val="none"/>
          <w14:textFill>
            <w14:solidFill>
              <w14:schemeClr w14:val="tx1"/>
            </w14:solidFill>
          </w14:textFill>
        </w:rPr>
        <w:t>为贯彻落实党的二十大关于健全多层次社会保障体系的决策部署，积极应对人口老龄化，保障失能人员基本护理需求，根据《中共中央办公厅 国务院办公厅关于加快建立长期护理保险制度的意见》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广东省加快建立长期护理保险制度的实施方案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粤医保发</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等文件精神，结合本市实际，制定本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实施细则</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30504D8F">
      <w:pPr>
        <w:pStyle w:val="7"/>
        <w:keepNext w:val="0"/>
        <w:keepLines w:val="0"/>
        <w:pageBreakBefore w:val="0"/>
        <w:widowControl w:val="0"/>
        <w:kinsoku/>
        <w:overflowPunct/>
        <w:topLinePunct w:val="0"/>
        <w:bidi w:val="0"/>
        <w:spacing w:before="0" w:beforeLines="0" w:beforeAutospacing="0" w:after="0" w:afterLines="0" w:afterAutospacing="0" w:line="560" w:lineRule="exact"/>
        <w:ind w:firstLine="680" w:firstLineChars="200"/>
        <w:jc w:val="both"/>
        <w:textAlignment w:val="auto"/>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pPr>
      <w:r>
        <w:rPr>
          <w:rStyle w:val="11"/>
          <w:rFonts w:hint="eastAsia" w:ascii="黑体" w:hAnsi="宋体" w:eastAsia="黑体" w:cs="黑体"/>
          <w:b w:val="0"/>
          <w:color w:val="000000" w:themeColor="text1"/>
          <w:sz w:val="32"/>
          <w:szCs w:val="32"/>
          <w:highlight w:val="none"/>
          <w14:textFill>
            <w14:solidFill>
              <w14:schemeClr w14:val="tx1"/>
            </w14:solidFill>
          </w14:textFill>
        </w:rPr>
        <w:t>第二条</w:t>
      </w:r>
      <w:r>
        <w:rPr>
          <w:rStyle w:val="11"/>
          <w:rFonts w:hint="eastAsia" w:ascii="仿宋" w:hAnsi="仿宋" w:eastAsia="仿宋" w:cs="仿宋"/>
          <w:color w:val="000000" w:themeColor="text1"/>
          <w:sz w:val="32"/>
          <w:szCs w:val="32"/>
          <w:highlight w:val="none"/>
          <w14:textFill>
            <w14:solidFill>
              <w14:schemeClr w14:val="tx1"/>
            </w14:solidFill>
          </w14:textFill>
        </w:rPr>
        <w:t>【基本概念】</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本实施细则所称长期护理保险（以下简称长护险），是以互助共济方式筹集资金，重点解决长期失能人员基本护理保障需求，为长期失能人员的基本生活照料和医疗护理提供服务</w:t>
      </w:r>
      <w:r>
        <w:rPr>
          <w:rStyle w:val="11"/>
          <w:rFonts w:hint="eastAsia" w:ascii="仿宋_GB2312" w:hAnsi="仿宋_GB2312" w:eastAsia="仿宋_GB2312" w:cs="仿宋_GB2312"/>
          <w:b w:val="0"/>
          <w:color w:val="000000" w:themeColor="text1"/>
          <w:sz w:val="32"/>
          <w:szCs w:val="32"/>
          <w:highlight w:val="none"/>
          <w:lang w:val="en-US" w:eastAsia="zh-CN"/>
          <w14:textFill>
            <w14:solidFill>
              <w14:schemeClr w14:val="tx1"/>
            </w14:solidFill>
          </w14:textFill>
        </w:rPr>
        <w:t>或资金</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保障的社会保险制度。</w:t>
      </w:r>
    </w:p>
    <w:p w14:paraId="40FECC66">
      <w:pPr>
        <w:pStyle w:val="7"/>
        <w:keepNext w:val="0"/>
        <w:keepLines w:val="0"/>
        <w:pageBreakBefore w:val="0"/>
        <w:widowControl w:val="0"/>
        <w:kinsoku/>
        <w:overflowPunct/>
        <w:topLinePunct w:val="0"/>
        <w:bidi w:val="0"/>
        <w:spacing w:before="0" w:beforeLines="0" w:beforeAutospacing="0" w:after="0" w:afterLines="0" w:afterAutospacing="0" w:line="560" w:lineRule="exact"/>
        <w:ind w:firstLine="68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Style w:val="11"/>
          <w:rFonts w:hint="eastAsia" w:ascii="黑体" w:hAnsi="宋体" w:eastAsia="黑体" w:cs="黑体"/>
          <w:b w:val="0"/>
          <w:color w:val="000000" w:themeColor="text1"/>
          <w:sz w:val="32"/>
          <w:szCs w:val="32"/>
          <w:highlight w:val="none"/>
          <w14:textFill>
            <w14:solidFill>
              <w14:schemeClr w14:val="tx1"/>
            </w14:solidFill>
          </w14:textFill>
        </w:rPr>
        <w:t>第三条</w:t>
      </w:r>
      <w:r>
        <w:rPr>
          <w:rStyle w:val="11"/>
          <w:rFonts w:hint="eastAsia" w:ascii="仿宋" w:hAnsi="仿宋" w:eastAsia="仿宋" w:cs="仿宋"/>
          <w:color w:val="000000" w:themeColor="text1"/>
          <w:sz w:val="32"/>
          <w:szCs w:val="32"/>
          <w:highlight w:val="none"/>
          <w14:textFill>
            <w14:solidFill>
              <w14:schemeClr w14:val="tx1"/>
            </w14:solidFill>
          </w14:textFill>
        </w:rPr>
        <w:t>【适用范围】</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我市长护险从职工</w:t>
      </w:r>
      <w:r>
        <w:rPr>
          <w:rStyle w:val="11"/>
          <w:rFonts w:hint="eastAsia" w:ascii="仿宋_GB2312" w:hAnsi="仿宋_GB2312" w:eastAsia="仿宋_GB2312" w:cs="仿宋_GB2312"/>
          <w:b w:val="0"/>
          <w:color w:val="000000" w:themeColor="text1"/>
          <w:sz w:val="32"/>
          <w:szCs w:val="32"/>
          <w:highlight w:val="none"/>
          <w:lang w:val="en-US" w:eastAsia="zh-CN"/>
          <w14:textFill>
            <w14:solidFill>
              <w14:schemeClr w14:val="tx1"/>
            </w14:solidFill>
          </w14:textFill>
        </w:rPr>
        <w:t>人员</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起步，综合考虑经济发展水平、资金筹集能力和保障需求等因素，逐步将长护险参保范围扩大到</w:t>
      </w:r>
      <w:r>
        <w:rPr>
          <w:rStyle w:val="11"/>
          <w:rFonts w:hint="eastAsia" w:ascii="仿宋_GB2312" w:hAnsi="仿宋_GB2312" w:eastAsia="仿宋_GB2312" w:cs="仿宋_GB2312"/>
          <w:b w:val="0"/>
          <w:color w:val="000000" w:themeColor="text1"/>
          <w:sz w:val="32"/>
          <w:szCs w:val="32"/>
          <w:highlight w:val="none"/>
          <w:lang w:val="en-US" w:eastAsia="zh-CN"/>
          <w14:textFill>
            <w14:solidFill>
              <w14:schemeClr w14:val="tx1"/>
            </w14:solidFill>
          </w14:textFill>
        </w:rPr>
        <w:t>未就业</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城乡居民。本实施细则适用于本市行政区域内长护险的参保筹资、待遇享受、管理及经办服务等相关事项。</w:t>
      </w:r>
    </w:p>
    <w:p w14:paraId="6015DE39">
      <w:pPr>
        <w:pStyle w:val="7"/>
        <w:keepNext w:val="0"/>
        <w:keepLines w:val="0"/>
        <w:pageBreakBefore w:val="0"/>
        <w:widowControl w:val="0"/>
        <w:kinsoku/>
        <w:overflowPunct/>
        <w:topLinePunct w:val="0"/>
        <w:bidi w:val="0"/>
        <w:spacing w:before="0" w:beforeLines="0" w:beforeAutospacing="0" w:after="0" w:afterLines="0" w:afterAutospacing="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1"/>
          <w:rFonts w:hint="eastAsia" w:ascii="黑体" w:hAnsi="宋体" w:eastAsia="黑体" w:cs="黑体"/>
          <w:b w:val="0"/>
          <w:color w:val="000000" w:themeColor="text1"/>
          <w:sz w:val="32"/>
          <w:szCs w:val="32"/>
          <w:highlight w:val="none"/>
          <w14:textFill>
            <w14:solidFill>
              <w14:schemeClr w14:val="tx1"/>
            </w14:solidFill>
          </w14:textFill>
        </w:rPr>
        <w:t>第四条</w:t>
      </w:r>
      <w:r>
        <w:rPr>
          <w:rStyle w:val="11"/>
          <w:rFonts w:hint="eastAsia" w:ascii="仿宋" w:hAnsi="仿宋" w:eastAsia="仿宋" w:cs="仿宋"/>
          <w:color w:val="000000" w:themeColor="text1"/>
          <w:sz w:val="32"/>
          <w:szCs w:val="32"/>
          <w:highlight w:val="none"/>
          <w14:textFill>
            <w14:solidFill>
              <w14:schemeClr w14:val="tx1"/>
            </w14:solidFill>
          </w14:textFill>
        </w:rPr>
        <w:t>【基本原则】</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长护险制度应遵循以下原则：</w:t>
      </w:r>
    </w:p>
    <w:p w14:paraId="7400AB90">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（一）坚持以人为本，重点解决失能人员长期护理保障问题。</w:t>
      </w:r>
    </w:p>
    <w:p w14:paraId="7C3C4BB2">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（二）坚持独立运行，建立独立险种，独立设计，统筹推进。</w:t>
      </w:r>
    </w:p>
    <w:p w14:paraId="075C1712">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（三）坚持“以收定支、收支平衡、略有结余”原则，科学合理确定筹资和保障水平。</w:t>
      </w:r>
    </w:p>
    <w:p w14:paraId="2384C77A">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（四）坚持责任共担，建立多渠道筹资机制，体现权责对等要求，实现基金稳定筹集、独立运行、收支平衡、动态调整。</w:t>
      </w:r>
    </w:p>
    <w:p w14:paraId="17C05157">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（五）坚持统筹协调，政策一体贯通，做好与社会保障相关制度及商业保险功能衔接，协同推进健康产业和养老服务体系发展。</w:t>
      </w:r>
    </w:p>
    <w:p w14:paraId="42F978AD">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Style w:val="11"/>
          <w:rFonts w:hint="eastAsia" w:ascii="仿宋" w:hAnsi="仿宋" w:eastAsia="仿宋" w:cs="仿宋"/>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第五条</w:t>
      </w:r>
      <w:r>
        <w:rPr>
          <w:rStyle w:val="11"/>
          <w:rFonts w:hint="eastAsia" w:ascii="仿宋" w:hAnsi="仿宋" w:eastAsia="仿宋" w:cs="仿宋"/>
          <w:color w:val="000000" w:themeColor="text1"/>
          <w:sz w:val="32"/>
          <w:szCs w:val="32"/>
          <w:highlight w:val="none"/>
          <w14:textFill>
            <w14:solidFill>
              <w14:schemeClr w14:val="tx1"/>
            </w14:solidFill>
          </w14:textFill>
        </w:rPr>
        <w:t>【职责分工】</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加强医保、财政、税务、民政、卫健、人社、农业农村、残联等部门的协作配合，形成工作合力。</w:t>
      </w:r>
    </w:p>
    <w:p w14:paraId="6CA15E25">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市医疗保障行政部门主管本市长护险工作，负责政策制定、组织实施和监督管理。各县（市、区）医疗保障行政部门负责本行政区域内长护险的组织实施和监督管理等工作。联合人社部门做好长期照护师培训培养和职业技能等级认定工作，加强长期照护师职业技能等级认定工作监督管理指导。各级医疗保障经办机构负责本行政区域内长护险各项经办服务与管理工作。</w:t>
      </w:r>
    </w:p>
    <w:p w14:paraId="58F60AE4">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财政部门负责及时足额安排相关财政补助资金，配合医保部门做好基金测算等工作。</w:t>
      </w:r>
    </w:p>
    <w:p w14:paraId="123692F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税务部门负责做好长护险的保费征收等工作。</w:t>
      </w:r>
    </w:p>
    <w:p w14:paraId="11253E97">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民政部门负责加强养老服务行业监管，做好相关数据信息共享，</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与财政、医保、残联等部门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共同做好长护险政策与相关津补贴制度的衔接，探索失能等级评估结果跨部门互认机制等。</w:t>
      </w:r>
    </w:p>
    <w:p w14:paraId="4631DB47">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卫生健康部门负责开展长护险服务的医疗机构的行业管理和医疗服务技术指导，为失能等级评估工作提供支持，鼓励基层医疗卫生机构提供长期护理服务。</w:t>
      </w:r>
    </w:p>
    <w:p w14:paraId="5DB664C6">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人力资源社会保障部门负责支持配合做好长期照护师培训评价和长期护理保险与工伤保险衔接、退休人员保费代扣代缴等工作。</w:t>
      </w:r>
    </w:p>
    <w:p w14:paraId="4E355556">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农业农村部门负责</w:t>
      </w:r>
      <w:r>
        <w:rPr>
          <w:rFonts w:hint="eastAsia" w:ascii="仿宋_GB2312" w:hAnsi="仿宋_GB2312" w:cs="仿宋_GB2312"/>
          <w:color w:val="000000" w:themeColor="text1"/>
          <w:sz w:val="32"/>
          <w:szCs w:val="32"/>
          <w:highlight w:val="none"/>
          <w:lang w:eastAsia="zh-CN"/>
          <w14:textFill>
            <w14:solidFill>
              <w14:schemeClr w14:val="tx1"/>
            </w14:solidFill>
          </w14:textFill>
        </w:rPr>
        <w:t>做好</w:t>
      </w:r>
      <w:r>
        <w:rPr>
          <w:rFonts w:hint="eastAsia" w:ascii="仿宋_GB2312" w:hAnsi="仿宋_GB2312" w:eastAsia="仿宋_GB2312" w:cs="仿宋_GB2312"/>
          <w:color w:val="000000" w:themeColor="text1"/>
          <w:sz w:val="32"/>
          <w:szCs w:val="32"/>
          <w:highlight w:val="none"/>
          <w14:textFill>
            <w14:solidFill>
              <w14:schemeClr w14:val="tx1"/>
            </w14:solidFill>
          </w14:textFill>
        </w:rPr>
        <w:t>防止返贫致贫对象认定和帮扶工作。</w:t>
      </w:r>
    </w:p>
    <w:p w14:paraId="57763784">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残联部门负责做好相关残疾人数据共享，协同做好残疾人参保相关工作。</w:t>
      </w:r>
    </w:p>
    <w:p w14:paraId="06CBAB4B">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各县（市、区）人民政府负责统筹指导本辖区长护险制度的组织实施、经费投入、人员配置等方面</w:t>
      </w:r>
      <w:r>
        <w:rPr>
          <w:rFonts w:hint="eastAsia" w:ascii="仿宋_GB2312" w:hAnsi="仿宋_GB2312" w:cs="仿宋_GB2312"/>
          <w:color w:val="000000" w:themeColor="text1"/>
          <w:sz w:val="32"/>
          <w:szCs w:val="32"/>
          <w:highlight w:val="none"/>
          <w:lang w:eastAsia="zh-CN" w:bidi="ar"/>
          <w14:textFill>
            <w14:solidFill>
              <w14:schemeClr w14:val="tx1"/>
            </w14:solidFill>
          </w14:textFill>
        </w:rPr>
        <w:t>的工作，提供</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保障和支持。</w:t>
      </w:r>
    </w:p>
    <w:p w14:paraId="3AE7CE2D">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发展改革、政务服务和数据、金融监管</w:t>
      </w:r>
      <w:r>
        <w:rPr>
          <w:rFonts w:hint="eastAsia" w:ascii="仿宋_GB2312" w:hAnsi="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工会</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等有关部门按各自职责协同实施本实施细则。</w:t>
      </w:r>
    </w:p>
    <w:p w14:paraId="2980D823">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center"/>
        <w:textAlignment w:val="auto"/>
        <w:outlineLvl w:val="0"/>
        <w:rPr>
          <w:rFonts w:hint="eastAsia" w:ascii="黑体" w:eastAsia="黑体" w:cs="黑体"/>
          <w:color w:val="000000" w:themeColor="text1"/>
          <w:sz w:val="32"/>
          <w:szCs w:val="32"/>
          <w:highlight w:val="none"/>
          <w:shd w:val="clear" w:color="auto" w:fill="FFFFFF"/>
          <w14:textFill>
            <w14:solidFill>
              <w14:schemeClr w14:val="tx1"/>
            </w14:solidFill>
          </w14:textFill>
        </w:rPr>
      </w:pPr>
    </w:p>
    <w:p w14:paraId="47033504">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jc w:val="center"/>
        <w:textAlignment w:val="auto"/>
        <w:outlineLvl w:val="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shd w:val="clear" w:color="auto" w:fill="FFFFFF"/>
          <w14:textFill>
            <w14:solidFill>
              <w14:schemeClr w14:val="tx1"/>
            </w14:solidFill>
          </w14:textFill>
        </w:rPr>
        <w:t xml:space="preserve">第二章  </w:t>
      </w:r>
      <w:r>
        <w:rPr>
          <w:rFonts w:hint="eastAsia" w:ascii="黑体" w:hAnsi="黑体" w:eastAsia="黑体" w:cs="黑体"/>
          <w:color w:val="000000" w:themeColor="text1"/>
          <w:sz w:val="32"/>
          <w:szCs w:val="32"/>
          <w:highlight w:val="none"/>
          <w14:textFill>
            <w14:solidFill>
              <w14:schemeClr w14:val="tx1"/>
            </w14:solidFill>
          </w14:textFill>
        </w:rPr>
        <w:t>参保缴费</w:t>
      </w:r>
    </w:p>
    <w:p w14:paraId="25D99163">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黑体" w:eastAsia="黑体" w:cs="黑体"/>
          <w:color w:val="000000" w:themeColor="text1"/>
          <w:sz w:val="32"/>
          <w:szCs w:val="32"/>
          <w:highlight w:val="none"/>
          <w14:textFill>
            <w14:solidFill>
              <w14:schemeClr w14:val="tx1"/>
            </w14:solidFill>
          </w14:textFill>
        </w:rPr>
      </w:pPr>
    </w:p>
    <w:p w14:paraId="69DBD8C4">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第六条</w:t>
      </w:r>
      <w:r>
        <w:rPr>
          <w:rStyle w:val="11"/>
          <w:rFonts w:hint="eastAsia" w:ascii="仿宋" w:hAnsi="仿宋" w:eastAsia="仿宋" w:cs="仿宋"/>
          <w:color w:val="000000" w:themeColor="text1"/>
          <w:sz w:val="32"/>
          <w:szCs w:val="32"/>
          <w:highlight w:val="none"/>
          <w14:textFill>
            <w14:solidFill>
              <w14:schemeClr w14:val="tx1"/>
            </w14:solidFill>
          </w14:textFill>
        </w:rPr>
        <w:t>【参保范围】</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用人单位（包括企业、事业单位、机关、社会组织</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）以及单位职工、退休人员、灵活就业人员和未就业城乡居民等按照属地管理原则参加长护险。</w:t>
      </w:r>
    </w:p>
    <w:p w14:paraId="0AD87FF3">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第七条</w:t>
      </w:r>
      <w:r>
        <w:rPr>
          <w:rStyle w:val="11"/>
          <w:rFonts w:hint="eastAsia" w:ascii="仿宋" w:hAnsi="仿宋" w:eastAsia="仿宋" w:cs="仿宋"/>
          <w:color w:val="000000" w:themeColor="text1"/>
          <w:sz w:val="32"/>
          <w:szCs w:val="32"/>
          <w:highlight w:val="none"/>
          <w14:textFill>
            <w14:solidFill>
              <w14:schemeClr w14:val="tx1"/>
            </w14:solidFill>
          </w14:textFill>
        </w:rPr>
        <w:t>【缴费标准】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健全单位、个人、政府、社会等多元筹资渠道，与经济发展水平相适应、与各方负担能力相匹配、与长远可持续要求相协调，逐步实现基金稳定筹集、独立运行。建立长护险缴费比例动态机制，并按照以下缴费标准执行：</w:t>
      </w:r>
    </w:p>
    <w:p w14:paraId="67EAB76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一）单位职工。职工参保人员的长护险保险费按月筹集，与职工基本医疗保险费同步缴纳。单位职工长期护理保险费费率为0.3%，由用人单位和职工个人按同比例分担。用人单位缴费基数为职工工资总额，费率为0.15%；个人缴费基数为本人当期职工基本医疗保险缴费基数，费率为0.15%。长护险单位缴费部分</w:t>
      </w:r>
      <w:r>
        <w:rPr>
          <w:rFonts w:hint="eastAsia" w:ascii="仿宋_GB2312" w:hAnsi="仿宋_GB2312" w:cs="仿宋_GB2312"/>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由用人单位按月申报缴费；个人缴费部分，由用人单位按月代扣代缴。</w:t>
      </w:r>
    </w:p>
    <w:p w14:paraId="3C4A0222">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制度启动时，</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职工</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基本医疗保险费单位缴费费率降低0.15%，降低的费率平移用作长护险单位缴费费率，调整后职工基本医疗保险（</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不</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含生育保险）用人单位缴费费率由</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%调整为</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.85%。</w:t>
      </w:r>
    </w:p>
    <w:p w14:paraId="04C8CF1B">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（二）退休人员。</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职工达到法定退休年龄时，其缴费费率与单位职工个人费率相同，费率为0.15%，</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由个人缴费，原用人单位不缴费。退休人员的长护险缴费基数为上年度本人月基本养老金，无上年度基本养老金的以全市上年度月平均基本养老金为基数。经个人同意，有职工医保个人账户的，费款</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可由</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医保部门从其职工医保个人账户中按月进行代扣代缴；无职工医保个人账户的，由个人通过税务部门自行缴费</w:t>
      </w:r>
      <w:r>
        <w:rPr>
          <w:rFonts w:hint="eastAsia" w:ascii="仿宋_GB2312" w:hAnsi="仿宋_GB2312" w:cs="仿宋_GB2312"/>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探索由发放基本养老金的社会保险经办机构代扣代缴。</w:t>
      </w:r>
    </w:p>
    <w:p w14:paraId="308D394C">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三）灵活就业人员。灵活就业人员参加基本医疗保险，同步参加长期护理保险。按单位职工缴费费率标准参加长期护理保险，缴费费率为0.3%（其中用人单位的0.15%和个人承担的0.15%均由个人承担），缴费基数与本人当期职工基本医疗保险缴费基</w:t>
      </w:r>
      <w:r>
        <w:rPr>
          <w:rFonts w:hint="eastAsia" w:ascii="仿宋_GB2312" w:hAnsi="仿宋_GB2312" w:eastAsia="仿宋_GB2312" w:cs="仿宋_GB2312"/>
          <w:color w:val="auto"/>
          <w:kern w:val="2"/>
          <w:sz w:val="32"/>
          <w:szCs w:val="32"/>
          <w:highlight w:val="none"/>
        </w:rPr>
        <w:t>数一致，由个人按规定缴费，与职工基本医疗保险费共同缴纳。制度启动时，灵活就业人员职工基本医疗保险费由</w:t>
      </w:r>
      <w:r>
        <w:rPr>
          <w:rFonts w:hint="eastAsia" w:ascii="仿宋_GB2312" w:hAnsi="仿宋_GB2312" w:cs="仿宋_GB2312"/>
          <w:color w:val="auto"/>
          <w:kern w:val="2"/>
          <w:sz w:val="32"/>
          <w:szCs w:val="32"/>
          <w:highlight w:val="none"/>
          <w:lang w:val="en-US" w:eastAsia="zh-CN"/>
        </w:rPr>
        <w:t>8</w:t>
      </w:r>
      <w:r>
        <w:rPr>
          <w:rFonts w:hint="eastAsia" w:ascii="仿宋_GB2312" w:hAnsi="仿宋_GB2312" w:eastAsia="仿宋_GB2312" w:cs="仿宋_GB2312"/>
          <w:color w:val="auto"/>
          <w:kern w:val="2"/>
          <w:sz w:val="32"/>
          <w:szCs w:val="32"/>
          <w:highlight w:val="none"/>
        </w:rPr>
        <w:t>%（含计发个人账户2%）调整为</w:t>
      </w:r>
      <w:r>
        <w:rPr>
          <w:rFonts w:hint="eastAsia" w:ascii="仿宋_GB2312" w:hAnsi="仿宋_GB2312" w:cs="仿宋_GB2312"/>
          <w:color w:val="auto"/>
          <w:kern w:val="2"/>
          <w:sz w:val="32"/>
          <w:szCs w:val="32"/>
          <w:highlight w:val="none"/>
          <w:lang w:val="en-US" w:eastAsia="zh-CN"/>
        </w:rPr>
        <w:t>7</w:t>
      </w:r>
      <w:r>
        <w:rPr>
          <w:rFonts w:hint="eastAsia" w:ascii="仿宋_GB2312" w:hAnsi="仿宋_GB2312" w:eastAsia="仿宋_GB2312" w:cs="仿宋_GB2312"/>
          <w:color w:val="auto"/>
          <w:kern w:val="2"/>
          <w:sz w:val="32"/>
          <w:szCs w:val="32"/>
          <w:highlight w:val="none"/>
        </w:rPr>
        <w:t>.85%（含计发个人账户2%）。灵活就业人员也可选择按未就业城乡居民参保政策参加长期护理保险。</w:t>
      </w:r>
    </w:p>
    <w:p w14:paraId="35BC6A3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0"/>
        <w:rPr>
          <w:rFonts w:hint="eastAsia" w:ascii="楷体" w:hAnsi="楷体" w:eastAsia="楷体" w:cs="楷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四）未就业城乡居民。未就业城乡居民长护险保险费按年度筹集，集中征缴期原则上与我市城乡居民基本医疗保险年度集中征缴期一致，与城乡居民基本医疗保险费共同缴纳。未就业城乡居民筹资由个人缴费和政府补助构成，二者比例为1</w:t>
      </w:r>
      <w:r>
        <w:rPr>
          <w:rFonts w:hint="eastAsia" w:ascii="仿宋_GB2312" w:hAnsi="仿宋_GB2312" w:cs="仿宋_GB2312"/>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1左右。缴费基数为本市上年度城乡居民人均可支配收入，费率从0.15%起步，用5年左右时间逐步过渡到0.3%左右。具体个人缴费标准，在每年居民医保费集中征缴时一并发布。应由市县两级承担的政府补助，市级财政按税收分成比例予以分担。</w:t>
      </w:r>
    </w:p>
    <w:p w14:paraId="0738D540">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firstLine="680" w:firstLineChars="200"/>
        <w:jc w:val="both"/>
        <w:textAlignment w:val="auto"/>
        <w:rPr>
          <w:rStyle w:val="11"/>
          <w:rFonts w:hint="eastAsia" w:ascii="仿宋_GB2312" w:hAnsi="仿宋_GB2312" w:eastAsia="仿宋_GB2312" w:cs="仿宋_GB2312"/>
          <w:b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40"/>
          <w:highlight w:val="none"/>
          <w14:textFill>
            <w14:solidFill>
              <w14:schemeClr w14:val="tx1"/>
            </w14:solidFill>
          </w14:textFill>
        </w:rPr>
        <w:t>18周岁以下</w:t>
      </w:r>
      <w:r>
        <w:rPr>
          <w:rFonts w:hint="eastAsia" w:ascii="Times New Roman" w:hAnsi="Times New Roman" w:eastAsia="仿宋_GB2312" w:cs="Times New Roman"/>
          <w:color w:val="000000" w:themeColor="text1"/>
          <w:sz w:val="32"/>
          <w:szCs w:val="40"/>
          <w:highlight w:val="none"/>
          <w:lang w:eastAsia="zh-CN"/>
          <w14:textFill>
            <w14:solidFill>
              <w14:schemeClr w14:val="tx1"/>
            </w14:solidFill>
          </w14:textFill>
        </w:rPr>
        <w:t>未就业</w:t>
      </w:r>
      <w:r>
        <w:rPr>
          <w:rFonts w:hint="default" w:ascii="Times New Roman" w:hAnsi="Times New Roman" w:eastAsia="仿宋_GB2312" w:cs="Times New Roman"/>
          <w:color w:val="000000" w:themeColor="text1"/>
          <w:sz w:val="32"/>
          <w:szCs w:val="40"/>
          <w:highlight w:val="none"/>
          <w14:textFill>
            <w14:solidFill>
              <w14:schemeClr w14:val="tx1"/>
            </w14:solidFill>
          </w14:textFill>
        </w:rPr>
        <w:t>人员跟随父母或其他法定抚养人等参保</w:t>
      </w:r>
      <w:r>
        <w:rPr>
          <w:rFonts w:hint="default" w:ascii="Times New Roman" w:hAnsi="Times New Roman" w:eastAsia="仿宋_GB2312" w:cs="Times New Roman"/>
          <w:color w:val="000000" w:themeColor="text1"/>
          <w:sz w:val="32"/>
          <w:szCs w:val="40"/>
          <w:highlight w:val="none"/>
          <w:lang w:val="en"/>
          <w14:textFill>
            <w14:solidFill>
              <w14:schemeClr w14:val="tx1"/>
            </w14:solidFill>
          </w14:textFill>
        </w:rPr>
        <w:t>，</w:t>
      </w:r>
      <w:r>
        <w:rPr>
          <w:rFonts w:hint="default" w:ascii="Times New Roman" w:hAnsi="Times New Roman" w:eastAsia="仿宋_GB2312" w:cs="Times New Roman"/>
          <w:color w:val="000000" w:themeColor="text1"/>
          <w:sz w:val="32"/>
          <w:szCs w:val="40"/>
          <w:highlight w:val="none"/>
          <w14:textFill>
            <w14:solidFill>
              <w14:schemeClr w14:val="tx1"/>
            </w14:solidFill>
          </w14:textFill>
        </w:rPr>
        <w:t>不单独筹资</w:t>
      </w:r>
      <w:r>
        <w:rPr>
          <w:rFonts w:hint="eastAsia" w:ascii="Times New Roman" w:hAnsi="Times New Roman" w:eastAsia="仿宋_GB2312" w:cs="Times New Roman"/>
          <w:color w:val="000000" w:themeColor="text1"/>
          <w:sz w:val="32"/>
          <w:szCs w:val="40"/>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highlight w:val="none"/>
          <w14:textFill>
            <w14:solidFill>
              <w14:schemeClr w14:val="tx1"/>
            </w14:solidFill>
          </w14:textFill>
        </w:rPr>
        <w:t>享受未就业城乡居民待遇标准。孤儿、事实无人抚养儿童中无法跟从参保的，可视同参保</w:t>
      </w:r>
      <w:r>
        <w:rPr>
          <w:rFonts w:hint="eastAsia" w:ascii="Times New Roman" w:hAnsi="Times New Roman" w:cs="Times New Roman"/>
          <w:color w:val="000000" w:themeColor="text1"/>
          <w:sz w:val="32"/>
          <w:szCs w:val="40"/>
          <w:highlight w:val="none"/>
          <w:lang w:eastAsia="zh-CN"/>
          <w14:textFill>
            <w14:solidFill>
              <w14:schemeClr w14:val="tx1"/>
            </w14:solidFill>
          </w14:textFill>
        </w:rPr>
        <w:t>。</w:t>
      </w:r>
    </w:p>
    <w:p w14:paraId="38436136">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firstLine="680" w:firstLineChars="200"/>
        <w:jc w:val="both"/>
        <w:textAlignment w:val="auto"/>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《云浮市医疗救助实施细则》规定的</w:t>
      </w:r>
      <w:r>
        <w:rPr>
          <w:rFonts w:hint="eastAsia" w:ascii="Times New Roman" w:hAnsi="Times New Roman" w:eastAsia="仿宋_GB2312" w:cs="Times New Roman"/>
          <w:color w:val="000000" w:themeColor="text1"/>
          <w:sz w:val="32"/>
          <w:szCs w:val="40"/>
          <w:highlight w:val="none"/>
          <w:lang w:val="en-US" w:eastAsia="zh-CN"/>
          <w14:textFill>
            <w14:solidFill>
              <w14:schemeClr w14:val="tx1"/>
            </w14:solidFill>
          </w14:textFill>
        </w:rPr>
        <w:t>除</w:t>
      </w:r>
      <w:r>
        <w:rPr>
          <w:rFonts w:hint="default" w:ascii="Times New Roman" w:hAnsi="Times New Roman" w:eastAsia="仿宋_GB2312" w:cs="Times New Roman"/>
          <w:color w:val="000000" w:themeColor="text1"/>
          <w:sz w:val="32"/>
          <w:szCs w:val="40"/>
          <w:highlight w:val="none"/>
          <w14:textFill>
            <w14:solidFill>
              <w14:schemeClr w14:val="tx1"/>
            </w14:solidFill>
          </w14:textFill>
        </w:rPr>
        <w:t>孤儿、事实无人抚养儿童</w:t>
      </w:r>
      <w:r>
        <w:rPr>
          <w:rFonts w:hint="eastAsia" w:ascii="Times New Roman" w:hAnsi="Times New Roman" w:cs="Times New Roman"/>
          <w:color w:val="000000" w:themeColor="text1"/>
          <w:sz w:val="32"/>
          <w:szCs w:val="40"/>
          <w:highlight w:val="none"/>
          <w:lang w:val="en-US" w:eastAsia="zh-CN"/>
          <w14:textFill>
            <w14:solidFill>
              <w14:schemeClr w14:val="tx1"/>
            </w14:solidFill>
          </w14:textFill>
        </w:rPr>
        <w:t>外的</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收入型医疗救助对象、特殊困难人员以居民身份参加</w:t>
      </w:r>
      <w:r>
        <w:rPr>
          <w:rStyle w:val="11"/>
          <w:rFonts w:hint="eastAsia" w:ascii="仿宋_GB2312" w:hAnsi="仿宋_GB2312" w:eastAsia="仿宋_GB2312" w:cs="仿宋_GB2312"/>
          <w:b w:val="0"/>
          <w:color w:val="000000" w:themeColor="text1"/>
          <w:sz w:val="32"/>
          <w:szCs w:val="32"/>
          <w:highlight w:val="none"/>
          <w:lang w:val="en-US" w:eastAsia="zh-CN"/>
          <w14:textFill>
            <w14:solidFill>
              <w14:schemeClr w14:val="tx1"/>
            </w14:solidFill>
          </w14:textFill>
        </w:rPr>
        <w:t>长护险</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的，对个人缴费部分给予</w:t>
      </w:r>
      <w:r>
        <w:rPr>
          <w:rStyle w:val="11"/>
          <w:rFonts w:hint="eastAsia" w:ascii="仿宋_GB2312" w:hAnsi="仿宋_GB2312" w:eastAsia="仿宋_GB2312" w:cs="仿宋_GB2312"/>
          <w:b w:val="0"/>
          <w:color w:val="000000" w:themeColor="text1"/>
          <w:sz w:val="32"/>
          <w:szCs w:val="32"/>
          <w:highlight w:val="none"/>
          <w:lang w:val="en-US" w:eastAsia="zh-CN"/>
          <w14:textFill>
            <w14:solidFill>
              <w14:schemeClr w14:val="tx1"/>
            </w14:solidFill>
          </w14:textFill>
        </w:rPr>
        <w:t>全额</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资助。资助参保资金从医疗救助资金中直接划拨至长护险基金账户。</w:t>
      </w:r>
    </w:p>
    <w:p w14:paraId="2CE36C92">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firstLine="680" w:firstLineChars="200"/>
        <w:jc w:val="both"/>
        <w:textAlignment w:val="auto"/>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参保人长护险补缴及退费情形参照基本医疗保险有关规定执行。职工与居民参保关系相互转换的，其缴费规则同基本医疗保险。</w:t>
      </w:r>
    </w:p>
    <w:p w14:paraId="076DDD02">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第八条</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sz w:val="32"/>
          <w:szCs w:val="32"/>
          <w:highlight w:val="none"/>
          <w14:textFill>
            <w14:solidFill>
              <w14:schemeClr w14:val="tx1"/>
            </w14:solidFill>
          </w14:textFill>
        </w:rPr>
        <w:t>个账缴费</w:t>
      </w:r>
      <w:r>
        <w:rPr>
          <w:rFonts w:hint="eastAsia" w:ascii="仿宋" w:hAnsi="仿宋" w:eastAsia="仿宋" w:cs="仿宋"/>
          <w:color w:val="000000" w:themeColor="text1"/>
          <w:sz w:val="32"/>
          <w:szCs w:val="32"/>
          <w:highlight w:val="none"/>
          <w14:textFill>
            <w14:solidFill>
              <w14:schemeClr w14:val="tx1"/>
            </w14:solidFill>
          </w14:textFill>
        </w:rPr>
        <w:t>】</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职工医保参保人员的个人账户可缴纳本人或代缴其近亲属（包括配偶、父母、子女、兄弟姐妹、祖父母、外祖父母、孙子女、外孙子女）的长护险保费。</w:t>
      </w:r>
    </w:p>
    <w:p w14:paraId="6D58CDC8">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firstLine="680" w:firstLineChars="200"/>
        <w:jc w:val="both"/>
        <w:textAlignment w:val="auto"/>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pPr>
    </w:p>
    <w:p w14:paraId="4FC04819">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jc w:val="center"/>
        <w:textAlignment w:val="auto"/>
        <w:outlineLvl w:val="0"/>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第三章</w:t>
      </w:r>
      <w:r>
        <w:rPr>
          <w:rFonts w:hint="default" w:ascii="Times New Roman" w:hAnsi="Times New Roman" w:eastAsia="黑体" w:cs="Times New Roman"/>
          <w:color w:val="000000" w:themeColor="text1"/>
          <w:sz w:val="32"/>
          <w:szCs w:val="32"/>
          <w:highlight w:val="none"/>
          <w14:textFill>
            <w14:solidFill>
              <w14:schemeClr w14:val="tx1"/>
            </w14:solidFill>
          </w14:textFill>
        </w:rPr>
        <w:t xml:space="preserve">  </w:t>
      </w:r>
      <w:r>
        <w:rPr>
          <w:rFonts w:hint="eastAsia" w:ascii="黑体" w:eastAsia="黑体" w:cs="黑体"/>
          <w:color w:val="000000" w:themeColor="text1"/>
          <w:sz w:val="32"/>
          <w:szCs w:val="32"/>
          <w:highlight w:val="none"/>
          <w14:textFill>
            <w14:solidFill>
              <w14:schemeClr w14:val="tx1"/>
            </w14:solidFill>
          </w14:textFill>
        </w:rPr>
        <w:t>失能评估</w:t>
      </w:r>
    </w:p>
    <w:p w14:paraId="1C80C6E0">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1"/>
        <w:rPr>
          <w:rFonts w:hint="eastAsia" w:ascii="黑体" w:eastAsia="黑体" w:cs="黑体"/>
          <w:color w:val="000000" w:themeColor="text1"/>
          <w:sz w:val="32"/>
          <w:szCs w:val="32"/>
          <w:highlight w:val="none"/>
          <w14:textFill>
            <w14:solidFill>
              <w14:schemeClr w14:val="tx1"/>
            </w14:solidFill>
          </w14:textFill>
        </w:rPr>
      </w:pPr>
    </w:p>
    <w:p w14:paraId="130CA7B5">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第九条</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sz w:val="32"/>
          <w:szCs w:val="32"/>
          <w:highlight w:val="none"/>
          <w14:textFill>
            <w14:solidFill>
              <w14:schemeClr w14:val="tx1"/>
            </w14:solidFill>
          </w14:textFill>
        </w:rPr>
        <w:t>评估条件</w:t>
      </w:r>
      <w:r>
        <w:rPr>
          <w:rFonts w:hint="eastAsia" w:ascii="仿宋" w:hAnsi="仿宋" w:eastAsia="仿宋" w:cs="仿宋"/>
          <w:color w:val="000000" w:themeColor="text1"/>
          <w:sz w:val="32"/>
          <w:szCs w:val="32"/>
          <w:highlight w:val="none"/>
          <w14:textFill>
            <w14:solidFill>
              <w14:schemeClr w14:val="tx1"/>
            </w14:solidFill>
          </w14:textFill>
        </w:rPr>
        <w:t>】</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失能状态持续6个月以上的参保人员，可向医疗保障经办机构提出长护险失能等级评估申请。经评估符合国家规定的重度失能人员等级标准的，</w:t>
      </w:r>
      <w:r>
        <w:rPr>
          <w:rStyle w:val="11"/>
          <w:rFonts w:hint="default" w:ascii="仿宋_GB2312" w:hAnsi="仿宋_GB2312" w:eastAsia="仿宋_GB2312" w:cs="仿宋_GB2312"/>
          <w:b w:val="0"/>
          <w:color w:val="000000" w:themeColor="text1"/>
          <w:sz w:val="32"/>
          <w:szCs w:val="32"/>
          <w:highlight w:val="none"/>
          <w:lang w:val="en-US"/>
          <w14:textFill>
            <w14:solidFill>
              <w14:schemeClr w14:val="tx1"/>
            </w14:solidFill>
          </w14:textFill>
        </w:rPr>
        <w:t>可享受长护险待遇</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。重度失能等级评估结论有效期不超过2年。</w:t>
      </w:r>
    </w:p>
    <w:p w14:paraId="361D94DE">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第十条</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sz w:val="32"/>
          <w:szCs w:val="32"/>
          <w:highlight w:val="none"/>
          <w14:textFill>
            <w14:solidFill>
              <w14:schemeClr w14:val="tx1"/>
            </w14:solidFill>
          </w14:textFill>
        </w:rPr>
        <w:t>评估标准</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失能评定标准按照</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国家医疗保障局</w:t>
      </w:r>
      <w:r>
        <w:rPr>
          <w:rFonts w:hint="eastAsia" w:ascii="仿宋_GB2312" w:hAnsi="仿宋_GB2312" w:eastAsia="仿宋_GB2312" w:cs="仿宋_GB2312"/>
          <w:color w:val="000000" w:themeColor="text1"/>
          <w:sz w:val="32"/>
          <w:szCs w:val="32"/>
          <w:highlight w:val="none"/>
          <w14:textFill>
            <w14:solidFill>
              <w14:schemeClr w14:val="tx1"/>
            </w14:solidFill>
          </w14:textFill>
        </w:rPr>
        <w:t>《长期护理保险失能等级评估管理办法（试行）》《长期护理失能等级评估标准（试行）</w:t>
      </w:r>
      <w:r>
        <w:rPr>
          <w:rFonts w:hint="eastAsia" w:ascii="仿宋_GB2312" w:hAnsi="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《长期护理保险失能等级评估操作指南（试行）》的规定执行，国家、省有新规定的，从其规定。</w:t>
      </w:r>
    </w:p>
    <w:p w14:paraId="142C054B">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第十一条</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sz w:val="32"/>
          <w:szCs w:val="32"/>
          <w:highlight w:val="none"/>
          <w14:textFill>
            <w14:solidFill>
              <w14:schemeClr w14:val="tx1"/>
            </w14:solidFill>
          </w14:textFill>
        </w:rPr>
        <w:t>评估流程</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失能等级评估流程主要包括评估申请、受理审核、现场评估、提出结论、公示与送达等环节。</w:t>
      </w:r>
    </w:p>
    <w:p w14:paraId="5869520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第十二条【</w:t>
      </w:r>
      <w:r>
        <w:rPr>
          <w:rFonts w:hint="eastAsia" w:ascii="仿宋" w:hAnsi="仿宋" w:eastAsia="仿宋" w:cs="仿宋"/>
          <w:b/>
          <w:color w:val="000000" w:themeColor="text1"/>
          <w:sz w:val="32"/>
          <w:szCs w:val="32"/>
          <w:highlight w:val="none"/>
          <w14:textFill>
            <w14:solidFill>
              <w14:schemeClr w14:val="tx1"/>
            </w14:solidFill>
          </w14:textFill>
        </w:rPr>
        <w:t>复评申请</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参保人员对失能等级评估结论有异议的，可在收到评估结论之日起5个工作日内，向医疗保障经办机构提出复评申请；医保经办机构应组织评估专家对参保人进行复评，复核评定结论为最终评估结论。</w:t>
      </w:r>
    </w:p>
    <w:p w14:paraId="4163EC09">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1"/>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第十三条【</w:t>
      </w:r>
      <w:r>
        <w:rPr>
          <w:rFonts w:hint="eastAsia" w:ascii="仿宋" w:hAnsi="仿宋" w:eastAsia="仿宋" w:cs="仿宋"/>
          <w:b/>
          <w:color w:val="000000" w:themeColor="text1"/>
          <w:sz w:val="32"/>
          <w:szCs w:val="32"/>
          <w:highlight w:val="none"/>
          <w14:textFill>
            <w14:solidFill>
              <w14:schemeClr w14:val="tx1"/>
            </w14:solidFill>
          </w14:textFill>
        </w:rPr>
        <w:t>非受理情形</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申请人有下列情形之一的，不予受理失能等级评估申请：</w:t>
      </w:r>
    </w:p>
    <w:p w14:paraId="32919D10">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（一）未参加本市长护险的；</w:t>
      </w:r>
    </w:p>
    <w:p w14:paraId="7F16BB17">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（二）不符合待遇享受条件的；</w:t>
      </w:r>
    </w:p>
    <w:p w14:paraId="35A1C232">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（三）申报材料不全或提供虚假材料的；</w:t>
      </w:r>
    </w:p>
    <w:p w14:paraId="587F3FF5">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（四）患有急需治疗的各种危重疾病，病情不稳定的；</w:t>
      </w:r>
    </w:p>
    <w:p w14:paraId="33CE82A4">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（五）申请评估时处于中断缴费或待遇等待期的；</w:t>
      </w:r>
    </w:p>
    <w:p w14:paraId="6DDCAF0B">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（六）距上次</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复评</w:t>
      </w:r>
      <w:r>
        <w:rPr>
          <w:rFonts w:hint="eastAsia" w:ascii="仿宋_GB2312" w:hAnsi="仿宋_GB2312" w:eastAsia="仿宋_GB2312" w:cs="仿宋_GB2312"/>
          <w:color w:val="000000" w:themeColor="text1"/>
          <w:sz w:val="32"/>
          <w:szCs w:val="32"/>
          <w:highlight w:val="none"/>
          <w14:textFill>
            <w14:solidFill>
              <w14:schemeClr w14:val="tx1"/>
            </w14:solidFill>
          </w14:textFill>
        </w:rPr>
        <w:t>结论作出未满6个月的；</w:t>
      </w:r>
    </w:p>
    <w:p w14:paraId="04A8EEA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（七）异地居住的参保人员；</w:t>
      </w:r>
    </w:p>
    <w:p w14:paraId="4924750A">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（八）其他长护险不予受理评估申请的情形。</w:t>
      </w:r>
    </w:p>
    <w:p w14:paraId="2980D93C">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第十四条</w:t>
      </w:r>
      <w:r>
        <w:rPr>
          <w:rFonts w:hint="eastAsia" w:ascii="仿宋" w:hAnsi="仿宋" w:eastAsia="仿宋" w:cs="仿宋"/>
          <w:color w:val="000000" w:themeColor="text1"/>
          <w:kern w:val="0"/>
          <w:sz w:val="32"/>
          <w:szCs w:val="32"/>
          <w:highlight w:val="none"/>
          <w:lang w:bidi="ar"/>
          <w14:textFill>
            <w14:solidFill>
              <w14:schemeClr w14:val="tx1"/>
            </w14:solidFill>
          </w14:textFill>
        </w:rPr>
        <w:t>【</w:t>
      </w:r>
      <w:r>
        <w:rPr>
          <w:rFonts w:hint="eastAsia" w:ascii="仿宋" w:hAnsi="仿宋" w:eastAsia="仿宋" w:cs="仿宋"/>
          <w:b/>
          <w:color w:val="000000" w:themeColor="text1"/>
          <w:kern w:val="0"/>
          <w:sz w:val="32"/>
          <w:szCs w:val="32"/>
          <w:highlight w:val="none"/>
          <w:lang w:bidi="ar"/>
          <w14:textFill>
            <w14:solidFill>
              <w14:schemeClr w14:val="tx1"/>
            </w14:solidFill>
          </w14:textFill>
        </w:rPr>
        <w:t>评估费用</w:t>
      </w:r>
      <w:r>
        <w:rPr>
          <w:rFonts w:hint="eastAsia" w:ascii="仿宋" w:hAnsi="仿宋" w:eastAsia="仿宋" w:cs="仿宋"/>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建立失能等级评估费用分担机制。评估费用统一设置为每人次200元，先由参保人员预缴并按以下比例分担：</w:t>
      </w:r>
    </w:p>
    <w:p w14:paraId="73970379">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（一）初评符合条件的，评估费用由长护险基金全额承担；初评不符合条件的，评估费用由长护险基金与参保人员各承担一半。</w:t>
      </w:r>
    </w:p>
    <w:p w14:paraId="05D52F49">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（二）初评不符合条件申请复评的，复评结论符合享受长护险待遇的，评估费用由初评评估机构全额承担；复评仍不符合条件的，评估费用由参保人员全额承担。</w:t>
      </w:r>
    </w:p>
    <w:p w14:paraId="3C76DC3A">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（三）评估结论出具满6个月后重新评估符合条件的，评估费用由长护险基金全额承担；重新评估不符合条件的，评估费用由长护险基金与参保人员各承担一半。</w:t>
      </w:r>
    </w:p>
    <w:p w14:paraId="63C50F7E">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（四）重新评估后仍有争议复议的，评估费用参照本条第二款规定执行；评估有效期届满前重新评估的，评估费用参照本条第三款规定执行。</w:t>
      </w:r>
    </w:p>
    <w:p w14:paraId="5FF54DAE">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（五）评估过程因评估机构或其评估人员个人原因造成中断，导致本次评估工作无法完成的，评估费用由评估机构全额承担。</w:t>
      </w:r>
    </w:p>
    <w:p w14:paraId="568F2C78">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（六）因申请人提交虚假资料及信息、不配合评估等导致评估终止的，当次评估费用由参保人员全额承担。</w:t>
      </w:r>
    </w:p>
    <w:p w14:paraId="50FF9AD0">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第十五条</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sz w:val="32"/>
          <w:szCs w:val="32"/>
          <w:highlight w:val="none"/>
          <w14:textFill>
            <w14:solidFill>
              <w14:schemeClr w14:val="tx1"/>
            </w14:solidFill>
          </w14:textFill>
        </w:rPr>
        <w:t>评估机构</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申请成为定点评估机构，需符合《长期护理保险失能等级评估机构定点管理办法（试行）》规定条件，审核合格后与统筹地区医保经办机构签订长护险服务协议，实行协议管理。鼓励发展独立评估机构，政策实施初期暂不具备条件的，由医保经办机构</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依托</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医疗机构、劳动能力鉴定机构、商业保险机构等实施评估。</w:t>
      </w:r>
    </w:p>
    <w:p w14:paraId="1F386DFD">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第十六条</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sz w:val="32"/>
          <w:szCs w:val="32"/>
          <w:highlight w:val="none"/>
          <w14:textFill>
            <w14:solidFill>
              <w14:schemeClr w14:val="tx1"/>
            </w14:solidFill>
          </w14:textFill>
        </w:rPr>
        <w:t>评估人员</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市医疗保障行政部门</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可</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联合卫生健康部门等共同组建长护险失能等级评估人员专家库，评估专家主要负责开展执行评估工作、提出评估结论、复评处理、提出护理计划以及参与评估相关政策文件的研讨。</w:t>
      </w:r>
    </w:p>
    <w:p w14:paraId="634FFB9A">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p>
    <w:p w14:paraId="0BDDE4AA">
      <w:pPr>
        <w:pStyle w:val="7"/>
        <w:keepNext w:val="0"/>
        <w:keepLines w:val="0"/>
        <w:pageBreakBefore w:val="0"/>
        <w:widowControl w:val="0"/>
        <w:numPr>
          <w:ilvl w:val="0"/>
          <w:numId w:val="0"/>
        </w:numPr>
        <w:kinsoku/>
        <w:overflowPunct/>
        <w:topLinePunct w:val="0"/>
        <w:bidi w:val="0"/>
        <w:spacing w:before="0" w:beforeLines="0" w:beforeAutospacing="0" w:after="0" w:afterLines="0" w:afterAutospacing="0" w:line="560" w:lineRule="exact"/>
        <w:jc w:val="center"/>
        <w:textAlignment w:val="auto"/>
        <w:outlineLvl w:val="0"/>
        <w:rPr>
          <w:rFonts w:hint="eastAsia" w:ascii="黑体" w:eastAsia="黑体" w:cs="黑体"/>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第四章 待遇保障</w:t>
      </w:r>
    </w:p>
    <w:p w14:paraId="32F30308">
      <w:pPr>
        <w:pStyle w:val="7"/>
        <w:keepNext w:val="0"/>
        <w:keepLines w:val="0"/>
        <w:pageBreakBefore w:val="0"/>
        <w:widowControl w:val="0"/>
        <w:numPr>
          <w:ilvl w:val="0"/>
          <w:numId w:val="0"/>
        </w:numPr>
        <w:kinsoku/>
        <w:overflowPunct/>
        <w:topLinePunct w:val="0"/>
        <w:bidi w:val="0"/>
        <w:spacing w:before="0" w:beforeLines="0" w:beforeAutospacing="0" w:after="0" w:afterLines="0" w:afterAutospacing="0" w:line="560" w:lineRule="exact"/>
        <w:ind w:left="3740" w:leftChars="1100"/>
        <w:jc w:val="both"/>
        <w:textAlignment w:val="auto"/>
        <w:outlineLvl w:val="0"/>
        <w:rPr>
          <w:rFonts w:hint="eastAsia" w:ascii="黑体" w:eastAsia="黑体" w:cs="黑体"/>
          <w:color w:val="000000" w:themeColor="text1"/>
          <w:sz w:val="32"/>
          <w:szCs w:val="32"/>
          <w:highlight w:val="none"/>
          <w14:textFill>
            <w14:solidFill>
              <w14:schemeClr w14:val="tx1"/>
            </w14:solidFill>
          </w14:textFill>
        </w:rPr>
      </w:pPr>
    </w:p>
    <w:p w14:paraId="751CD132">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第十七条【</w:t>
      </w:r>
      <w:r>
        <w:rPr>
          <w:rFonts w:hint="eastAsia" w:ascii="仿宋" w:hAnsi="仿宋" w:eastAsia="仿宋" w:cs="仿宋"/>
          <w:b/>
          <w:color w:val="000000" w:themeColor="text1"/>
          <w:kern w:val="0"/>
          <w:sz w:val="32"/>
          <w:szCs w:val="32"/>
          <w:highlight w:val="none"/>
          <w:lang w:bidi="ar"/>
          <w14:textFill>
            <w14:solidFill>
              <w14:schemeClr w14:val="tx1"/>
            </w14:solidFill>
          </w14:textFill>
        </w:rPr>
        <w:t>享受条件</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按规定参保缴费且失能状态长期持续6个月以上，经申请通过评估认定符合重度失能人员等级标准的参保人员，自评估结论作出次月起，可按照本实施细则规定选择护理服务方式并享受长护险待遇。</w:t>
      </w:r>
    </w:p>
    <w:p w14:paraId="10A727B2">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与基本医疗保险同步缴纳长护险保险费的参保人员，长护险的待遇起止时间、待遇等待期与基本医疗保险规定保持一致。其他按月缴纳长护险保险费的退休人员，自缴费到账的次月1日起按规定享受待遇，自中断缴费的次月1日起停止享受待遇。</w:t>
      </w:r>
    </w:p>
    <w:p w14:paraId="20CDE2F0">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第十八条【</w:t>
      </w:r>
      <w:r>
        <w:rPr>
          <w:rFonts w:hint="eastAsia" w:ascii="仿宋" w:hAnsi="仿宋" w:eastAsia="仿宋" w:cs="仿宋"/>
          <w:b/>
          <w:color w:val="000000" w:themeColor="text1"/>
          <w:kern w:val="0"/>
          <w:sz w:val="32"/>
          <w:szCs w:val="32"/>
          <w:highlight w:val="none"/>
          <w:lang w:bidi="ar"/>
          <w14:textFill>
            <w14:solidFill>
              <w14:schemeClr w14:val="tx1"/>
            </w14:solidFill>
          </w14:textFill>
        </w:rPr>
        <w:t>支付范围</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失能参保人员所发生的</w:t>
      </w:r>
      <w:r>
        <w:rPr>
          <w:rFonts w:hint="eastAsia" w:ascii="仿宋_GB2312" w:hAnsi="仿宋_GB2312" w:cs="仿宋_GB2312"/>
          <w:color w:val="000000" w:themeColor="text1"/>
          <w:kern w:val="0"/>
          <w:sz w:val="32"/>
          <w:szCs w:val="32"/>
          <w:highlight w:val="none"/>
          <w:lang w:val="en-US" w:eastAsia="zh-CN" w:bidi="ar"/>
          <w14:textFill>
            <w14:solidFill>
              <w14:schemeClr w14:val="tx1"/>
            </w14:solidFill>
          </w14:textFill>
        </w:rPr>
        <w:t>符合规定的</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长期护理服务费，</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可按规定在本市行政区域内享受长期护理保险相应待遇。护理服务项目、支付标准、服务规范由市医疗保障部门根据国家规定另行制定。</w:t>
      </w:r>
    </w:p>
    <w:p w14:paraId="4BAE337B">
      <w:pPr>
        <w:pStyle w:val="2"/>
        <w:ind w:firstLine="680" w:firstLineChars="200"/>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异地长期居住失能人员长期护理保险待遇按照国家和省有关规定执行。</w:t>
      </w:r>
    </w:p>
    <w:p w14:paraId="1A8E03A7">
      <w:pPr>
        <w:ind w:firstLine="680" w:firstLineChars="200"/>
        <w:rPr>
          <w:rFonts w:hint="eastAsia"/>
          <w:lang w:val="en-US" w:eastAsia="zh-CN"/>
        </w:rPr>
      </w:pPr>
      <w:r>
        <w:rPr>
          <w:rFonts w:hint="eastAsia"/>
          <w:lang w:val="en-US" w:eastAsia="zh-CN"/>
        </w:rPr>
        <w:t>我市长期护理保险制度起步阶段保障重度失能人员。随着经济发展和制度完善，按照国家和省统一部署研究逐步扩大保障对象范围。</w:t>
      </w:r>
    </w:p>
    <w:p w14:paraId="2B05F510">
      <w:pPr>
        <w:keepNext w:val="0"/>
        <w:keepLines w:val="0"/>
        <w:pageBreakBefore w:val="0"/>
        <w:widowControl w:val="0"/>
        <w:kinsoku/>
        <w:overflowPunct/>
        <w:topLinePunct w:val="0"/>
        <w:bidi w:val="0"/>
        <w:spacing w:beforeLines="0" w:afterLines="0" w:line="560" w:lineRule="exact"/>
        <w:ind w:firstLine="680" w:firstLineChars="200"/>
        <w:textAlignment w:val="auto"/>
        <w:outlineLvl w:val="1"/>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第十九条【</w:t>
      </w:r>
      <w:r>
        <w:rPr>
          <w:rFonts w:hint="eastAsia" w:ascii="仿宋" w:hAnsi="仿宋" w:eastAsia="仿宋" w:cs="仿宋"/>
          <w:b/>
          <w:color w:val="000000" w:themeColor="text1"/>
          <w:kern w:val="0"/>
          <w:sz w:val="32"/>
          <w:szCs w:val="32"/>
          <w:highlight w:val="none"/>
          <w:lang w:bidi="ar"/>
          <w14:textFill>
            <w14:solidFill>
              <w14:schemeClr w14:val="tx1"/>
            </w14:solidFill>
          </w14:textFill>
        </w:rPr>
        <w:t>服务方式</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失能参保人员可根据服务需求，自主选择下列一种服务方式：</w:t>
      </w:r>
    </w:p>
    <w:p w14:paraId="491A369F">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（一）居家护理：居家享受长护险待遇的长期失能人员，由定点</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服务机构根据失能参保人员失能及护理需求情况制定护理计划，并按照护理计划提供生活照料服务、医疗护理服务；</w:t>
      </w:r>
    </w:p>
    <w:p w14:paraId="58A7A7F3">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（二）机构护理：入住定点</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服务机构享受长护险待遇的长期失能人员，由定点</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服务机构根据失能参保人员失能及护理需求情况制定护理计划，并按照护理计划提供全日制生活照料服务、医疗护理服务。</w:t>
      </w:r>
    </w:p>
    <w:p w14:paraId="285E5AB2">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0" w:name="OLE_LINK2"/>
      <w:r>
        <w:rPr>
          <w:rFonts w:hint="eastAsia" w:ascii="黑体" w:hAnsi="宋体" w:eastAsia="黑体" w:cs="黑体"/>
          <w:color w:val="000000" w:themeColor="text1"/>
          <w:sz w:val="32"/>
          <w:szCs w:val="32"/>
          <w:highlight w:val="none"/>
          <w:lang w:bidi="ar"/>
          <w14:textFill>
            <w14:solidFill>
              <w14:schemeClr w14:val="tx1"/>
            </w14:solidFill>
          </w14:textFill>
        </w:rPr>
        <w:t>第二十条【</w:t>
      </w:r>
      <w:r>
        <w:rPr>
          <w:rFonts w:hint="eastAsia" w:ascii="仿宋" w:hAnsi="仿宋" w:eastAsia="仿宋" w:cs="仿宋"/>
          <w:b/>
          <w:color w:val="000000" w:themeColor="text1"/>
          <w:sz w:val="32"/>
          <w:szCs w:val="32"/>
          <w:highlight w:val="none"/>
          <w:lang w:bidi="ar"/>
          <w14:textFill>
            <w14:solidFill>
              <w14:schemeClr w14:val="tx1"/>
            </w14:solidFill>
          </w14:textFill>
        </w:rPr>
        <w:t>待遇标准</w:t>
      </w:r>
      <w:r>
        <w:rPr>
          <w:rFonts w:hint="eastAsia" w:ascii="黑体" w:hAnsi="宋体" w:eastAsia="黑体" w:cs="黑体"/>
          <w:color w:val="000000" w:themeColor="text1"/>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属于长护险基金支付范围内的</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长期护理服务费用</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不设起付标准，个人年度最高支付限额不超过本市上年度城乡居民人均可支配收入的50%。具体待遇支付标准按以下规定执行：</w:t>
      </w:r>
    </w:p>
    <w:p w14:paraId="464CEA97">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（一）居家护理。失能参保人员选择居家护理服务的，由定点</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服务机构为失能保障对象提供上门护理服务。在符合规定的长护险服务项目标准内，</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按70元/小时纳入长护险基金支付范围，</w:t>
      </w:r>
      <w:r>
        <w:rPr>
          <w:rFonts w:hint="eastAsia" w:ascii="仿宋_GB2312" w:hAnsi="仿宋_GB2312" w:eastAsia="仿宋_GB2312" w:cs="仿宋_GB2312"/>
          <w:color w:val="000000" w:themeColor="text1"/>
          <w:sz w:val="32"/>
          <w:szCs w:val="32"/>
          <w:highlight w:val="none"/>
          <w14:textFill>
            <w14:solidFill>
              <w14:schemeClr w14:val="tx1"/>
            </w14:solidFill>
          </w14:textFill>
        </w:rPr>
        <w:t>具体服务时长</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和待遇标准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规定如下：</w:t>
      </w:r>
    </w:p>
    <w:p w14:paraId="40466AE7">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每人每月不超过22小时，要求每周服务不少于3次，且每次服务时长不少于1小时。</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其中职工参保人员</w:t>
      </w:r>
      <w:r>
        <w:rPr>
          <w:rFonts w:hint="eastAsia" w:ascii="仿宋_GB2312" w:hAnsi="仿宋_GB2312" w:eastAsia="仿宋_GB2312" w:cs="仿宋_GB2312"/>
          <w:color w:val="000000" w:themeColor="text1"/>
          <w:sz w:val="32"/>
          <w:szCs w:val="32"/>
          <w:highlight w:val="none"/>
          <w14:textFill>
            <w14:solidFill>
              <w14:schemeClr w14:val="tx1"/>
            </w14:solidFill>
          </w14:textFill>
        </w:rPr>
        <w:t>基金支付比例为70%，居民参保人员支付比例为50%。</w:t>
      </w:r>
    </w:p>
    <w:p w14:paraId="57C194B6">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（二）机构护理。失能参保人员选择机构护理服务的，由定点</w:t>
      </w:r>
      <w:r>
        <w:rPr>
          <w:rFonts w:hint="eastAsia" w:ascii="仿宋_GB2312" w:hAnsi="仿宋_GB2312" w:cs="仿宋_GB2312"/>
          <w:color w:val="000000" w:themeColor="text1"/>
          <w:sz w:val="32"/>
          <w:szCs w:val="32"/>
          <w:highlight w:val="none"/>
          <w:lang w:val="en-US" w:eastAsia="zh-CN" w:bidi="ar"/>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服务机构提供护理服务。在符合长护险服务项目标准范围内的费用，长护险基金的支付标准如下：</w:t>
      </w:r>
    </w:p>
    <w:p w14:paraId="1F8FE819">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职工参保人员基金支付比例为70%，基金最高支付限额为每人每月1120元。</w:t>
      </w:r>
    </w:p>
    <w:p w14:paraId="5B458ECB">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居民参保人员基金支付比例为50%，基金最高支付限额为每人每月800元。</w:t>
      </w:r>
    </w:p>
    <w:p w14:paraId="59313B3F">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仿宋_GB2312" w:hAnsi="仿宋_GB2312" w:cs="仿宋_GB2312"/>
          <w:color w:val="000000" w:themeColor="text1"/>
          <w:kern w:val="0"/>
          <w:sz w:val="32"/>
          <w:szCs w:val="32"/>
          <w:highlight w:val="none"/>
          <w:lang w:val="en-US" w:eastAsia="zh-CN" w:bidi="ar"/>
          <w14:textFill>
            <w14:solidFill>
              <w14:schemeClr w14:val="tx1"/>
            </w14:solidFill>
          </w14:textFill>
        </w:rPr>
        <w:t>按照国家、省统一部署，</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研究探索将长期护理相关智能化服务和支持性辅助器具等纳入支付范围。</w:t>
      </w:r>
    </w:p>
    <w:bookmarkEnd w:id="0"/>
    <w:p w14:paraId="76A39BB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Style w:val="11"/>
          <w:rFonts w:hint="default" w:ascii="仿宋" w:hAnsi="仿宋" w:eastAsia="仿宋" w:cs="仿宋"/>
          <w:b w:val="0"/>
          <w:bCs w:val="0"/>
          <w:color w:val="000000" w:themeColor="text1"/>
          <w:sz w:val="32"/>
          <w:szCs w:val="32"/>
          <w:highlight w:val="none"/>
          <w14:textFill>
            <w14:solidFill>
              <w14:schemeClr w14:val="tx1"/>
            </w14:solidFill>
          </w14:textFill>
        </w:rPr>
      </w:pPr>
      <w:r>
        <w:rPr>
          <w:rStyle w:val="11"/>
          <w:rFonts w:hint="eastAsia" w:ascii="仿宋" w:hAnsi="仿宋" w:eastAsia="仿宋" w:cs="仿宋"/>
          <w:b w:val="0"/>
          <w:bCs w:val="0"/>
          <w:color w:val="000000" w:themeColor="text1"/>
          <w:sz w:val="32"/>
          <w:szCs w:val="32"/>
          <w:highlight w:val="none"/>
          <w14:textFill>
            <w14:solidFill>
              <w14:schemeClr w14:val="tx1"/>
            </w14:solidFill>
          </w14:textFill>
        </w:rPr>
        <w:t>探索建立缴费时长和待遇水平相挂钩的连续参保激励机制。</w:t>
      </w:r>
    </w:p>
    <w:p w14:paraId="3D03DB29">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第二十一条【</w:t>
      </w:r>
      <w:r>
        <w:rPr>
          <w:rFonts w:hint="eastAsia" w:ascii="仿宋" w:hAnsi="仿宋" w:eastAsia="仿宋" w:cs="仿宋"/>
          <w:b/>
          <w:color w:val="000000" w:themeColor="text1"/>
          <w:sz w:val="32"/>
          <w:szCs w:val="32"/>
          <w:highlight w:val="none"/>
          <w14:textFill>
            <w14:solidFill>
              <w14:schemeClr w14:val="tx1"/>
            </w14:solidFill>
          </w14:textFill>
        </w:rPr>
        <w:t>支付模式</w:t>
      </w:r>
      <w:r>
        <w:rPr>
          <w:rFonts w:hint="eastAsia" w:ascii="黑体" w:eastAsia="黑体" w:cs="黑体"/>
          <w:color w:val="000000" w:themeColor="text1"/>
          <w:sz w:val="32"/>
          <w:szCs w:val="32"/>
          <w:highlight w:val="none"/>
          <w14:textFill>
            <w14:solidFill>
              <w14:schemeClr w14:val="tx1"/>
            </w14:solidFill>
          </w14:textFill>
        </w:rPr>
        <w:t>】</w:t>
      </w:r>
      <w:bookmarkStart w:id="1" w:name="OLE_LINK3"/>
      <w:r>
        <w:rPr>
          <w:rFonts w:hint="eastAsia" w:ascii="仿宋_GB2312" w:hAnsi="仿宋_GB2312" w:eastAsia="仿宋_GB2312" w:cs="仿宋_GB2312"/>
          <w:color w:val="000000" w:themeColor="text1"/>
          <w:sz w:val="32"/>
          <w:szCs w:val="32"/>
          <w:highlight w:val="none"/>
          <w14:textFill>
            <w14:solidFill>
              <w14:schemeClr w14:val="tx1"/>
            </w14:solidFill>
          </w14:textFill>
        </w:rPr>
        <w:t>长护险基金不直接向失能人员发放现金。失能参保人员在本市定点</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服务机构发生的属于长护险基金支付范围的费用，由定点</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服务机构记账处理，长护险基金按照规定进行支付，属个人支付的部分由定点</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服务机构向参保人收取。</w:t>
      </w:r>
    </w:p>
    <w:bookmarkEnd w:id="1"/>
    <w:p w14:paraId="0CBD8659">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第二十二条</w:t>
      </w:r>
      <w:r>
        <w:rPr>
          <w:rFonts w:hint="eastAsia" w:ascii="Times New Roman" w:hAnsi="Times New Roman" w:eastAsia="黑体"/>
          <w:color w:val="000000" w:themeColor="text1"/>
          <w:kern w:val="0"/>
          <w:sz w:val="32"/>
          <w:szCs w:val="32"/>
          <w:highlight w:val="none"/>
          <w:lang w:bidi="ar"/>
          <w14:textFill>
            <w14:solidFill>
              <w14:schemeClr w14:val="tx1"/>
            </w14:solidFill>
          </w14:textFill>
        </w:rPr>
        <w:t>【</w:t>
      </w:r>
      <w:r>
        <w:rPr>
          <w:rFonts w:hint="eastAsia" w:ascii="仿宋" w:hAnsi="仿宋" w:eastAsia="仿宋" w:cs="仿宋"/>
          <w:b/>
          <w:color w:val="000000" w:themeColor="text1"/>
          <w:kern w:val="0"/>
          <w:sz w:val="32"/>
          <w:szCs w:val="32"/>
          <w:highlight w:val="none"/>
          <w:lang w:bidi="ar"/>
          <w14:textFill>
            <w14:solidFill>
              <w14:schemeClr w14:val="tx1"/>
            </w14:solidFill>
          </w14:textFill>
        </w:rPr>
        <w:t>非支付范围</w:t>
      </w:r>
      <w:r>
        <w:rPr>
          <w:rFonts w:hint="eastAsia" w:ascii="Times New Roman" w:hAnsi="Times New Roman" w:eastAsia="黑体"/>
          <w:color w:val="000000" w:themeColor="text1"/>
          <w:kern w:val="0"/>
          <w:sz w:val="32"/>
          <w:szCs w:val="32"/>
          <w:highlight w:val="none"/>
          <w:lang w:bidi="ar"/>
          <w14:textFill>
            <w14:solidFill>
              <w14:schemeClr w14:val="tx1"/>
            </w14:solidFill>
          </w14:textFill>
        </w:rPr>
        <w:t>】</w:t>
      </w:r>
      <w:r>
        <w:rPr>
          <w:rStyle w:val="11"/>
          <w:rFonts w:hint="eastAsia" w:ascii="仿宋_GB2312" w:hAnsi="仿宋_GB2312" w:eastAsia="仿宋_GB2312" w:cs="仿宋_GB2312"/>
          <w:b w:val="0"/>
          <w:color w:val="000000" w:themeColor="text1"/>
          <w:kern w:val="0"/>
          <w:sz w:val="32"/>
          <w:szCs w:val="32"/>
          <w:highlight w:val="none"/>
          <w:lang w:bidi="ar"/>
          <w14:textFill>
            <w14:solidFill>
              <w14:schemeClr w14:val="tx1"/>
            </w14:solidFill>
          </w14:textFill>
        </w:rPr>
        <w:t>下列情形发生的长期护理服务费用，不纳入基金支付范围：</w:t>
      </w:r>
    </w:p>
    <w:p w14:paraId="65046392">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bidi="ar"/>
          <w14:textFill>
            <w14:solidFill>
              <w14:schemeClr w14:val="tx1"/>
            </w14:solidFill>
          </w14:textFill>
        </w:rPr>
        <w:t>（一）应当由基本医疗保险、工伤保险基金等其他社会保险基金中支付的；</w:t>
      </w:r>
    </w:p>
    <w:p w14:paraId="58FB8EE3">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bidi="ar"/>
          <w14:textFill>
            <w14:solidFill>
              <w14:schemeClr w14:val="tx1"/>
            </w14:solidFill>
          </w14:textFill>
        </w:rPr>
        <w:t>（二）应当由第三人负担的；</w:t>
      </w:r>
    </w:p>
    <w:p w14:paraId="317B09A6">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bidi="ar"/>
          <w14:textFill>
            <w14:solidFill>
              <w14:schemeClr w14:val="tx1"/>
            </w14:solidFill>
          </w14:textFill>
        </w:rPr>
        <w:t>（三）应当由公共卫生负担的；</w:t>
      </w:r>
    </w:p>
    <w:p w14:paraId="4AC3EF76">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bidi="ar"/>
          <w14:textFill>
            <w14:solidFill>
              <w14:schemeClr w14:val="tx1"/>
            </w14:solidFill>
          </w14:textFill>
        </w:rPr>
        <w:t>（四）非协议管理定点机构发生的；</w:t>
      </w:r>
    </w:p>
    <w:p w14:paraId="2161BDCD">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bidi="ar"/>
          <w14:textFill>
            <w14:solidFill>
              <w14:schemeClr w14:val="tx1"/>
            </w14:solidFill>
          </w14:textFill>
        </w:rPr>
        <w:t>（五）超出长护险规定的支付范围及标准的；</w:t>
      </w:r>
    </w:p>
    <w:p w14:paraId="26AD3996">
      <w:pPr>
        <w:keepNext w:val="0"/>
        <w:keepLines w:val="0"/>
        <w:pageBreakBefore w:val="0"/>
        <w:widowControl w:val="0"/>
        <w:kinsoku/>
        <w:overflowPunct/>
        <w:topLinePunct w:val="0"/>
        <w:bidi w:val="0"/>
        <w:spacing w:beforeLines="0" w:afterLines="0" w:line="560" w:lineRule="exact"/>
        <w:ind w:firstLine="680" w:firstLineChars="200"/>
        <w:textAlignment w:val="auto"/>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t>（</w:t>
      </w:r>
      <w:r>
        <w:rPr>
          <w:rStyle w:val="11"/>
          <w:rFonts w:hint="eastAsia" w:ascii="仿宋_GB2312" w:hAnsi="仿宋_GB2312" w:eastAsia="仿宋_GB2312" w:cs="仿宋_GB2312"/>
          <w:b w:val="0"/>
          <w:color w:val="000000" w:themeColor="text1"/>
          <w:kern w:val="0"/>
          <w:sz w:val="32"/>
          <w:szCs w:val="32"/>
          <w:highlight w:val="none"/>
          <w:lang w:val="en-US" w:eastAsia="zh-CN" w:bidi="ar"/>
          <w14:textFill>
            <w14:solidFill>
              <w14:schemeClr w14:val="tx1"/>
            </w14:solidFill>
          </w14:textFill>
        </w:rPr>
        <w:t>六</w:t>
      </w:r>
      <w:r>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t>）机构床位费、膳食费等非护理服务费用；</w:t>
      </w:r>
    </w:p>
    <w:p w14:paraId="23C25E5C">
      <w:pPr>
        <w:keepNext w:val="0"/>
        <w:keepLines w:val="0"/>
        <w:pageBreakBefore w:val="0"/>
        <w:widowControl w:val="0"/>
        <w:kinsoku/>
        <w:overflowPunct/>
        <w:topLinePunct w:val="0"/>
        <w:bidi w:val="0"/>
        <w:spacing w:beforeLines="0" w:afterLines="0" w:line="560" w:lineRule="exact"/>
        <w:ind w:firstLine="680" w:firstLineChars="200"/>
        <w:textAlignment w:val="auto"/>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t>（</w:t>
      </w:r>
      <w:r>
        <w:rPr>
          <w:rStyle w:val="11"/>
          <w:rFonts w:hint="eastAsia" w:ascii="仿宋_GB2312" w:hAnsi="仿宋_GB2312" w:eastAsia="仿宋_GB2312" w:cs="仿宋_GB2312"/>
          <w:b w:val="0"/>
          <w:color w:val="000000" w:themeColor="text1"/>
          <w:kern w:val="0"/>
          <w:sz w:val="32"/>
          <w:szCs w:val="32"/>
          <w:highlight w:val="none"/>
          <w:lang w:val="en-US" w:eastAsia="zh-CN" w:bidi="ar"/>
          <w14:textFill>
            <w14:solidFill>
              <w14:schemeClr w14:val="tx1"/>
            </w14:solidFill>
          </w14:textFill>
        </w:rPr>
        <w:t>七</w:t>
      </w:r>
      <w:r>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t>）在境外发生的护理服务费用</w:t>
      </w:r>
    </w:p>
    <w:p w14:paraId="2F66D986">
      <w:pPr>
        <w:keepNext w:val="0"/>
        <w:keepLines w:val="0"/>
        <w:pageBreakBefore w:val="0"/>
        <w:widowControl w:val="0"/>
        <w:kinsoku/>
        <w:overflowPunct/>
        <w:topLinePunct w:val="0"/>
        <w:bidi w:val="0"/>
        <w:spacing w:beforeLines="0" w:afterLines="0" w:line="560" w:lineRule="exact"/>
        <w:ind w:firstLine="680" w:firstLineChars="200"/>
        <w:textAlignment w:val="auto"/>
        <w:rPr>
          <w:rStyle w:val="11"/>
          <w:rFonts w:hint="eastAsia" w:ascii="仿宋_GB2312" w:hAnsi="仿宋_GB2312" w:eastAsia="仿宋_GB2312" w:cs="仿宋_GB2312"/>
          <w:b w:val="0"/>
          <w:color w:val="000000" w:themeColor="text1"/>
          <w:kern w:val="0"/>
          <w:sz w:val="32"/>
          <w:szCs w:val="32"/>
          <w:highlight w:val="none"/>
          <w:lang w:bidi="ar"/>
          <w14:textFill>
            <w14:solidFill>
              <w14:schemeClr w14:val="tx1"/>
            </w14:solidFill>
          </w14:textFill>
        </w:rPr>
      </w:pPr>
      <w:r>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t>（</w:t>
      </w:r>
      <w:r>
        <w:rPr>
          <w:rStyle w:val="11"/>
          <w:rFonts w:hint="eastAsia" w:ascii="仿宋_GB2312" w:hAnsi="仿宋_GB2312" w:eastAsia="仿宋_GB2312" w:cs="仿宋_GB2312"/>
          <w:b w:val="0"/>
          <w:color w:val="000000" w:themeColor="text1"/>
          <w:kern w:val="0"/>
          <w:sz w:val="32"/>
          <w:szCs w:val="32"/>
          <w:highlight w:val="none"/>
          <w:lang w:val="en-US" w:eastAsia="zh-CN" w:bidi="ar"/>
          <w14:textFill>
            <w14:solidFill>
              <w14:schemeClr w14:val="tx1"/>
            </w14:solidFill>
          </w14:textFill>
        </w:rPr>
        <w:t>八</w:t>
      </w:r>
      <w:r>
        <w:rPr>
          <w:rStyle w:val="11"/>
          <w:rFonts w:hint="eastAsia" w:ascii="仿宋_GB2312" w:hAnsi="仿宋_GB2312" w:eastAsia="仿宋_GB2312" w:cs="仿宋_GB2312"/>
          <w:b w:val="0"/>
          <w:color w:val="000000" w:themeColor="text1"/>
          <w:kern w:val="0"/>
          <w:sz w:val="32"/>
          <w:szCs w:val="32"/>
          <w:highlight w:val="none"/>
          <w:lang w:eastAsia="zh-CN" w:bidi="ar"/>
          <w14:textFill>
            <w14:solidFill>
              <w14:schemeClr w14:val="tx1"/>
            </w14:solidFill>
          </w14:textFill>
        </w:rPr>
        <w:t>）其他法律、法规规定不予支付的。</w:t>
      </w:r>
    </w:p>
    <w:p w14:paraId="5A15673F">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第二十</w:t>
      </w:r>
      <w:r>
        <w:rPr>
          <w:rFonts w:hint="eastAsia" w:ascii="黑体" w:eastAsia="黑体" w:cs="黑体"/>
          <w:color w:val="000000" w:themeColor="text1"/>
          <w:sz w:val="32"/>
          <w:szCs w:val="32"/>
          <w:highlight w:val="none"/>
          <w:lang w:val="en-US" w:eastAsia="zh-CN"/>
          <w14:textFill>
            <w14:solidFill>
              <w14:schemeClr w14:val="tx1"/>
            </w14:solidFill>
          </w14:textFill>
        </w:rPr>
        <w:t>三</w:t>
      </w:r>
      <w:r>
        <w:rPr>
          <w:rFonts w:hint="eastAsia" w:ascii="黑体" w:eastAsia="黑体" w:cs="黑体"/>
          <w:color w:val="000000" w:themeColor="text1"/>
          <w:sz w:val="32"/>
          <w:szCs w:val="32"/>
          <w:highlight w:val="none"/>
          <w14:textFill>
            <w14:solidFill>
              <w14:schemeClr w14:val="tx1"/>
            </w14:solidFill>
          </w14:textFill>
        </w:rPr>
        <w:t>条【</w:t>
      </w:r>
      <w:r>
        <w:rPr>
          <w:rFonts w:hint="eastAsia" w:ascii="仿宋" w:hAnsi="仿宋" w:eastAsia="仿宋" w:cs="仿宋"/>
          <w:b/>
          <w:color w:val="000000" w:themeColor="text1"/>
          <w:sz w:val="32"/>
          <w:szCs w:val="32"/>
          <w:highlight w:val="none"/>
          <w14:textFill>
            <w14:solidFill>
              <w14:schemeClr w14:val="tx1"/>
            </w14:solidFill>
          </w14:textFill>
        </w:rPr>
        <w:t>变更服务</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符合享受长护险待遇条件的参保人需要变更服务方式的，由定点</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服务机构为其向经办机构办理服务方式变更备案，并自办理变更备案手续次月起按新的服务方式结算。</w:t>
      </w:r>
    </w:p>
    <w:p w14:paraId="2CEC9E82">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第二十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四</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w:t>
      </w:r>
      <w:r>
        <w:rPr>
          <w:rFonts w:hint="eastAsia" w:ascii="仿宋" w:hAnsi="仿宋" w:eastAsia="仿宋" w:cs="仿宋"/>
          <w:b/>
          <w:color w:val="000000" w:themeColor="text1"/>
          <w:kern w:val="0"/>
          <w:sz w:val="32"/>
          <w:szCs w:val="32"/>
          <w:highlight w:val="none"/>
          <w:shd w:val="clear" w:color="auto" w:fill="FFFFFF"/>
          <w:lang w:bidi="ar"/>
          <w14:textFill>
            <w14:solidFill>
              <w14:schemeClr w14:val="tx1"/>
            </w14:solidFill>
          </w14:textFill>
        </w:rPr>
        <w:t>支付规则</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失能参保人员选择机构护理实际服务天数不足一个月的，月度最高支付限额按实际服务天数折算。选择居家护理的，按照实际服务时长支付</w:t>
      </w:r>
      <w:r>
        <w:rPr>
          <w:rFonts w:hint="eastAsia" w:ascii="仿宋_GB2312" w:hAnsi="仿宋_GB2312" w:cs="仿宋_GB2312"/>
          <w:color w:val="000000" w:themeColor="text1"/>
          <w:kern w:val="0"/>
          <w:sz w:val="32"/>
          <w:szCs w:val="32"/>
          <w:highlight w:val="none"/>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实际服务费用低于支付限额的，按实际费用标准支付。超出长护险支付范围和支付限额的护理费用，由参保人自行承担。</w:t>
      </w:r>
    </w:p>
    <w:p w14:paraId="1DFF2597">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w:t>
      </w:r>
      <w:r>
        <w:rPr>
          <w:rFonts w:hint="eastAsia" w:ascii="黑体" w:eastAsia="黑体" w:cs="黑体"/>
          <w:color w:val="000000" w:themeColor="text1"/>
          <w:kern w:val="0"/>
          <w:sz w:val="32"/>
          <w:szCs w:val="32"/>
          <w:highlight w:val="none"/>
          <w:lang w:bidi="ar"/>
          <w14:textFill>
            <w14:solidFill>
              <w14:schemeClr w14:val="tx1"/>
            </w14:solidFill>
          </w14:textFill>
        </w:rPr>
        <w:t>二十</w:t>
      </w:r>
      <w:r>
        <w:rPr>
          <w:rFonts w:hint="eastAsia" w:ascii="黑体" w:eastAsia="黑体" w:cs="黑体"/>
          <w:color w:val="000000" w:themeColor="text1"/>
          <w:kern w:val="0"/>
          <w:sz w:val="32"/>
          <w:szCs w:val="32"/>
          <w:highlight w:val="none"/>
          <w:lang w:val="en-US" w:eastAsia="zh-CN" w:bidi="ar"/>
          <w14:textFill>
            <w14:solidFill>
              <w14:schemeClr w14:val="tx1"/>
            </w14:solidFill>
          </w14:textFill>
        </w:rPr>
        <w:t>五</w:t>
      </w:r>
      <w:r>
        <w:rPr>
          <w:rFonts w:hint="eastAsia" w:ascii="黑体" w:hAnsi="宋体" w:eastAsia="黑体" w:cs="黑体"/>
          <w:color w:val="000000" w:themeColor="text1"/>
          <w:kern w:val="0"/>
          <w:sz w:val="32"/>
          <w:szCs w:val="32"/>
          <w:highlight w:val="none"/>
          <w:lang w:bidi="ar"/>
          <w14:textFill>
            <w14:solidFill>
              <w14:schemeClr w14:val="tx1"/>
            </w14:solidFill>
          </w14:textFill>
        </w:rPr>
        <w:t>条【</w:t>
      </w:r>
      <w:r>
        <w:rPr>
          <w:rFonts w:hint="eastAsia" w:ascii="仿宋" w:hAnsi="仿宋" w:eastAsia="仿宋" w:cs="仿宋"/>
          <w:b/>
          <w:color w:val="000000" w:themeColor="text1"/>
          <w:kern w:val="0"/>
          <w:sz w:val="32"/>
          <w:szCs w:val="32"/>
          <w:highlight w:val="none"/>
          <w:lang w:bidi="ar"/>
          <w14:textFill>
            <w14:solidFill>
              <w14:schemeClr w14:val="tx1"/>
            </w14:solidFill>
          </w14:textFill>
        </w:rPr>
        <w:t>待遇衔接</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bookmarkStart w:id="2" w:name="OLE_LINK5"/>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失能参保人员在享受基本医疗保险住院待遇期间，不享受长护险待遇。失能参保人员治疗出院后，若其长护险评定结论仍在有效期内，可继续享受长护险待遇；若有效期届满，需按规定重新申请评定。</w:t>
      </w:r>
    </w:p>
    <w:p w14:paraId="57A34BFC">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第二十</w:t>
      </w:r>
      <w:r>
        <w:rPr>
          <w:rFonts w:hint="eastAsia" w:ascii="黑体" w:hAnsi="宋体" w:eastAsia="黑体" w:cs="黑体"/>
          <w:color w:val="000000" w:themeColor="text1"/>
          <w:kern w:val="0"/>
          <w:sz w:val="32"/>
          <w:szCs w:val="32"/>
          <w:highlight w:val="none"/>
          <w:lang w:val="en-US" w:eastAsia="zh-CN" w:bidi="ar"/>
          <w14:textFill>
            <w14:solidFill>
              <w14:schemeClr w14:val="tx1"/>
            </w14:solidFill>
          </w14:textFill>
        </w:rPr>
        <w:t>六</w:t>
      </w:r>
      <w:r>
        <w:rPr>
          <w:rFonts w:hint="eastAsia" w:ascii="黑体" w:hAnsi="宋体" w:eastAsia="黑体" w:cs="黑体"/>
          <w:color w:val="000000" w:themeColor="text1"/>
          <w:kern w:val="0"/>
          <w:sz w:val="32"/>
          <w:szCs w:val="32"/>
          <w:highlight w:val="none"/>
          <w:lang w:bidi="ar"/>
          <w14:textFill>
            <w14:solidFill>
              <w14:schemeClr w14:val="tx1"/>
            </w14:solidFill>
          </w14:textFill>
        </w:rPr>
        <w:t>条【</w:t>
      </w:r>
      <w:r>
        <w:rPr>
          <w:rFonts w:hint="eastAsia" w:ascii="仿宋" w:hAnsi="仿宋" w:eastAsia="仿宋" w:cs="仿宋"/>
          <w:b/>
          <w:color w:val="000000" w:themeColor="text1"/>
          <w:kern w:val="0"/>
          <w:sz w:val="32"/>
          <w:szCs w:val="32"/>
          <w:highlight w:val="none"/>
          <w:lang w:bidi="ar"/>
          <w14:textFill>
            <w14:solidFill>
              <w14:schemeClr w14:val="tx1"/>
            </w14:solidFill>
          </w14:textFill>
        </w:rPr>
        <w:t>政策衔接</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长护险与经济困难的高龄、失能老年人补贴及重度残疾人护理补贴等政策制度相互衔接。领取工伤保险生活护理费的参保人员，不重复享受长护险相关服务待遇。</w:t>
      </w:r>
    </w:p>
    <w:bookmarkEnd w:id="2"/>
    <w:p w14:paraId="59BE126D">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outlineLvl w:val="1"/>
        <w:rPr>
          <w:rFonts w:hint="eastAsia" w:ascii="仿宋_GB2312" w:hAnsi="仿宋_GB2312" w:eastAsia="仿宋_GB2312" w:cs="仿宋_GB2312"/>
          <w:color w:val="000000" w:themeColor="text1"/>
          <w:kern w:val="0"/>
          <w:sz w:val="32"/>
          <w:szCs w:val="32"/>
          <w:highlight w:val="none"/>
          <w:shd w:val="clear" w:color="auto" w:fill="FFFFFF"/>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第二十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七</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w:t>
      </w:r>
      <w:r>
        <w:rPr>
          <w:rFonts w:hint="eastAsia" w:ascii="仿宋" w:hAnsi="仿宋" w:eastAsia="仿宋" w:cs="仿宋"/>
          <w:b/>
          <w:color w:val="000000" w:themeColor="text1"/>
          <w:kern w:val="0"/>
          <w:sz w:val="32"/>
          <w:szCs w:val="32"/>
          <w:highlight w:val="none"/>
          <w:shd w:val="clear" w:color="auto" w:fill="FFFFFF"/>
          <w:lang w:bidi="ar"/>
          <w14:textFill>
            <w14:solidFill>
              <w14:schemeClr w14:val="tx1"/>
            </w14:solidFill>
          </w14:textFill>
        </w:rPr>
        <w:t>终止结算情形</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参保人有下列情形之一的，停止享受长护险待遇：</w:t>
      </w:r>
    </w:p>
    <w:p w14:paraId="2DE77207">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（一）长护险待遇享受人员死亡的；</w:t>
      </w:r>
    </w:p>
    <w:p w14:paraId="2CE49D0F">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（二）基本医疗保险待遇等待期内，长护险待遇同步停止；</w:t>
      </w:r>
    </w:p>
    <w:p w14:paraId="7300B50A">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（三）</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在享受长护险待遇期间，经重新评估，认定不符合重度失能条件的，自重新作出评估结论次日起停止享受长护险待遇。</w:t>
      </w:r>
    </w:p>
    <w:p w14:paraId="0636C832">
      <w:pPr>
        <w:pStyle w:val="2"/>
        <w:ind w:firstLine="680" w:firstLineChars="200"/>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四</w:t>
      </w:r>
      <w:r>
        <w:rPr>
          <w:rFonts w:hint="eastAsia" w:ascii="仿宋_GB2312" w:hAnsi="仿宋_GB2312" w:eastAsia="仿宋_GB2312" w:cs="仿宋_GB2312"/>
          <w:color w:val="000000" w:themeColor="text1"/>
          <w:kern w:val="0"/>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与定点长护服务机构终止服务协议。</w:t>
      </w:r>
    </w:p>
    <w:p w14:paraId="443FB550">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jc w:val="center"/>
        <w:textAlignment w:val="auto"/>
        <w:outlineLvl w:val="0"/>
        <w:rPr>
          <w:rFonts w:hint="eastAsia" w:ascii="黑体" w:eastAsia="黑体" w:cs="黑体"/>
          <w:color w:val="000000" w:themeColor="text1"/>
          <w:sz w:val="32"/>
          <w:szCs w:val="32"/>
          <w:highlight w:val="none"/>
          <w14:textFill>
            <w14:solidFill>
              <w14:schemeClr w14:val="tx1"/>
            </w14:solidFill>
          </w14:textFill>
        </w:rPr>
      </w:pPr>
    </w:p>
    <w:p w14:paraId="2F34A309">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jc w:val="center"/>
        <w:textAlignment w:val="auto"/>
        <w:outlineLvl w:val="0"/>
        <w:rPr>
          <w:rFonts w:hint="eastAsia" w:ascii="黑体" w:eastAsia="黑体" w:cs="黑体"/>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第五章</w:t>
      </w:r>
      <w:r>
        <w:rPr>
          <w:rFonts w:hint="default" w:ascii="Times New Roman" w:hAnsi="Times New Roman" w:eastAsia="黑体" w:cs="Times New Roman"/>
          <w:color w:val="000000" w:themeColor="text1"/>
          <w:sz w:val="32"/>
          <w:szCs w:val="32"/>
          <w:highlight w:val="none"/>
          <w:shd w:val="clear" w:color="auto" w:fill="FFFFFF"/>
          <w14:textFill>
            <w14:solidFill>
              <w14:schemeClr w14:val="tx1"/>
            </w14:solidFill>
          </w14:textFill>
        </w:rPr>
        <w:t xml:space="preserve"> </w:t>
      </w:r>
      <w:r>
        <w:rPr>
          <w:rFonts w:hint="eastAsia" w:ascii="黑体" w:eastAsia="黑体" w:cs="黑体"/>
          <w:color w:val="000000" w:themeColor="text1"/>
          <w:sz w:val="32"/>
          <w:szCs w:val="32"/>
          <w:highlight w:val="none"/>
          <w14:textFill>
            <w14:solidFill>
              <w14:schemeClr w14:val="tx1"/>
            </w14:solidFill>
          </w14:textFill>
        </w:rPr>
        <w:t>基金管理</w:t>
      </w:r>
    </w:p>
    <w:p w14:paraId="15A56B94">
      <w:pPr>
        <w:pStyle w:val="7"/>
        <w:keepNext w:val="0"/>
        <w:keepLines w:val="0"/>
        <w:pageBreakBefore w:val="0"/>
        <w:widowControl w:val="0"/>
        <w:numPr>
          <w:ilvl w:val="0"/>
          <w:numId w:val="0"/>
        </w:numPr>
        <w:kinsoku/>
        <w:wordWrap w:val="0"/>
        <w:overflowPunct/>
        <w:topLinePunct w:val="0"/>
        <w:bidi w:val="0"/>
        <w:spacing w:before="0" w:beforeLines="0" w:beforeAutospacing="0" w:after="0" w:afterLines="0" w:afterAutospacing="0" w:line="560" w:lineRule="exact"/>
        <w:ind w:leftChars="1100"/>
        <w:jc w:val="both"/>
        <w:textAlignment w:val="auto"/>
        <w:outlineLvl w:val="0"/>
        <w:rPr>
          <w:rFonts w:hint="eastAsia" w:ascii="黑体" w:eastAsia="黑体" w:cs="黑体"/>
          <w:color w:val="000000" w:themeColor="text1"/>
          <w:sz w:val="32"/>
          <w:szCs w:val="32"/>
          <w:highlight w:val="none"/>
          <w14:textFill>
            <w14:solidFill>
              <w14:schemeClr w14:val="tx1"/>
            </w14:solidFill>
          </w14:textFill>
        </w:rPr>
      </w:pPr>
    </w:p>
    <w:p w14:paraId="7C19CEB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第二十</w:t>
      </w:r>
      <w:r>
        <w:rPr>
          <w:rFonts w:hint="eastAsia" w:ascii="黑体" w:eastAsia="黑体" w:cs="黑体"/>
          <w:color w:val="000000" w:themeColor="text1"/>
          <w:sz w:val="32"/>
          <w:szCs w:val="32"/>
          <w:highlight w:val="none"/>
          <w:lang w:val="en-US" w:eastAsia="zh-CN"/>
          <w14:textFill>
            <w14:solidFill>
              <w14:schemeClr w14:val="tx1"/>
            </w14:solidFill>
          </w14:textFill>
        </w:rPr>
        <w:t>八</w:t>
      </w:r>
      <w:r>
        <w:rPr>
          <w:rFonts w:hint="eastAsia" w:ascii="黑体" w:eastAsia="黑体" w:cs="黑体"/>
          <w:color w:val="000000" w:themeColor="text1"/>
          <w:sz w:val="32"/>
          <w:szCs w:val="32"/>
          <w:highlight w:val="none"/>
          <w14:textFill>
            <w14:solidFill>
              <w14:schemeClr w14:val="tx1"/>
            </w14:solidFill>
          </w14:textFill>
        </w:rPr>
        <w:t>条【</w:t>
      </w:r>
      <w:r>
        <w:rPr>
          <w:rFonts w:hint="eastAsia" w:ascii="仿宋" w:hAnsi="仿宋" w:eastAsia="仿宋" w:cs="仿宋"/>
          <w:b/>
          <w:color w:val="000000" w:themeColor="text1"/>
          <w:sz w:val="32"/>
          <w:szCs w:val="32"/>
          <w:highlight w:val="none"/>
          <w14:textFill>
            <w14:solidFill>
              <w14:schemeClr w14:val="tx1"/>
            </w14:solidFill>
          </w14:textFill>
        </w:rPr>
        <w:t>管理原则】</w:t>
      </w:r>
      <w:r>
        <w:rPr>
          <w:rFonts w:hint="eastAsia" w:ascii="仿宋_GB2312" w:hAnsi="仿宋_GB2312" w:eastAsia="仿宋_GB2312" w:cs="仿宋_GB2312"/>
          <w:color w:val="000000" w:themeColor="text1"/>
          <w:sz w:val="32"/>
          <w:szCs w:val="32"/>
          <w:highlight w:val="none"/>
          <w14:textFill>
            <w14:solidFill>
              <w14:schemeClr w14:val="tx1"/>
            </w14:solidFill>
          </w14:textFill>
        </w:rPr>
        <w:t>长护险基金参照社保基金管理规定，实行市级统筹，纳入财政专户，单独建账、独立核算、专款专用。</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将长期护理保险纳入社会保险基金预算编制范围，科学编制收支预算，加强预算绩效管理，健全基金预算管理制度。</w:t>
      </w:r>
    </w:p>
    <w:p w14:paraId="62D83AF4">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严格执行相关财务和会计制度，加强基金管理，</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规范基金收支，原则上不得将基金交由经办长期护理保险的第三方代管代拨。</w:t>
      </w:r>
    </w:p>
    <w:p w14:paraId="4A39A328">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遵循“以收定支、收支平衡、略有结余”原则，建立健全基金</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运行监控和</w:t>
      </w:r>
      <w:r>
        <w:rPr>
          <w:rFonts w:hint="eastAsia" w:ascii="仿宋_GB2312" w:hAnsi="仿宋_GB2312" w:eastAsia="仿宋_GB2312" w:cs="仿宋_GB2312"/>
          <w:color w:val="000000" w:themeColor="text1"/>
          <w:sz w:val="32"/>
          <w:szCs w:val="32"/>
          <w:highlight w:val="none"/>
          <w14:textFill>
            <w14:solidFill>
              <w14:schemeClr w14:val="tx1"/>
            </w14:solidFill>
          </w14:textFill>
        </w:rPr>
        <w:t>风险防范机制，</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做好中长期精算分析</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03B9105C">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w:t>
      </w:r>
      <w:r>
        <w:rPr>
          <w:rFonts w:hint="eastAsia" w:ascii="黑体" w:eastAsia="黑体" w:cs="黑体"/>
          <w:color w:val="000000" w:themeColor="text1"/>
          <w:sz w:val="32"/>
          <w:szCs w:val="32"/>
          <w:highlight w:val="none"/>
          <w:lang w:val="en-US" w:eastAsia="zh-CN"/>
          <w14:textFill>
            <w14:solidFill>
              <w14:schemeClr w14:val="tx1"/>
            </w14:solidFill>
          </w14:textFill>
        </w:rPr>
        <w:t>二十九</w:t>
      </w:r>
      <w:r>
        <w:rPr>
          <w:rFonts w:hint="eastAsia" w:ascii="黑体" w:eastAsia="黑体" w:cs="黑体"/>
          <w:color w:val="000000" w:themeColor="text1"/>
          <w:sz w:val="32"/>
          <w:szCs w:val="32"/>
          <w:highlight w:val="none"/>
          <w14:textFill>
            <w14:solidFill>
              <w14:schemeClr w14:val="tx1"/>
            </w14:solidFill>
          </w14:textFill>
        </w:rPr>
        <w:t>条【</w:t>
      </w:r>
      <w:r>
        <w:rPr>
          <w:rFonts w:hint="eastAsia" w:ascii="仿宋" w:hAnsi="仿宋" w:eastAsia="仿宋" w:cs="仿宋"/>
          <w:b/>
          <w:color w:val="000000" w:themeColor="text1"/>
          <w:sz w:val="32"/>
          <w:szCs w:val="32"/>
          <w:highlight w:val="none"/>
          <w14:textFill>
            <w14:solidFill>
              <w14:schemeClr w14:val="tx1"/>
            </w14:solidFill>
          </w14:textFill>
        </w:rPr>
        <w:t>监督机制</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健全基金监管体系，长护险基金使用情况纳入医疗保障基金监督体系，明确监管内容，强化协议管理，压实基金使用主体责任，规范安全有效使用基金。对承保机构、护理服务机构、评估机构及其从业人员、参保人员开展监督检查，强化事前防控、事中审核和事后监管，落实监管实效，确保基金安全。</w:t>
      </w:r>
    </w:p>
    <w:p w14:paraId="31DB61EA">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1"/>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第三十条【</w:t>
      </w:r>
      <w:r>
        <w:rPr>
          <w:rFonts w:hint="eastAsia" w:ascii="仿宋" w:hAnsi="仿宋" w:eastAsia="仿宋" w:cs="仿宋"/>
          <w:b/>
          <w:color w:val="000000" w:themeColor="text1"/>
          <w:sz w:val="32"/>
          <w:szCs w:val="32"/>
          <w:highlight w:val="none"/>
          <w14:textFill>
            <w14:solidFill>
              <w14:schemeClr w14:val="tx1"/>
            </w14:solidFill>
          </w14:textFill>
        </w:rPr>
        <w:t>基金来源</w:t>
      </w:r>
      <w:r>
        <w:rPr>
          <w:rFonts w:hint="eastAsia" w:ascii="黑体" w:eastAsia="黑体" w:cs="黑体"/>
          <w:color w:val="000000" w:themeColor="text1"/>
          <w:sz w:val="32"/>
          <w:szCs w:val="32"/>
          <w:highlight w:val="none"/>
          <w14:textFill>
            <w14:solidFill>
              <w14:schemeClr w14:val="tx1"/>
            </w14:solidFill>
          </w14:textFill>
        </w:rPr>
        <w:t>】</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长护险基金来源为：</w:t>
      </w:r>
    </w:p>
    <w:p w14:paraId="2F1ED464">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2"/>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（一）长护险保险费的缴费收入及其利息；</w:t>
      </w:r>
    </w:p>
    <w:p w14:paraId="5391353A">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政府</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补助</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1CB59A53">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（三）社会捐助及其他合法收入。</w:t>
      </w:r>
    </w:p>
    <w:p w14:paraId="1CE71DF9">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1"/>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第三十</w:t>
      </w:r>
      <w:r>
        <w:rPr>
          <w:rFonts w:hint="eastAsia" w:ascii="黑体" w:eastAsia="黑体" w:cs="黑体"/>
          <w:color w:val="000000" w:themeColor="text1"/>
          <w:sz w:val="32"/>
          <w:szCs w:val="32"/>
          <w:highlight w:val="none"/>
          <w:lang w:val="en-US" w:eastAsia="zh-CN"/>
          <w14:textFill>
            <w14:solidFill>
              <w14:schemeClr w14:val="tx1"/>
            </w14:solidFill>
          </w14:textFill>
        </w:rPr>
        <w:t>一</w:t>
      </w:r>
      <w:r>
        <w:rPr>
          <w:rFonts w:hint="eastAsia" w:ascii="黑体" w:eastAsia="黑体" w:cs="黑体"/>
          <w:color w:val="000000" w:themeColor="text1"/>
          <w:sz w:val="32"/>
          <w:szCs w:val="32"/>
          <w:highlight w:val="none"/>
          <w14:textFill>
            <w14:solidFill>
              <w14:schemeClr w14:val="tx1"/>
            </w14:solidFill>
          </w14:textFill>
        </w:rPr>
        <w:t>条【</w:t>
      </w:r>
      <w:r>
        <w:rPr>
          <w:rFonts w:hint="eastAsia" w:ascii="仿宋" w:hAnsi="仿宋" w:eastAsia="仿宋" w:cs="仿宋"/>
          <w:b/>
          <w:color w:val="000000" w:themeColor="text1"/>
          <w:sz w:val="32"/>
          <w:szCs w:val="32"/>
          <w:highlight w:val="none"/>
          <w14:textFill>
            <w14:solidFill>
              <w14:schemeClr w14:val="tx1"/>
            </w14:solidFill>
          </w14:textFill>
        </w:rPr>
        <w:t>使用范围</w:t>
      </w:r>
      <w:r>
        <w:rPr>
          <w:rFonts w:hint="eastAsia" w:ascii="黑体" w:eastAsia="黑体" w:cs="黑体"/>
          <w:color w:val="000000" w:themeColor="text1"/>
          <w:sz w:val="32"/>
          <w:szCs w:val="32"/>
          <w:highlight w:val="none"/>
          <w14:textFill>
            <w14:solidFill>
              <w14:schemeClr w14:val="tx1"/>
            </w14:solidFill>
          </w14:textFill>
        </w:rPr>
        <w:t>】</w:t>
      </w: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长护险基金支付范围：</w:t>
      </w:r>
    </w:p>
    <w:p w14:paraId="2D6D7AF7">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（一）长护险待遇支付费用；</w:t>
      </w:r>
    </w:p>
    <w:p w14:paraId="0792195C">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（二）失能等级评估费用；</w:t>
      </w:r>
    </w:p>
    <w:p w14:paraId="3FC3B5A9">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（三）第三方机构经办服务费；</w:t>
      </w:r>
    </w:p>
    <w:p w14:paraId="35EF8FF7">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t>（四）法律、法规规定的其他费用。</w:t>
      </w:r>
    </w:p>
    <w:p w14:paraId="5B060D08">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第三十</w:t>
      </w:r>
      <w:r>
        <w:rPr>
          <w:rFonts w:hint="eastAsia" w:ascii="黑体" w:eastAsia="黑体" w:cs="黑体"/>
          <w:color w:val="000000" w:themeColor="text1"/>
          <w:sz w:val="32"/>
          <w:szCs w:val="32"/>
          <w:highlight w:val="none"/>
          <w:lang w:val="en-US" w:eastAsia="zh-CN"/>
          <w14:textFill>
            <w14:solidFill>
              <w14:schemeClr w14:val="tx1"/>
            </w14:solidFill>
          </w14:textFill>
        </w:rPr>
        <w:t>二</w:t>
      </w:r>
      <w:r>
        <w:rPr>
          <w:rFonts w:hint="eastAsia" w:ascii="黑体" w:eastAsia="黑体" w:cs="黑体"/>
          <w:color w:val="000000" w:themeColor="text1"/>
          <w:sz w:val="32"/>
          <w:szCs w:val="32"/>
          <w:highlight w:val="none"/>
          <w14:textFill>
            <w14:solidFill>
              <w14:schemeClr w14:val="tx1"/>
            </w14:solidFill>
          </w14:textFill>
        </w:rPr>
        <w:t>条【</w:t>
      </w:r>
      <w:r>
        <w:rPr>
          <w:rFonts w:hint="eastAsia" w:ascii="仿宋" w:hAnsi="仿宋" w:eastAsia="仿宋" w:cs="仿宋"/>
          <w:b/>
          <w:color w:val="000000" w:themeColor="text1"/>
          <w:sz w:val="32"/>
          <w:szCs w:val="32"/>
          <w:highlight w:val="none"/>
          <w14:textFill>
            <w14:solidFill>
              <w14:schemeClr w14:val="tx1"/>
            </w14:solidFill>
          </w14:textFill>
        </w:rPr>
        <w:t>风险调剂金计提</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建立风险调剂金制度，按照当年度长护险基金收入总额的5%提取风险调剂金，主要用于应对因不可预测因素导致长护险基金支出快速增长、当年收不抵支等情况。</w:t>
      </w:r>
    </w:p>
    <w:p w14:paraId="6FB1D63B">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1"/>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黑体" w:eastAsia="黑体" w:cs="黑体"/>
          <w:color w:val="000000" w:themeColor="text1"/>
          <w:sz w:val="32"/>
          <w:szCs w:val="32"/>
          <w:highlight w:val="none"/>
          <w14:textFill>
            <w14:solidFill>
              <w14:schemeClr w14:val="tx1"/>
            </w14:solidFill>
          </w14:textFill>
        </w:rPr>
        <w:t>第三十</w:t>
      </w:r>
      <w:r>
        <w:rPr>
          <w:rStyle w:val="10"/>
          <w:rFonts w:hint="eastAsia" w:ascii="黑体" w:eastAsia="黑体" w:cs="黑体"/>
          <w:color w:val="000000" w:themeColor="text1"/>
          <w:sz w:val="32"/>
          <w:szCs w:val="32"/>
          <w:highlight w:val="none"/>
          <w:lang w:val="en-US" w:eastAsia="zh-CN"/>
          <w14:textFill>
            <w14:solidFill>
              <w14:schemeClr w14:val="tx1"/>
            </w14:solidFill>
          </w14:textFill>
        </w:rPr>
        <w:t>三</w:t>
      </w:r>
      <w:r>
        <w:rPr>
          <w:rStyle w:val="10"/>
          <w:rFonts w:hint="eastAsia" w:ascii="黑体" w:eastAsia="黑体" w:cs="黑体"/>
          <w:color w:val="000000" w:themeColor="text1"/>
          <w:sz w:val="32"/>
          <w:szCs w:val="32"/>
          <w:highlight w:val="none"/>
          <w14:textFill>
            <w14:solidFill>
              <w14:schemeClr w14:val="tx1"/>
            </w14:solidFill>
          </w14:textFill>
        </w:rPr>
        <w:t>条【</w:t>
      </w:r>
      <w:r>
        <w:rPr>
          <w:rStyle w:val="11"/>
          <w:rFonts w:hint="eastAsia" w:ascii="仿宋" w:hAnsi="仿宋" w:eastAsia="仿宋" w:cs="仿宋"/>
          <w:color w:val="000000" w:themeColor="text1"/>
          <w:sz w:val="32"/>
          <w:szCs w:val="32"/>
          <w:highlight w:val="none"/>
          <w14:textFill>
            <w14:solidFill>
              <w14:schemeClr w14:val="tx1"/>
            </w14:solidFill>
          </w14:textFill>
        </w:rPr>
        <w:t>补偿机制</w:t>
      </w:r>
      <w:r>
        <w:rPr>
          <w:rStyle w:val="10"/>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当长护险基金当年收不抵支，应由长护险基金承担部分，先用当年提取风险调剂金予以补偿；当年提取风险调剂金不足以补偿时，从长护险基金累计结余中支出；并根据基金支出需求，科学预算，动态调整费率</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或待遇政策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75D33A1">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680" w:firstLineChars="200"/>
        <w:jc w:val="both"/>
        <w:textAlignment w:val="auto"/>
        <w:outlineLvl w:val="1"/>
        <w:rPr>
          <w:rStyle w:val="11"/>
          <w:rFonts w:hint="eastAsia" w:ascii="仿宋_GB2312" w:hAnsi="仿宋_GB2312" w:eastAsia="仿宋_GB2312" w:cs="仿宋_GB2312"/>
          <w:b w:val="0"/>
          <w:color w:val="000000" w:themeColor="text1"/>
          <w:sz w:val="32"/>
          <w:szCs w:val="32"/>
          <w:highlight w:val="none"/>
          <w14:textFill>
            <w14:solidFill>
              <w14:schemeClr w14:val="tx1"/>
            </w14:solidFill>
          </w14:textFill>
        </w:rPr>
      </w:pPr>
    </w:p>
    <w:p w14:paraId="4F76003C">
      <w:pPr>
        <w:keepNext w:val="0"/>
        <w:keepLines w:val="0"/>
        <w:pageBreakBefore w:val="0"/>
        <w:widowControl w:val="0"/>
        <w:kinsoku/>
        <w:overflowPunct/>
        <w:topLinePunct w:val="0"/>
        <w:bidi w:val="0"/>
        <w:spacing w:beforeLines="0" w:afterLines="0" w:line="560" w:lineRule="exact"/>
        <w:jc w:val="center"/>
        <w:textAlignment w:val="auto"/>
        <w:outlineLvl w:val="0"/>
        <w:rPr>
          <w:rFonts w:hint="default" w:ascii="Times New Roman" w:hAnsi="Times New Roman" w:eastAsia="黑体"/>
          <w:color w:val="000000" w:themeColor="text1"/>
          <w:sz w:val="32"/>
          <w:szCs w:val="32"/>
          <w:highlight w:val="none"/>
          <w14:textFill>
            <w14:solidFill>
              <w14:schemeClr w14:val="tx1"/>
            </w14:solidFill>
          </w14:textFill>
        </w:rPr>
      </w:pPr>
      <w:r>
        <w:rPr>
          <w:rFonts w:hint="eastAsia" w:ascii="黑体" w:hAnsi="宋体" w:eastAsia="黑体" w:cs="黑体"/>
          <w:color w:val="000000" w:themeColor="text1"/>
          <w:sz w:val="32"/>
          <w:szCs w:val="32"/>
          <w:highlight w:val="none"/>
          <w:lang w:bidi="ar"/>
          <w14:textFill>
            <w14:solidFill>
              <w14:schemeClr w14:val="tx1"/>
            </w14:solidFill>
          </w14:textFill>
        </w:rPr>
        <w:t>第六章</w:t>
      </w:r>
      <w:r>
        <w:rPr>
          <w:rFonts w:hint="default" w:ascii="Times New Roman" w:hAnsi="Times New Roman" w:eastAsia="黑体"/>
          <w:color w:val="000000" w:themeColor="text1"/>
          <w:sz w:val="32"/>
          <w:szCs w:val="32"/>
          <w:highlight w:val="none"/>
          <w:lang w:bidi="ar"/>
          <w14:textFill>
            <w14:solidFill>
              <w14:schemeClr w14:val="tx1"/>
            </w14:solidFill>
          </w14:textFill>
        </w:rPr>
        <w:t xml:space="preserve"> </w:t>
      </w:r>
      <w:r>
        <w:rPr>
          <w:rFonts w:hint="eastAsia" w:ascii="黑体" w:hAnsi="宋体" w:eastAsia="黑体" w:cs="黑体"/>
          <w:color w:val="000000" w:themeColor="text1"/>
          <w:sz w:val="32"/>
          <w:szCs w:val="32"/>
          <w:highlight w:val="none"/>
          <w:lang w:bidi="ar"/>
          <w14:textFill>
            <w14:solidFill>
              <w14:schemeClr w14:val="tx1"/>
            </w14:solidFill>
          </w14:textFill>
        </w:rPr>
        <w:t>服务管理</w:t>
      </w:r>
    </w:p>
    <w:p w14:paraId="76E498AF">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黑体" w:hAnsi="宋体" w:eastAsia="黑体" w:cs="黑体"/>
          <w:color w:val="000000" w:themeColor="text1"/>
          <w:kern w:val="0"/>
          <w:sz w:val="32"/>
          <w:szCs w:val="32"/>
          <w:highlight w:val="none"/>
          <w:lang w:bidi="ar"/>
          <w14:textFill>
            <w14:solidFill>
              <w14:schemeClr w14:val="tx1"/>
            </w14:solidFill>
          </w14:textFill>
        </w:rPr>
      </w:pPr>
    </w:p>
    <w:p w14:paraId="596768F2">
      <w:pPr>
        <w:keepNext w:val="0"/>
        <w:keepLines w:val="0"/>
        <w:pageBreakBefore w:val="0"/>
        <w:widowControl w:val="0"/>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第三十</w:t>
      </w:r>
      <w:r>
        <w:rPr>
          <w:rFonts w:hint="eastAsia" w:ascii="黑体" w:hAnsi="宋体" w:eastAsia="黑体" w:cs="黑体"/>
          <w:color w:val="000000" w:themeColor="text1"/>
          <w:kern w:val="0"/>
          <w:sz w:val="32"/>
          <w:szCs w:val="32"/>
          <w:highlight w:val="none"/>
          <w:lang w:val="en-US" w:eastAsia="zh-CN" w:bidi="ar"/>
          <w14:textFill>
            <w14:solidFill>
              <w14:schemeClr w14:val="tx1"/>
            </w14:solidFill>
          </w14:textFill>
        </w:rPr>
        <w:t>四</w:t>
      </w:r>
      <w:r>
        <w:rPr>
          <w:rFonts w:hint="eastAsia" w:ascii="黑体" w:hAnsi="宋体" w:eastAsia="黑体" w:cs="黑体"/>
          <w:color w:val="000000" w:themeColor="text1"/>
          <w:kern w:val="0"/>
          <w:sz w:val="32"/>
          <w:szCs w:val="32"/>
          <w:highlight w:val="none"/>
          <w:lang w:bidi="ar"/>
          <w14:textFill>
            <w14:solidFill>
              <w14:schemeClr w14:val="tx1"/>
            </w14:solidFill>
          </w14:textFill>
        </w:rPr>
        <w:t>条【</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医保部门职责</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市级医疗保障行政部门应当根据参保人员长期护理服务需求、长护险基金收支、长期护理服务资源等情况，统筹规划区域内定点</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服务机构的资源配置。</w:t>
      </w:r>
    </w:p>
    <w:p w14:paraId="7F316C75">
      <w:pPr>
        <w:keepNext w:val="0"/>
        <w:keepLines w:val="0"/>
        <w:pageBreakBefore w:val="0"/>
        <w:widowControl w:val="0"/>
        <w:kinsoku/>
        <w:wordWrap w:val="0"/>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bookmarkStart w:id="3" w:name="OLE_LINK6"/>
      <w:r>
        <w:rPr>
          <w:rFonts w:hint="eastAsia" w:ascii="黑体" w:hAnsi="宋体" w:eastAsia="黑体" w:cs="黑体"/>
          <w:color w:val="000000" w:themeColor="text1"/>
          <w:kern w:val="0"/>
          <w:sz w:val="32"/>
          <w:szCs w:val="32"/>
          <w:highlight w:val="none"/>
          <w:lang w:bidi="ar"/>
          <w14:textFill>
            <w14:solidFill>
              <w14:schemeClr w14:val="tx1"/>
            </w14:solidFill>
          </w14:textFill>
        </w:rPr>
        <w:t>第三十</w:t>
      </w:r>
      <w:r>
        <w:rPr>
          <w:rFonts w:hint="eastAsia" w:ascii="黑体" w:hAnsi="宋体" w:eastAsia="黑体" w:cs="黑体"/>
          <w:color w:val="000000" w:themeColor="text1"/>
          <w:kern w:val="0"/>
          <w:sz w:val="32"/>
          <w:szCs w:val="32"/>
          <w:highlight w:val="none"/>
          <w:lang w:val="en-US" w:eastAsia="zh-CN" w:bidi="ar"/>
          <w14:textFill>
            <w14:solidFill>
              <w14:schemeClr w14:val="tx1"/>
            </w14:solidFill>
          </w14:textFill>
        </w:rPr>
        <w:t>五</w:t>
      </w:r>
      <w:r>
        <w:rPr>
          <w:rFonts w:hint="eastAsia" w:ascii="黑体" w:hAnsi="宋体" w:eastAsia="黑体" w:cs="黑体"/>
          <w:color w:val="000000" w:themeColor="text1"/>
          <w:kern w:val="0"/>
          <w:sz w:val="32"/>
          <w:szCs w:val="32"/>
          <w:highlight w:val="none"/>
          <w:lang w:bidi="ar"/>
          <w14:textFill>
            <w14:solidFill>
              <w14:schemeClr w14:val="tx1"/>
            </w14:solidFill>
          </w14:textFill>
        </w:rPr>
        <w:t>条</w:t>
      </w:r>
      <w:r>
        <w:rPr>
          <w:rFonts w:hint="eastAsia" w:ascii="Times New Roman" w:hAnsi="Times New Roman" w:eastAsia="黑体"/>
          <w:color w:val="000000" w:themeColor="text1"/>
          <w:kern w:val="0"/>
          <w:sz w:val="32"/>
          <w:szCs w:val="32"/>
          <w:highlight w:val="none"/>
          <w:lang w:bidi="ar"/>
          <w14:textFill>
            <w14:solidFill>
              <w14:schemeClr w14:val="tx1"/>
            </w14:solidFill>
          </w14:textFill>
        </w:rPr>
        <w:t>【</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经办职责</w:t>
      </w:r>
      <w:bookmarkEnd w:id="3"/>
      <w:r>
        <w:rPr>
          <w:rFonts w:hint="eastAsia" w:ascii="Times New Roman" w:hAnsi="Times New Roman" w:eastAsia="黑体"/>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市医疗保障经办机构负责定点评估机构和定点</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服务机构协议管理、核查考核、费用审核结算、信息系统及对参与经办的第三方机构的考核管理，指导各级医保经办机构开展长护险经办工作。</w:t>
      </w:r>
    </w:p>
    <w:p w14:paraId="40815ED4">
      <w:pPr>
        <w:keepNext w:val="0"/>
        <w:keepLines w:val="0"/>
        <w:pageBreakBefore w:val="0"/>
        <w:widowControl w:val="0"/>
        <w:kinsoku/>
        <w:wordWrap w:val="0"/>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第三十</w:t>
      </w:r>
      <w:r>
        <w:rPr>
          <w:rFonts w:hint="eastAsia" w:ascii="黑体" w:hAnsi="宋体" w:eastAsia="黑体" w:cs="黑体"/>
          <w:color w:val="000000" w:themeColor="text1"/>
          <w:kern w:val="0"/>
          <w:sz w:val="32"/>
          <w:szCs w:val="32"/>
          <w:highlight w:val="none"/>
          <w:lang w:val="en-US" w:eastAsia="zh-CN" w:bidi="ar"/>
          <w14:textFill>
            <w14:solidFill>
              <w14:schemeClr w14:val="tx1"/>
            </w14:solidFill>
          </w14:textFill>
        </w:rPr>
        <w:t>六</w:t>
      </w:r>
      <w:r>
        <w:rPr>
          <w:rFonts w:hint="eastAsia" w:ascii="黑体" w:hAnsi="宋体" w:eastAsia="黑体" w:cs="黑体"/>
          <w:color w:val="000000" w:themeColor="text1"/>
          <w:kern w:val="0"/>
          <w:sz w:val="32"/>
          <w:szCs w:val="32"/>
          <w:highlight w:val="none"/>
          <w:lang w:bidi="ar"/>
          <w14:textFill>
            <w14:solidFill>
              <w14:schemeClr w14:val="tx1"/>
            </w14:solidFill>
          </w14:textFill>
        </w:rPr>
        <w:t>条【</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经办管理</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坚持政府主导，构建以政府经办为基础、社会力量为补充的经办管理机制。</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市医疗保障经办机构可按照规定通过公开招标等方式选择第三方机构等社会力量参与长护险经办</w:t>
      </w:r>
      <w:r>
        <w:rPr>
          <w:rFonts w:hint="eastAsia" w:ascii="仿宋" w:hAnsi="仿宋" w:eastAsia="仿宋" w:cs="仿宋"/>
          <w:color w:val="000000" w:themeColor="text1"/>
          <w:sz w:val="32"/>
          <w:szCs w:val="32"/>
          <w:highlight w:val="none"/>
          <w14:textFill>
            <w14:solidFill>
              <w14:schemeClr w14:val="tx1"/>
            </w14:solidFill>
          </w14:textFill>
        </w:rPr>
        <w:t>管理</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服务。医疗保障经办机构应综合考虑服务人口、待遇水平、机构运行成本、工作绩效等因素合理确定第三方机构的费用，相关费用按协议约定从基金中支付。</w:t>
      </w:r>
      <w:r>
        <w:rPr>
          <w:rFonts w:hint="eastAsia" w:ascii="仿宋_GB2312" w:hAnsi="仿宋_GB2312" w:eastAsia="仿宋_GB2312" w:cs="仿宋_GB2312"/>
          <w:color w:val="000000" w:themeColor="text1"/>
          <w:spacing w:val="-11"/>
          <w:sz w:val="32"/>
          <w:szCs w:val="32"/>
          <w:highlight w:val="none"/>
          <w14:textFill>
            <w14:solidFill>
              <w14:schemeClr w14:val="tx1"/>
            </w14:solidFill>
          </w14:textFill>
        </w:rPr>
        <w:t>合同期限原则上不低于3</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p>
    <w:p w14:paraId="4C4298EF">
      <w:pPr>
        <w:keepNext w:val="0"/>
        <w:keepLines w:val="0"/>
        <w:pageBreakBefore w:val="0"/>
        <w:widowControl w:val="0"/>
        <w:kinsoku/>
        <w:wordWrap w:val="0"/>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医保经办机构</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按协议约定及时向</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服务机构</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拨付长护险服务费用，每月预留服务费用的5%作为质量保证金，根据年度考核评定结果进行年终清算。</w:t>
      </w:r>
    </w:p>
    <w:p w14:paraId="770373CA">
      <w:pPr>
        <w:pStyle w:val="7"/>
        <w:keepNext w:val="0"/>
        <w:keepLines w:val="0"/>
        <w:pageBreakBefore w:val="0"/>
        <w:widowControl w:val="0"/>
        <w:shd w:val="clear" w:color="auto" w:fill="FFFFFF"/>
        <w:kinsoku/>
        <w:wordWrap w:val="0"/>
        <w:overflowPunct/>
        <w:topLinePunct w:val="0"/>
        <w:bidi w:val="0"/>
        <w:spacing w:before="0" w:beforeLines="0" w:beforeAutospacing="0" w:after="0" w:afterLines="0" w:afterAutospacing="0" w:line="560" w:lineRule="exact"/>
        <w:ind w:firstLine="680" w:firstLineChars="200"/>
        <w:textAlignment w:val="auto"/>
        <w:outlineLvl w:val="0"/>
        <w:rPr>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黑体" w:eastAsia="黑体" w:cs="黑体"/>
          <w:color w:val="000000" w:themeColor="text1"/>
          <w:kern w:val="2"/>
          <w:sz w:val="32"/>
          <w:szCs w:val="32"/>
          <w:highlight w:val="none"/>
          <w14:textFill>
            <w14:solidFill>
              <w14:schemeClr w14:val="tx1"/>
            </w14:solidFill>
          </w14:textFill>
        </w:rPr>
        <w:t>第三十</w:t>
      </w:r>
      <w:r>
        <w:rPr>
          <w:rFonts w:hint="eastAsia" w:ascii="黑体" w:eastAsia="黑体" w:cs="黑体"/>
          <w:color w:val="000000" w:themeColor="text1"/>
          <w:kern w:val="2"/>
          <w:sz w:val="32"/>
          <w:szCs w:val="32"/>
          <w:highlight w:val="none"/>
          <w:lang w:val="en-US" w:eastAsia="zh-CN"/>
          <w14:textFill>
            <w14:solidFill>
              <w14:schemeClr w14:val="tx1"/>
            </w14:solidFill>
          </w14:textFill>
        </w:rPr>
        <w:t>七</w:t>
      </w:r>
      <w:r>
        <w:rPr>
          <w:rFonts w:hint="eastAsia" w:ascii="黑体" w:eastAsia="黑体" w:cs="黑体"/>
          <w:color w:val="000000" w:themeColor="text1"/>
          <w:kern w:val="2"/>
          <w:sz w:val="32"/>
          <w:szCs w:val="32"/>
          <w:highlight w:val="none"/>
          <w14:textFill>
            <w14:solidFill>
              <w14:schemeClr w14:val="tx1"/>
            </w14:solidFill>
          </w14:textFill>
        </w:rPr>
        <w:t>条【</w:t>
      </w:r>
      <w:r>
        <w:rPr>
          <w:rStyle w:val="11"/>
          <w:rFonts w:hint="eastAsia" w:ascii="仿宋" w:hAnsi="仿宋" w:eastAsia="仿宋" w:cs="仿宋"/>
          <w:color w:val="000000" w:themeColor="text1"/>
          <w:sz w:val="32"/>
          <w:szCs w:val="32"/>
          <w:highlight w:val="none"/>
          <w14:textFill>
            <w14:solidFill>
              <w14:schemeClr w14:val="tx1"/>
            </w14:solidFill>
          </w14:textFill>
        </w:rPr>
        <w:t>经办队伍建设</w:t>
      </w:r>
      <w:r>
        <w:rPr>
          <w:rFonts w:hint="eastAsia" w:ascii="黑体" w:eastAsia="黑体" w:cs="黑体"/>
          <w:color w:val="000000" w:themeColor="text1"/>
          <w:kern w:val="2"/>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长护险经办队伍统一配置与动态调整，明确岗位职责，强化人员培训，长护险参保范围扩大到城乡居民基本医疗保险参保人员后，逐步实现职工、居民长护险业务协同办理，根据业务增量合理</w:t>
      </w:r>
      <w:r>
        <w:rPr>
          <w:rFonts w:hint="eastAsia" w:ascii="仿宋_GB2312" w:hAnsi="仿宋_GB2312" w:cs="仿宋_GB2312"/>
          <w:color w:val="000000" w:themeColor="text1"/>
          <w:kern w:val="2"/>
          <w:sz w:val="32"/>
          <w:szCs w:val="32"/>
          <w:highlight w:val="none"/>
          <w:lang w:val="en-US" w:eastAsia="zh-CN"/>
          <w14:textFill>
            <w14:solidFill>
              <w14:schemeClr w14:val="tx1"/>
            </w14:solidFill>
          </w14:textFill>
        </w:rPr>
        <w:t>配备</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服务队伍，保障服务质效，推动制度平稳实施。</w:t>
      </w:r>
    </w:p>
    <w:p w14:paraId="67310A1B">
      <w:pPr>
        <w:pStyle w:val="7"/>
        <w:keepNext w:val="0"/>
        <w:keepLines w:val="0"/>
        <w:pageBreakBefore w:val="0"/>
        <w:widowControl w:val="0"/>
        <w:shd w:val="clear" w:color="auto" w:fill="FFFFFF"/>
        <w:kinsoku/>
        <w:wordWrap w:val="0"/>
        <w:overflowPunct/>
        <w:topLinePunct w:val="0"/>
        <w:bidi w:val="0"/>
        <w:spacing w:before="0" w:beforeLines="0" w:beforeAutospacing="0" w:after="0" w:afterLines="0" w:afterAutospacing="0" w:line="560" w:lineRule="exact"/>
        <w:ind w:firstLine="680" w:firstLineChars="200"/>
        <w:textAlignment w:val="auto"/>
        <w:outlineLvl w:val="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第三十</w:t>
      </w:r>
      <w:r>
        <w:rPr>
          <w:rFonts w:hint="eastAsia" w:ascii="黑体" w:eastAsia="黑体" w:cs="黑体"/>
          <w:color w:val="000000" w:themeColor="text1"/>
          <w:sz w:val="32"/>
          <w:szCs w:val="32"/>
          <w:highlight w:val="none"/>
          <w:lang w:val="en-US" w:eastAsia="zh-CN"/>
          <w14:textFill>
            <w14:solidFill>
              <w14:schemeClr w14:val="tx1"/>
            </w14:solidFill>
          </w14:textFill>
        </w:rPr>
        <w:t>八</w:t>
      </w:r>
      <w:r>
        <w:rPr>
          <w:rFonts w:hint="eastAsia" w:ascii="黑体" w:eastAsia="黑体" w:cs="黑体"/>
          <w:color w:val="000000" w:themeColor="text1"/>
          <w:sz w:val="32"/>
          <w:szCs w:val="32"/>
          <w:highlight w:val="none"/>
          <w14:textFill>
            <w14:solidFill>
              <w14:schemeClr w14:val="tx1"/>
            </w14:solidFill>
          </w14:textFill>
        </w:rPr>
        <w:t>条【</w:t>
      </w:r>
      <w:r>
        <w:rPr>
          <w:rStyle w:val="11"/>
          <w:rFonts w:hint="eastAsia" w:ascii="仿宋" w:hAnsi="仿宋" w:eastAsia="仿宋" w:cs="仿宋"/>
          <w:color w:val="000000" w:themeColor="text1"/>
          <w:sz w:val="32"/>
          <w:szCs w:val="32"/>
          <w:highlight w:val="none"/>
          <w14:textFill>
            <w14:solidFill>
              <w14:schemeClr w14:val="tx1"/>
            </w14:solidFill>
          </w14:textFill>
        </w:rPr>
        <w:t>服务机构职责</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服务机构应遵守医疗保障法律法规、规章及有关政策，按照本实施细则规定和协议约定向参保人提供适宜、专业的长护险护理服务，并接受监督检查。</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服务机构应当对长护险照护服务人员定期开展业务知识、操作技能、服务规范以及安全上岗等培训和指导。</w:t>
      </w:r>
    </w:p>
    <w:p w14:paraId="58F725CA">
      <w:pPr>
        <w:pStyle w:val="7"/>
        <w:keepNext w:val="0"/>
        <w:keepLines w:val="0"/>
        <w:pageBreakBefore w:val="0"/>
        <w:widowControl w:val="0"/>
        <w:shd w:val="clear" w:color="auto" w:fill="FFFFFF"/>
        <w:kinsoku/>
        <w:wordWrap w:val="0"/>
        <w:overflowPunct/>
        <w:topLinePunct w:val="0"/>
        <w:bidi w:val="0"/>
        <w:spacing w:before="0" w:beforeLines="0" w:beforeAutospacing="0" w:after="0" w:afterLines="0" w:afterAutospacing="0" w:line="560" w:lineRule="exact"/>
        <w:ind w:firstLine="680" w:firstLineChars="200"/>
        <w:textAlignment w:val="auto"/>
        <w:outlineLvl w:val="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w:t>
      </w:r>
      <w:r>
        <w:rPr>
          <w:rFonts w:hint="eastAsia" w:ascii="黑体" w:eastAsia="黑体" w:cs="黑体"/>
          <w:color w:val="000000" w:themeColor="text1"/>
          <w:sz w:val="32"/>
          <w:szCs w:val="32"/>
          <w:highlight w:val="none"/>
          <w:lang w:val="en-US" w:eastAsia="zh-CN"/>
          <w14:textFill>
            <w14:solidFill>
              <w14:schemeClr w14:val="tx1"/>
            </w14:solidFill>
          </w14:textFill>
        </w:rPr>
        <w:t>三十九</w:t>
      </w:r>
      <w:r>
        <w:rPr>
          <w:rFonts w:hint="eastAsia" w:ascii="黑体" w:eastAsia="黑体" w:cs="黑体"/>
          <w:color w:val="000000" w:themeColor="text1"/>
          <w:sz w:val="32"/>
          <w:szCs w:val="32"/>
          <w:highlight w:val="none"/>
          <w14:textFill>
            <w14:solidFill>
              <w14:schemeClr w14:val="tx1"/>
            </w14:solidFill>
          </w14:textFill>
        </w:rPr>
        <w:t>条【</w:t>
      </w:r>
      <w:r>
        <w:rPr>
          <w:rStyle w:val="11"/>
          <w:rFonts w:hint="eastAsia" w:ascii="仿宋" w:hAnsi="仿宋" w:eastAsia="仿宋" w:cs="仿宋"/>
          <w:color w:val="000000" w:themeColor="text1"/>
          <w:sz w:val="32"/>
          <w:szCs w:val="32"/>
          <w:highlight w:val="none"/>
          <w14:textFill>
            <w14:solidFill>
              <w14:schemeClr w14:val="tx1"/>
            </w14:solidFill>
          </w14:textFill>
        </w:rPr>
        <w:t>评估机构管理</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长护险失能等级评估机构试行定点管理，申请成为定点评估机构的，应当符合国家医疗保障局《长期护理保险失能等级评估机构定点管理办法（试行）》规定的准入条件，经审核合格后与医保保障经办机构签订评估服务协议，实行协议管理。长护险评估机构管理办法具体由市医疗保障部门按照国家、省有关规定另行制定。</w:t>
      </w:r>
    </w:p>
    <w:p w14:paraId="54C20953">
      <w:pPr>
        <w:keepNext w:val="0"/>
        <w:keepLines w:val="0"/>
        <w:pageBreakBefore w:val="0"/>
        <w:widowControl w:val="0"/>
        <w:kinsoku/>
        <w:wordWrap w:val="0"/>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pPr>
      <w:r>
        <w:rPr>
          <w:rFonts w:hint="eastAsia" w:ascii="黑体" w:hAnsi="宋体" w:eastAsia="黑体" w:cs="黑体"/>
          <w:color w:val="000000" w:themeColor="text1"/>
          <w:kern w:val="0"/>
          <w:sz w:val="32"/>
          <w:szCs w:val="32"/>
          <w:highlight w:val="none"/>
          <w:lang w:bidi="ar"/>
          <w14:textFill>
            <w14:solidFill>
              <w14:schemeClr w14:val="tx1"/>
            </w14:solidFill>
          </w14:textFill>
        </w:rPr>
        <w:t>第四十条【</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护理机构管理</w:t>
      </w:r>
      <w:r>
        <w:rPr>
          <w:rFonts w:hint="eastAsia" w:ascii="黑体" w:hAnsi="宋体" w:eastAsia="黑体" w:cs="黑体"/>
          <w:color w:val="000000" w:themeColor="text1"/>
          <w:kern w:val="0"/>
          <w:sz w:val="32"/>
          <w:szCs w:val="32"/>
          <w:highlight w:val="none"/>
          <w:lang w:bidi="ar"/>
          <w14:textFill>
            <w14:solidFill>
              <w14:schemeClr w14:val="tx1"/>
            </w14:solidFill>
          </w14:textFill>
        </w:rPr>
        <w:t>】</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长护险</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服务机构实行定点管理，符合条件的养老机构、医疗机构</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或者其他服务机构，</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可自愿向统筹地区医保经办机构申请。申请成为定点</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服务</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机构的，应当符合国家医疗保障局《</w:t>
      </w:r>
      <w:r>
        <w:rPr>
          <w:rFonts w:hint="eastAsia" w:ascii="仿宋_GB2312" w:hAnsi="仿宋_GB2312" w:cs="仿宋_GB2312"/>
          <w:color w:val="000000" w:themeColor="text1"/>
          <w:kern w:val="0"/>
          <w:szCs w:val="32"/>
          <w:highlight w:val="none"/>
          <w:shd w:val="clear" w:color="auto" w:fill="FFFFFF"/>
          <w:lang w:bidi="ar"/>
          <w14:textFill>
            <w14:solidFill>
              <w14:schemeClr w14:val="tx1"/>
            </w14:solidFill>
          </w14:textFill>
        </w:rPr>
        <w:t>长期护理保险护理服务机构定点管理办法</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（试行）》规定的准入条件，经审核合格后与医保保障经办机构签订</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长护</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协议，实行协议管理。长护险</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服务</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机构管理办法具体由市医疗保障部门按照国家、省有关规定另行制定。</w:t>
      </w:r>
    </w:p>
    <w:p w14:paraId="4183DE0C">
      <w:pPr>
        <w:pStyle w:val="7"/>
        <w:keepNext w:val="0"/>
        <w:keepLines w:val="0"/>
        <w:pageBreakBefore w:val="0"/>
        <w:widowControl w:val="0"/>
        <w:shd w:val="clear" w:color="auto" w:fill="FFFFFF"/>
        <w:kinsoku/>
        <w:wordWrap w:val="0"/>
        <w:overflowPunct/>
        <w:topLinePunct w:val="0"/>
        <w:bidi w:val="0"/>
        <w:spacing w:before="0" w:beforeLines="0" w:beforeAutospacing="0" w:after="0" w:afterLines="0" w:afterAutospacing="0" w:line="560" w:lineRule="exact"/>
        <w:ind w:firstLine="680" w:firstLineChars="200"/>
        <w:textAlignment w:val="auto"/>
        <w:outlineLvl w:val="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eastAsia="黑体" w:cs="黑体"/>
          <w:color w:val="000000" w:themeColor="text1"/>
          <w:sz w:val="32"/>
          <w:szCs w:val="32"/>
          <w:highlight w:val="none"/>
          <w14:textFill>
            <w14:solidFill>
              <w14:schemeClr w14:val="tx1"/>
            </w14:solidFill>
          </w14:textFill>
        </w:rPr>
        <w:t>第四十</w:t>
      </w:r>
      <w:r>
        <w:rPr>
          <w:rFonts w:hint="eastAsia" w:ascii="黑体" w:eastAsia="黑体" w:cs="黑体"/>
          <w:color w:val="000000" w:themeColor="text1"/>
          <w:sz w:val="32"/>
          <w:szCs w:val="32"/>
          <w:highlight w:val="none"/>
          <w:lang w:val="en-US" w:eastAsia="zh-CN"/>
          <w14:textFill>
            <w14:solidFill>
              <w14:schemeClr w14:val="tx1"/>
            </w14:solidFill>
          </w14:textFill>
        </w:rPr>
        <w:t>一</w:t>
      </w:r>
      <w:r>
        <w:rPr>
          <w:rFonts w:hint="eastAsia" w:ascii="黑体" w:eastAsia="黑体" w:cs="黑体"/>
          <w:color w:val="000000" w:themeColor="text1"/>
          <w:sz w:val="32"/>
          <w:szCs w:val="32"/>
          <w:highlight w:val="none"/>
          <w14:textFill>
            <w14:solidFill>
              <w14:schemeClr w14:val="tx1"/>
            </w14:solidFill>
          </w14:textFill>
        </w:rPr>
        <w:t>条【</w:t>
      </w:r>
      <w:r>
        <w:rPr>
          <w:rStyle w:val="11"/>
          <w:rFonts w:hint="eastAsia" w:ascii="仿宋" w:hAnsi="仿宋" w:eastAsia="仿宋" w:cs="仿宋"/>
          <w:color w:val="000000" w:themeColor="text1"/>
          <w:sz w:val="32"/>
          <w:szCs w:val="32"/>
          <w:highlight w:val="none"/>
          <w14:textFill>
            <w14:solidFill>
              <w14:schemeClr w14:val="tx1"/>
            </w14:solidFill>
          </w14:textFill>
        </w:rPr>
        <w:t>信息化建设</w:t>
      </w:r>
      <w:r>
        <w:rPr>
          <w:rFonts w:hint="eastAsia" w:ascii="黑体" w:eastAsia="黑体" w:cs="黑体"/>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长护险信息化建设依托全国统一医保信息平台，按信息化、标准化要求，统一进行规划和建设，定点评估机构、</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服务机构应加强信息化建设，编码信息动态维护，按照全国统一的接口规范实现与医保信息平台长护险功能互联互通，并按规定做好相关长护险信息传送。</w:t>
      </w:r>
    </w:p>
    <w:p w14:paraId="12731989">
      <w:pPr>
        <w:keepNext w:val="0"/>
        <w:keepLines w:val="0"/>
        <w:pageBreakBefore w:val="0"/>
        <w:widowControl w:val="0"/>
        <w:shd w:val="clear" w:color="auto" w:fill="FFFFFF"/>
        <w:kinsoku/>
        <w:overflowPunct/>
        <w:topLinePunct w:val="0"/>
        <w:bidi w:val="0"/>
        <w:spacing w:beforeLines="0" w:afterLines="0" w:line="560" w:lineRule="exact"/>
        <w:textAlignment w:val="auto"/>
        <w:outlineLvl w:val="0"/>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pPr>
    </w:p>
    <w:p w14:paraId="7C7BB334">
      <w:pPr>
        <w:keepNext w:val="0"/>
        <w:keepLines w:val="0"/>
        <w:pageBreakBefore w:val="0"/>
        <w:widowControl w:val="0"/>
        <w:shd w:val="clear" w:color="auto" w:fill="FFFFFF"/>
        <w:kinsoku/>
        <w:overflowPunct/>
        <w:topLinePunct w:val="0"/>
        <w:bidi w:val="0"/>
        <w:spacing w:beforeLines="0" w:afterLines="0" w:line="560" w:lineRule="exact"/>
        <w:jc w:val="center"/>
        <w:textAlignment w:val="auto"/>
        <w:outlineLvl w:val="0"/>
        <w:rPr>
          <w:rFonts w:hint="default" w:ascii="Times New Roman" w:hAnsi="Times New Roman" w:eastAsia="黑体"/>
          <w:color w:val="000000" w:themeColor="text1"/>
          <w:kern w:val="0"/>
          <w:sz w:val="32"/>
          <w:szCs w:val="32"/>
          <w:highlight w:val="none"/>
          <w:shd w:val="clear" w:color="auto" w:fill="FFFFFF"/>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第七章</w:t>
      </w:r>
      <w:r>
        <w:rPr>
          <w:rFonts w:hint="default" w:ascii="Times New Roman" w:hAnsi="Times New Roman" w:eastAsia="黑体"/>
          <w:color w:val="000000" w:themeColor="text1"/>
          <w:kern w:val="0"/>
          <w:sz w:val="32"/>
          <w:szCs w:val="32"/>
          <w:highlight w:val="none"/>
          <w:shd w:val="clear" w:color="auto" w:fill="FFFFFF"/>
          <w:lang w:bidi="ar"/>
          <w14:textFill>
            <w14:solidFill>
              <w14:schemeClr w14:val="tx1"/>
            </w14:solidFill>
          </w14:textFill>
        </w:rPr>
        <w:t xml:space="preserve"> </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监督管理</w:t>
      </w:r>
    </w:p>
    <w:p w14:paraId="4DA10C73">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pPr>
    </w:p>
    <w:p w14:paraId="26AC0129">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第四十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二</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监管机制</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各级医疗保障部门应建立举报投诉、信息披露、内部控制、欺诈防范等监督管理机制，加强对医疗保障经办机构、委托经办机构、</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评估机构、</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服务机构，以及护理人员、参保人员、评估人员的监督检查，确保长护险基金平稳运行和安全有效。</w:t>
      </w:r>
    </w:p>
    <w:p w14:paraId="0E47E9AA">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第四十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三</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w:t>
      </w:r>
      <w:r>
        <w:rPr>
          <w:rFonts w:hint="eastAsia" w:ascii="Times New Roman" w:hAnsi="Times New Roman" w:eastAsia="黑体"/>
          <w:color w:val="000000" w:themeColor="text1"/>
          <w:kern w:val="0"/>
          <w:sz w:val="32"/>
          <w:szCs w:val="32"/>
          <w:highlight w:val="none"/>
          <w:shd w:val="clear" w:color="auto" w:fill="FFFFFF"/>
          <w:lang w:bidi="ar"/>
          <w14:textFill>
            <w14:solidFill>
              <w14:schemeClr w14:val="tx1"/>
            </w14:solidFill>
          </w14:textFill>
        </w:rPr>
        <w:t>【</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参保人监管</w:t>
      </w:r>
      <w:r>
        <w:rPr>
          <w:rFonts w:hint="eastAsia" w:ascii="Times New Roman" w:hAnsi="Times New Roman" w:eastAsia="黑体"/>
          <w:color w:val="000000" w:themeColor="text1"/>
          <w:kern w:val="0"/>
          <w:sz w:val="32"/>
          <w:szCs w:val="32"/>
          <w:highlight w:val="none"/>
          <w:shd w:val="clear" w:color="auto" w:fill="FFFFFF"/>
          <w:lang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医疗保障经办机构发现参保人员违规的，可以采取暂停联网结算、暂停或取消待遇享受等措施，并将有关参保人员违规信息推送至长护险定点评估机构和</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服务机构。涉及行政处罚的，移交医疗保障行政部门；涉嫌犯罪的，移送司法机关。</w:t>
      </w:r>
    </w:p>
    <w:p w14:paraId="6FA4289C">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第四十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四</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服务机构监管</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医疗保障经办机构通过实地检查、抽查、智能监控、大数据分析等方式对定点评估机构评估行为、协议履行情况以及</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长期护理</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服务机构的协议履约情况、长护险基金使用情况等进行监督。发现存在违规行为的，由医疗保障经办部门追回违规费用，按服务协议及时处理；涉及行政处罚的，移交医疗保障行政部门；涉嫌犯罪的，移送司法机关追究刑事责任。</w:t>
      </w:r>
    </w:p>
    <w:p w14:paraId="7BF68AA2">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ind w:firstLine="3400" w:firstLineChars="1000"/>
        <w:jc w:val="both"/>
        <w:textAlignment w:val="auto"/>
        <w:outlineLvl w:val="0"/>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p>
    <w:p w14:paraId="790DB742">
      <w:pPr>
        <w:pStyle w:val="7"/>
        <w:keepNext w:val="0"/>
        <w:keepLines w:val="0"/>
        <w:pageBreakBefore w:val="0"/>
        <w:widowControl w:val="0"/>
        <w:kinsoku/>
        <w:wordWrap w:val="0"/>
        <w:overflowPunct/>
        <w:topLinePunct w:val="0"/>
        <w:bidi w:val="0"/>
        <w:spacing w:before="0" w:beforeLines="0" w:beforeAutospacing="0" w:after="0" w:afterLines="0" w:afterAutospacing="0" w:line="560" w:lineRule="exact"/>
        <w:jc w:val="center"/>
        <w:textAlignment w:val="auto"/>
        <w:outlineLvl w:val="0"/>
        <w:rPr>
          <w:rFonts w:hint="default" w:ascii="Times New Roman" w:hAnsi="Times New Roman" w:eastAsia="黑体" w:cs="Times New Roman"/>
          <w:color w:val="000000" w:themeColor="text1"/>
          <w:sz w:val="32"/>
          <w:szCs w:val="32"/>
          <w:highlight w:val="none"/>
          <w:shd w:val="clear" w:color="auto" w:fill="FFFFFF"/>
          <w14:textFill>
            <w14:solidFill>
              <w14:schemeClr w14:val="tx1"/>
            </w14:solidFill>
          </w14:textFill>
        </w:rPr>
      </w:pPr>
      <w:r>
        <w:rPr>
          <w:rFonts w:hint="eastAsia" w:ascii="黑体" w:eastAsia="黑体" w:cs="黑体"/>
          <w:color w:val="000000" w:themeColor="text1"/>
          <w:sz w:val="32"/>
          <w:szCs w:val="32"/>
          <w:highlight w:val="none"/>
          <w:shd w:val="clear" w:color="auto" w:fill="FFFFFF"/>
          <w14:textFill>
            <w14:solidFill>
              <w14:schemeClr w14:val="tx1"/>
            </w14:solidFill>
          </w14:textFill>
        </w:rPr>
        <w:t>第八章</w:t>
      </w:r>
      <w:r>
        <w:rPr>
          <w:rFonts w:hint="default" w:ascii="Times New Roman" w:hAnsi="Times New Roman" w:eastAsia="黑体" w:cs="Times New Roman"/>
          <w:color w:val="000000" w:themeColor="text1"/>
          <w:sz w:val="32"/>
          <w:szCs w:val="32"/>
          <w:highlight w:val="none"/>
          <w:shd w:val="clear" w:color="auto" w:fill="FFFFFF"/>
          <w14:textFill>
            <w14:solidFill>
              <w14:schemeClr w14:val="tx1"/>
            </w14:solidFill>
          </w14:textFill>
        </w:rPr>
        <w:t xml:space="preserve"> </w:t>
      </w:r>
      <w:r>
        <w:rPr>
          <w:rFonts w:hint="eastAsia" w:ascii="黑体" w:eastAsia="黑体" w:cs="黑体"/>
          <w:color w:val="000000" w:themeColor="text1"/>
          <w:sz w:val="32"/>
          <w:szCs w:val="32"/>
          <w:highlight w:val="none"/>
          <w:shd w:val="clear" w:color="auto" w:fill="FFFFFF"/>
          <w14:textFill>
            <w14:solidFill>
              <w14:schemeClr w14:val="tx1"/>
            </w14:solidFill>
          </w14:textFill>
        </w:rPr>
        <w:t>附则</w:t>
      </w:r>
    </w:p>
    <w:p w14:paraId="7169C87D">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pPr>
    </w:p>
    <w:p w14:paraId="260F12F7">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第四十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五</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w:t>
      </w:r>
      <w:r>
        <w:rPr>
          <w:rFonts w:hint="eastAsia" w:ascii="Times New Roman" w:hAnsi="Times New Roman" w:eastAsia="黑体"/>
          <w:color w:val="000000" w:themeColor="text1"/>
          <w:kern w:val="0"/>
          <w:sz w:val="32"/>
          <w:szCs w:val="32"/>
          <w:highlight w:val="none"/>
          <w:shd w:val="clear" w:color="auto" w:fill="FFFFFF"/>
          <w:lang w:bidi="ar"/>
          <w14:textFill>
            <w14:solidFill>
              <w14:schemeClr w14:val="tx1"/>
            </w14:solidFill>
          </w14:textFill>
        </w:rPr>
        <w:t>【</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调整机制】</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本实施细则执行过程中，</w:t>
      </w:r>
      <w:r>
        <w:rPr>
          <w:rFonts w:hint="eastAsia" w:ascii="仿宋_GB2312" w:hAnsi="仿宋_GB2312" w:eastAsia="仿宋_GB2312" w:cs="仿宋_GB2312"/>
          <w:color w:val="000000" w:themeColor="text1"/>
          <w:sz w:val="32"/>
          <w:szCs w:val="32"/>
          <w:highlight w:val="none"/>
          <w:shd w:val="clear" w:color="auto" w:fill="FFFFFF"/>
          <w:lang w:bidi="ar"/>
          <w14:textFill>
            <w14:solidFill>
              <w14:schemeClr w14:val="tx1"/>
            </w14:solidFill>
          </w14:textFill>
        </w:rPr>
        <w:t>因</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经济社会发展水平、基金收支结余情况、照护服务成本变化等因素，需对长护险筹资标准、保障范围、待遇标准、支付范围等进行调整的，由市医疗保障行政部门制定调整方案，报市政府批准后执行。</w:t>
      </w:r>
    </w:p>
    <w:p w14:paraId="34F25CD8">
      <w:pPr>
        <w:keepNext w:val="0"/>
        <w:keepLines w:val="0"/>
        <w:pageBreakBefore w:val="0"/>
        <w:widowControl w:val="0"/>
        <w:shd w:val="clear" w:color="auto" w:fill="FFFFFF"/>
        <w:kinsoku/>
        <w:overflowPunct/>
        <w:topLinePunct w:val="0"/>
        <w:bidi w:val="0"/>
        <w:spacing w:beforeLines="0" w:afterLines="0" w:line="560" w:lineRule="exact"/>
        <w:ind w:firstLine="680" w:firstLineChars="200"/>
        <w:textAlignment w:val="auto"/>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第四十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六</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w:t>
      </w:r>
      <w:r>
        <w:rPr>
          <w:rStyle w:val="11"/>
          <w:rFonts w:hint="eastAsia" w:ascii="仿宋" w:hAnsi="仿宋" w:eastAsia="仿宋" w:cs="仿宋"/>
          <w:color w:val="000000" w:themeColor="text1"/>
          <w:kern w:val="0"/>
          <w:sz w:val="32"/>
          <w:szCs w:val="32"/>
          <w:highlight w:val="none"/>
          <w:lang w:bidi="ar"/>
          <w14:textFill>
            <w14:solidFill>
              <w14:schemeClr w14:val="tx1"/>
            </w14:solidFill>
          </w14:textFill>
        </w:rPr>
        <w:t>配套政策</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本实施细则相关的配套政策，由市医疗保障部门另行制定。</w:t>
      </w:r>
    </w:p>
    <w:p w14:paraId="2EACB432">
      <w:pPr>
        <w:keepNext w:val="0"/>
        <w:keepLines w:val="0"/>
        <w:pageBreakBefore w:val="0"/>
        <w:widowControl w:val="0"/>
        <w:kinsoku/>
        <w:overflowPunct/>
        <w:topLinePunct w:val="0"/>
        <w:bidi w:val="0"/>
        <w:ind w:firstLine="680" w:firstLineChars="200"/>
        <w:textAlignment w:val="auto"/>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第四十</w:t>
      </w:r>
      <w:r>
        <w:rPr>
          <w:rFonts w:hint="eastAsia" w:ascii="黑体" w:hAnsi="宋体" w:eastAsia="黑体" w:cs="黑体"/>
          <w:color w:val="000000" w:themeColor="text1"/>
          <w:kern w:val="0"/>
          <w:sz w:val="32"/>
          <w:szCs w:val="32"/>
          <w:highlight w:val="none"/>
          <w:shd w:val="clear" w:color="auto" w:fill="FFFFFF"/>
          <w:lang w:val="en-US" w:eastAsia="zh-CN" w:bidi="ar"/>
          <w14:textFill>
            <w14:solidFill>
              <w14:schemeClr w14:val="tx1"/>
            </w14:solidFill>
          </w14:textFill>
        </w:rPr>
        <w:t>七</w:t>
      </w:r>
      <w:r>
        <w:rPr>
          <w:rFonts w:hint="eastAsia" w:ascii="黑体" w:hAnsi="宋体" w:eastAsia="黑体" w:cs="黑体"/>
          <w:color w:val="000000" w:themeColor="text1"/>
          <w:kern w:val="0"/>
          <w:sz w:val="32"/>
          <w:szCs w:val="32"/>
          <w:highlight w:val="none"/>
          <w:shd w:val="clear" w:color="auto" w:fill="FFFFFF"/>
          <w:lang w:bidi="ar"/>
          <w14:textFill>
            <w14:solidFill>
              <w14:schemeClr w14:val="tx1"/>
            </w14:solidFill>
          </w14:textFill>
        </w:rPr>
        <w:t>条【实施时间】</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本实施细则自</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发文之日</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起施行，有效期至2029年</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月</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31</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日。本实施细则实施后，国家、省另有规定的，从其规定。职工参加长护险从2026年</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11</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月</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日起征缴实施，</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12</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月</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日起按规定享受待遇；居民参加长护险与202</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年居民医保同步征缴，202</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年</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月</w:t>
      </w:r>
      <w:r>
        <w:rPr>
          <w:rFonts w:hint="eastAsia" w:ascii="仿宋_GB2312" w:hAnsi="仿宋_GB2312" w:cs="仿宋_GB2312"/>
          <w:color w:val="000000" w:themeColor="text1"/>
          <w:kern w:val="0"/>
          <w:sz w:val="32"/>
          <w:szCs w:val="32"/>
          <w:highlight w:val="none"/>
          <w:shd w:val="clear" w:color="auto" w:fill="FFFFFF"/>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shd w:val="clear" w:color="auto" w:fill="FFFFFF"/>
          <w:lang w:bidi="ar"/>
          <w14:textFill>
            <w14:solidFill>
              <w14:schemeClr w14:val="tx1"/>
            </w14:solidFill>
          </w14:textFill>
        </w:rPr>
        <w:t>日起按规定享受待遇。</w:t>
      </w:r>
    </w:p>
    <w:p w14:paraId="01935A86">
      <w:pP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p>
    <w:p w14:paraId="58CE75D4">
      <w:pPr>
        <w:rPr>
          <w:color w:val="000000" w:themeColor="text1"/>
          <w:highlight w:val="none"/>
          <w14:textFill>
            <w14:solidFill>
              <w14:schemeClr w14:val="tx1"/>
            </w14:solidFill>
          </w14:textFill>
        </w:rPr>
      </w:pPr>
    </w:p>
    <w:sectPr>
      <w:footerReference r:id="rId3" w:type="default"/>
      <w:pgSz w:w="11906" w:h="16838"/>
      <w:pgMar w:top="1814" w:right="1531" w:bottom="1701" w:left="1531" w:header="851" w:footer="992" w:gutter="0"/>
      <w:pgNumType w:fmt="numberInDash"/>
      <w:cols w:space="720" w:num="1"/>
      <w:rtlGutter w:val="0"/>
      <w:docGrid w:type="linesAndChars" w:linePitch="605" w:charSpace="41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A12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47CCE4">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547CCE4">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0D78A8"/>
    <w:rsid w:val="01C93A86"/>
    <w:rsid w:val="092E2FE0"/>
    <w:rsid w:val="09864BCA"/>
    <w:rsid w:val="0990731B"/>
    <w:rsid w:val="0B344EC7"/>
    <w:rsid w:val="0D5166DF"/>
    <w:rsid w:val="0E055F6A"/>
    <w:rsid w:val="0E6E617C"/>
    <w:rsid w:val="0FBC0EFE"/>
    <w:rsid w:val="15892CDA"/>
    <w:rsid w:val="16B80957"/>
    <w:rsid w:val="1E7D5094"/>
    <w:rsid w:val="25CF2D63"/>
    <w:rsid w:val="29F80E0D"/>
    <w:rsid w:val="2B877E9F"/>
    <w:rsid w:val="316A413F"/>
    <w:rsid w:val="32916ABD"/>
    <w:rsid w:val="34FF4332"/>
    <w:rsid w:val="385C5F63"/>
    <w:rsid w:val="397330FD"/>
    <w:rsid w:val="3F0945F1"/>
    <w:rsid w:val="40BE641C"/>
    <w:rsid w:val="447C73E1"/>
    <w:rsid w:val="46EE1E70"/>
    <w:rsid w:val="48751F5D"/>
    <w:rsid w:val="4A547680"/>
    <w:rsid w:val="4A8A4D2B"/>
    <w:rsid w:val="4E9F1432"/>
    <w:rsid w:val="516D38CE"/>
    <w:rsid w:val="545B385A"/>
    <w:rsid w:val="585B059D"/>
    <w:rsid w:val="5CB61104"/>
    <w:rsid w:val="5FE273A8"/>
    <w:rsid w:val="625E1B3E"/>
    <w:rsid w:val="654D0430"/>
    <w:rsid w:val="6562730B"/>
    <w:rsid w:val="670D78A8"/>
    <w:rsid w:val="67DD3FA0"/>
    <w:rsid w:val="69FF522C"/>
    <w:rsid w:val="6A11629C"/>
    <w:rsid w:val="6C5F0204"/>
    <w:rsid w:val="6FD61F07"/>
    <w:rsid w:val="77B65E16"/>
    <w:rsid w:val="7AAA2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basedOn w:val="3"/>
    <w:next w:val="1"/>
    <w:unhideWhenUsed/>
    <w:qFormat/>
    <w:uiPriority w:val="0"/>
    <w:pPr>
      <w:widowControl w:val="0"/>
      <w:autoSpaceDE w:val="0"/>
      <w:autoSpaceDN w:val="0"/>
      <w:adjustRightInd w:val="0"/>
      <w:spacing w:beforeLines="0" w:afterLines="0"/>
      <w:jc w:val="both"/>
    </w:pPr>
    <w:rPr>
      <w:rFonts w:hint="eastAsia" w:ascii="微软雅黑" w:hAnsi="微软雅黑" w:eastAsia="微软雅黑" w:cs="Times New Roman"/>
      <w:color w:val="000000"/>
      <w:kern w:val="2"/>
      <w:sz w:val="24"/>
      <w:szCs w:val="24"/>
      <w:lang w:val="en-US" w:eastAsia="zh-CN" w:bidi="ar"/>
    </w:rPr>
  </w:style>
  <w:style w:type="paragraph" w:customStyle="1" w:styleId="3">
    <w:name w:val="正文 New"/>
    <w:next w:val="4"/>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4">
    <w:name w:val="标题 2 New"/>
    <w:basedOn w:val="3"/>
    <w:next w:val="3"/>
    <w:unhideWhenUsed/>
    <w:qFormat/>
    <w:uiPriority w:val="0"/>
    <w:pPr>
      <w:keepNext/>
      <w:keepLines/>
      <w:spacing w:before="260" w:after="260" w:line="416" w:lineRule="auto"/>
      <w:outlineLvl w:val="1"/>
    </w:pPr>
    <w:rPr>
      <w:rFonts w:hint="default" w:ascii="Calibri Light" w:hAnsi="Calibri Light"/>
      <w:b/>
      <w:sz w:val="21"/>
      <w:szCs w:val="32"/>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7">
    <w:name w:val="Normal (Web)"/>
    <w:basedOn w:val="1"/>
    <w:unhideWhenUsed/>
    <w:qFormat/>
    <w:uiPriority w:val="0"/>
    <w:pPr>
      <w:widowControl/>
      <w:spacing w:before="100" w:beforeLines="0" w:beforeAutospacing="1" w:after="100" w:afterLines="0" w:afterAutospacing="1"/>
      <w:jc w:val="left"/>
    </w:pPr>
    <w:rPr>
      <w:rFonts w:hint="eastAsia" w:ascii="宋体" w:hAnsi="宋体" w:cs="宋体"/>
      <w:kern w:val="0"/>
      <w:sz w:val="24"/>
      <w:szCs w:val="24"/>
      <w:lang w:bidi="ar"/>
    </w:rPr>
  </w:style>
  <w:style w:type="paragraph" w:styleId="8">
    <w:name w:val="Title"/>
    <w:basedOn w:val="1"/>
    <w:next w:val="1"/>
    <w:qFormat/>
    <w:uiPriority w:val="0"/>
    <w:pPr>
      <w:jc w:val="center"/>
      <w:outlineLvl w:val="0"/>
    </w:pPr>
    <w:rPr>
      <w:rFonts w:ascii="方正小标宋_GBK" w:hAnsi="方正小标宋_GBK" w:eastAsia="方正小标宋_GBK" w:cs="方正小标宋_GBK"/>
      <w:sz w:val="44"/>
      <w:szCs w:val="44"/>
    </w:rPr>
  </w:style>
  <w:style w:type="character" w:customStyle="1" w:styleId="11">
    <w:name w:val="15"/>
    <w:basedOn w:val="10"/>
    <w:unhideWhenUsed/>
    <w:qFormat/>
    <w:uiPriority w:val="0"/>
    <w:rPr>
      <w:rFonts w:hint="default" w:ascii="Times New Roman" w:hAnsi="Times New Roman" w:eastAsia="宋体" w:cs="Times New Roman"/>
      <w:b/>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48c00799-dd73-4b4d-bb48-27ba40786257</errorID>
      <errorWord>强</errorWord>
      <group>L1_Word</group>
      <groupName>字词问题</groupName>
      <ability>L2_Typo</ability>
      <abilityName>字词错误</abilityName>
      <candidateList>
        <item>强对</item>
      </candidateList>
      <explain/>
      <paraID>6CA15E25</paraID>
      <start>106</start>
      <end>107</end>
      <status>ignored</status>
      <modifiedWord/>
      <trackRevisions>false</trackRevisions>
    </reviewItem>
    <reviewItem>
      <errorID>e2b61f6d-3859-4b87-88b3-6c72028ce865</errorID>
      <errorWord>法律、法规</errorWord>
      <group>L1_Word</group>
      <groupName>字词问题</groupName>
      <ability>L2_Typo</ability>
      <abilityName>字词错误</abilityName>
      <candidateList>
        <item>法律法规</item>
      </candidateList>
      <explain/>
      <paraID>2F66D986</paraID>
      <start>5</start>
      <end>10</end>
      <status>ignored</status>
      <modifiedWord/>
      <trackRevisions>false</trackRevisions>
    </reviewItem>
    <reviewItem>
      <errorID>6c40d795-12e1-4c4d-aa3c-fc5e7d771b3a</errorID>
      <errorWord>法律、法规</errorWord>
      <group>L1_Word</group>
      <groupName>字词问题</groupName>
      <ability>L2_Typo</ability>
      <abilityName>字词错误</abilityName>
      <candidateList>
        <item>法律法规</item>
      </candidateList>
      <explain/>
      <paraID>35EF8FF7</paraID>
      <start>3</start>
      <end>8</end>
      <status>ignored</status>
      <modifiedWord/>
      <trackRevisions>false</trackRevisions>
    </reviewItem>
    <reviewItem>
      <errorID>3a56d438-3437-4ef7-bf1b-a3db5c3a3318</errorID>
      <errorWord>应</errorWord>
      <group>L1_Word</group>
      <groupName>字词问题</groupName>
      <ability>L2_Typo</ability>
      <abilityName>字词错误</abilityName>
      <candidateList>
        <item>应当</item>
      </candidateList>
      <explain/>
      <paraID>67310A1B</paraID>
      <start>21</start>
      <end>22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4f843d-db12-4a01-965a-c61557e25e0e}">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8288</Words>
  <Characters>8377</Characters>
  <Lines>0</Lines>
  <Paragraphs>0</Paragraphs>
  <TotalTime>11</TotalTime>
  <ScaleCrop>false</ScaleCrop>
  <LinksUpToDate>false</LinksUpToDate>
  <CharactersWithSpaces>8388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2026-06-22T00:52:00Z</dcterms:created>
  <dc:creator>杨道旺</dc:creator>
  <cp:lastModifiedBy>辉</cp:lastModifiedBy>
  <dcterms:modified xsi:type="dcterms:W3CDTF">2026-08-18T08:03:56Z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94D3B0B24AB3427992B02BFB4B197F1C_13</vt:lpwstr>
  </property>
  <property fmtid="{D5CDD505-2E9C-101B-9397-08002B2CF9AE}" pid="4" name="KSOTemplateDocerSaveRecord">
    <vt:lpwstr>eyJoZGlkIjoiMzExY2NiZmE2NTA2YWEyMjI5ZDJiZjBkNGY1MzMyOTMiLCJ1c2VySWQiOiIyOTgxMDg3NjIifQ==</vt:lpwstr>
  </property>
</Properties>
</file>