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34E31">
      <w:pPr>
        <w:autoSpaceDE w:val="0"/>
        <w:autoSpaceDN w:val="0"/>
        <w:spacing w:line="560" w:lineRule="exact"/>
        <w:jc w:val="center"/>
        <w:rPr>
          <w:rFonts w:hint="eastAsia" w:ascii="仿宋_GB2312" w:hAnsi="仿宋_GB2312" w:cs="仿宋_GB2312"/>
          <w:spacing w:val="-6"/>
          <w:position w:val="1"/>
          <w:szCs w:val="32"/>
        </w:rPr>
      </w:pPr>
    </w:p>
    <w:p w14:paraId="1CC30520">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云浮市液化石油气产品质量监督抽查</w:t>
      </w:r>
    </w:p>
    <w:p w14:paraId="1483FBA0">
      <w:pPr>
        <w:adjustRightInd w:val="0"/>
        <w:snapToGrid w:val="0"/>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实施细则</w:t>
      </w:r>
    </w:p>
    <w:p w14:paraId="43BB8516">
      <w:pPr>
        <w:spacing w:line="560" w:lineRule="exact"/>
        <w:jc w:val="center"/>
        <w:rPr>
          <w:rFonts w:eastAsia="楷体_GB2312"/>
          <w:szCs w:val="32"/>
        </w:rPr>
      </w:pPr>
      <w:r>
        <w:rPr>
          <w:rFonts w:eastAsia="楷体_GB2312"/>
          <w:szCs w:val="32"/>
        </w:rPr>
        <w:t>（2026年版）</w:t>
      </w:r>
    </w:p>
    <w:p w14:paraId="0F8121D0">
      <w:pPr>
        <w:snapToGrid w:val="0"/>
        <w:spacing w:line="560" w:lineRule="exact"/>
        <w:rPr>
          <w:rFonts w:hint="eastAsia" w:ascii="仿宋_GB2312" w:hAnsi="仿宋_GB2312" w:cs="仿宋_GB2312"/>
          <w:szCs w:val="32"/>
        </w:rPr>
      </w:pPr>
    </w:p>
    <w:p w14:paraId="1286FF90">
      <w:pPr>
        <w:spacing w:line="560" w:lineRule="exact"/>
        <w:ind w:firstLine="640" w:firstLineChars="200"/>
        <w:rPr>
          <w:rFonts w:eastAsia="黑体"/>
          <w:color w:val="000000"/>
          <w:szCs w:val="32"/>
        </w:rPr>
      </w:pPr>
      <w:r>
        <w:rPr>
          <w:rFonts w:eastAsia="黑体"/>
          <w:color w:val="000000"/>
          <w:szCs w:val="32"/>
        </w:rPr>
        <w:t>1 抽样方法</w:t>
      </w:r>
    </w:p>
    <w:p w14:paraId="7E7599DB">
      <w:pPr>
        <w:adjustRightInd w:val="0"/>
        <w:snapToGrid w:val="0"/>
        <w:spacing w:line="560" w:lineRule="exact"/>
        <w:ind w:firstLine="640" w:firstLineChars="200"/>
        <w:rPr>
          <w:szCs w:val="32"/>
        </w:rPr>
      </w:pPr>
      <w:r>
        <w:rPr>
          <w:szCs w:val="32"/>
        </w:rPr>
        <w:t>以随机抽样的方式在被抽样生产者、销售者的待销产品中抽取。</w:t>
      </w:r>
    </w:p>
    <w:p w14:paraId="52570E55">
      <w:pPr>
        <w:adjustRightInd w:val="0"/>
        <w:snapToGrid w:val="0"/>
        <w:spacing w:line="560" w:lineRule="exact"/>
        <w:ind w:firstLine="640" w:firstLineChars="200"/>
        <w:rPr>
          <w:szCs w:val="32"/>
        </w:rPr>
      </w:pPr>
      <w:r>
        <w:rPr>
          <w:rFonts w:hint="eastAsia"/>
          <w:szCs w:val="32"/>
        </w:rPr>
        <w:t>按照GB 11174-2011《液化石油气》、HG/T 3934-2007《二甲醚》或企业登记执行的标准或在“全国企业标准信息公共服务平台”自我声明公开的标准以及相关的法律法规、部门规章和规范。要求在充装站的储罐抽取同一批次产品，数量为2瓶，每瓶应不少于2kg，1瓶为本次质量监督抽查的检验样品，1瓶为备检样品；备检样品封存在被抽检单位。执行企业标准的产品在抽样时向企业索取企业标准复印件</w:t>
      </w:r>
      <w:r>
        <w:rPr>
          <w:szCs w:val="32"/>
        </w:rPr>
        <w:t>。</w:t>
      </w:r>
    </w:p>
    <w:p w14:paraId="442E67B3">
      <w:pPr>
        <w:spacing w:line="560" w:lineRule="exact"/>
        <w:ind w:firstLine="640" w:firstLineChars="200"/>
        <w:rPr>
          <w:rFonts w:eastAsia="黑体"/>
          <w:color w:val="000000"/>
          <w:szCs w:val="32"/>
        </w:rPr>
      </w:pPr>
      <w:r>
        <w:rPr>
          <w:rFonts w:eastAsia="黑体"/>
          <w:color w:val="000000"/>
          <w:szCs w:val="32"/>
        </w:rPr>
        <w:t>2 检验依据</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471"/>
        <w:gridCol w:w="4681"/>
      </w:tblGrid>
      <w:tr w14:paraId="2922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1018" w:type="dxa"/>
            <w:noWrap w:val="0"/>
            <w:vAlign w:val="center"/>
          </w:tcPr>
          <w:p w14:paraId="0C86E4F7">
            <w:pPr>
              <w:snapToGrid w:val="0"/>
              <w:spacing w:line="560" w:lineRule="exact"/>
              <w:jc w:val="center"/>
              <w:rPr>
                <w:sz w:val="28"/>
                <w:szCs w:val="28"/>
              </w:rPr>
            </w:pPr>
            <w:r>
              <w:rPr>
                <w:sz w:val="28"/>
                <w:szCs w:val="28"/>
              </w:rPr>
              <w:t>序号</w:t>
            </w:r>
          </w:p>
        </w:tc>
        <w:tc>
          <w:tcPr>
            <w:tcW w:w="3471" w:type="dxa"/>
            <w:noWrap w:val="0"/>
            <w:vAlign w:val="center"/>
          </w:tcPr>
          <w:p w14:paraId="023AEFBD">
            <w:pPr>
              <w:snapToGrid w:val="0"/>
              <w:spacing w:line="560" w:lineRule="exact"/>
              <w:jc w:val="center"/>
              <w:rPr>
                <w:sz w:val="28"/>
                <w:szCs w:val="28"/>
              </w:rPr>
            </w:pPr>
            <w:r>
              <w:rPr>
                <w:sz w:val="28"/>
                <w:szCs w:val="28"/>
              </w:rPr>
              <w:t>检验项目</w:t>
            </w:r>
          </w:p>
        </w:tc>
        <w:tc>
          <w:tcPr>
            <w:tcW w:w="4681" w:type="dxa"/>
            <w:noWrap w:val="0"/>
            <w:vAlign w:val="center"/>
          </w:tcPr>
          <w:p w14:paraId="1D0572FB">
            <w:pPr>
              <w:snapToGrid w:val="0"/>
              <w:spacing w:line="560" w:lineRule="exact"/>
              <w:jc w:val="center"/>
              <w:rPr>
                <w:sz w:val="28"/>
                <w:szCs w:val="28"/>
              </w:rPr>
            </w:pPr>
            <w:r>
              <w:rPr>
                <w:sz w:val="28"/>
                <w:szCs w:val="28"/>
              </w:rPr>
              <w:t>检验方法</w:t>
            </w:r>
          </w:p>
        </w:tc>
      </w:tr>
      <w:tr w14:paraId="266C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20CDBD5">
            <w:pPr>
              <w:spacing w:line="560" w:lineRule="exact"/>
              <w:jc w:val="center"/>
              <w:rPr>
                <w:sz w:val="28"/>
                <w:szCs w:val="28"/>
              </w:rPr>
            </w:pPr>
            <w:r>
              <w:rPr>
                <w:sz w:val="28"/>
                <w:szCs w:val="28"/>
              </w:rPr>
              <w:t>1</w:t>
            </w:r>
          </w:p>
        </w:tc>
        <w:tc>
          <w:tcPr>
            <w:tcW w:w="3471" w:type="dxa"/>
            <w:noWrap w:val="0"/>
            <w:vAlign w:val="top"/>
          </w:tcPr>
          <w:p w14:paraId="358A7C07">
            <w:pPr>
              <w:spacing w:line="560" w:lineRule="exact"/>
              <w:jc w:val="center"/>
              <w:rPr>
                <w:rFonts w:hint="eastAsia"/>
                <w:sz w:val="28"/>
                <w:szCs w:val="28"/>
              </w:rPr>
            </w:pPr>
            <w:r>
              <w:rPr>
                <w:rFonts w:hint="eastAsia"/>
                <w:sz w:val="28"/>
                <w:szCs w:val="28"/>
              </w:rPr>
              <w:t>蒸气压</w:t>
            </w:r>
          </w:p>
        </w:tc>
        <w:tc>
          <w:tcPr>
            <w:tcW w:w="4681" w:type="dxa"/>
            <w:noWrap w:val="0"/>
            <w:vAlign w:val="top"/>
          </w:tcPr>
          <w:p w14:paraId="529BCFAA">
            <w:pPr>
              <w:snapToGrid w:val="0"/>
              <w:spacing w:line="560" w:lineRule="exact"/>
              <w:jc w:val="center"/>
              <w:rPr>
                <w:rFonts w:hint="eastAsia"/>
                <w:sz w:val="28"/>
                <w:szCs w:val="28"/>
              </w:rPr>
            </w:pPr>
            <w:r>
              <w:rPr>
                <w:rFonts w:hint="eastAsia"/>
                <w:sz w:val="28"/>
                <w:szCs w:val="28"/>
              </w:rPr>
              <w:t>GB/T 12576-1997</w:t>
            </w:r>
          </w:p>
        </w:tc>
      </w:tr>
      <w:tr w14:paraId="1B05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1F44B182">
            <w:pPr>
              <w:spacing w:line="560" w:lineRule="exact"/>
              <w:jc w:val="center"/>
              <w:rPr>
                <w:sz w:val="28"/>
                <w:szCs w:val="28"/>
              </w:rPr>
            </w:pPr>
            <w:r>
              <w:rPr>
                <w:sz w:val="28"/>
                <w:szCs w:val="28"/>
              </w:rPr>
              <w:t>2</w:t>
            </w:r>
          </w:p>
        </w:tc>
        <w:tc>
          <w:tcPr>
            <w:tcW w:w="3471" w:type="dxa"/>
            <w:noWrap w:val="0"/>
            <w:vAlign w:val="top"/>
          </w:tcPr>
          <w:p w14:paraId="4133AF57">
            <w:pPr>
              <w:spacing w:line="560" w:lineRule="exact"/>
              <w:jc w:val="center"/>
              <w:rPr>
                <w:rFonts w:hint="eastAsia"/>
                <w:sz w:val="28"/>
                <w:szCs w:val="28"/>
              </w:rPr>
            </w:pPr>
            <w:r>
              <w:rPr>
                <w:rFonts w:hint="eastAsia"/>
                <w:sz w:val="28"/>
                <w:szCs w:val="28"/>
              </w:rPr>
              <w:t>组分</w:t>
            </w:r>
          </w:p>
        </w:tc>
        <w:tc>
          <w:tcPr>
            <w:tcW w:w="4681" w:type="dxa"/>
            <w:noWrap w:val="0"/>
            <w:vAlign w:val="top"/>
          </w:tcPr>
          <w:p w14:paraId="7CBFC6A9">
            <w:pPr>
              <w:snapToGrid w:val="0"/>
              <w:spacing w:line="560" w:lineRule="exact"/>
              <w:jc w:val="center"/>
              <w:rPr>
                <w:rFonts w:hint="eastAsia"/>
                <w:sz w:val="28"/>
                <w:szCs w:val="28"/>
              </w:rPr>
            </w:pPr>
            <w:r>
              <w:rPr>
                <w:rFonts w:hint="eastAsia"/>
                <w:sz w:val="28"/>
                <w:szCs w:val="28"/>
              </w:rPr>
              <w:t xml:space="preserve">GB 11174-2011 </w:t>
            </w:r>
          </w:p>
        </w:tc>
      </w:tr>
      <w:tr w14:paraId="6463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2C8E5FD5">
            <w:pPr>
              <w:spacing w:line="560" w:lineRule="exact"/>
              <w:jc w:val="center"/>
              <w:rPr>
                <w:sz w:val="28"/>
                <w:szCs w:val="28"/>
              </w:rPr>
            </w:pPr>
            <w:r>
              <w:rPr>
                <w:sz w:val="28"/>
                <w:szCs w:val="28"/>
              </w:rPr>
              <w:t>3</w:t>
            </w:r>
          </w:p>
        </w:tc>
        <w:tc>
          <w:tcPr>
            <w:tcW w:w="3471" w:type="dxa"/>
            <w:noWrap w:val="0"/>
            <w:vAlign w:val="top"/>
          </w:tcPr>
          <w:p w14:paraId="1C20D59F">
            <w:pPr>
              <w:spacing w:line="560" w:lineRule="exact"/>
              <w:jc w:val="center"/>
              <w:rPr>
                <w:rFonts w:hint="eastAsia"/>
                <w:sz w:val="28"/>
                <w:szCs w:val="28"/>
              </w:rPr>
            </w:pPr>
            <w:r>
              <w:rPr>
                <w:rFonts w:hint="eastAsia"/>
                <w:sz w:val="28"/>
                <w:szCs w:val="28"/>
              </w:rPr>
              <w:t>密度</w:t>
            </w:r>
          </w:p>
        </w:tc>
        <w:tc>
          <w:tcPr>
            <w:tcW w:w="4681" w:type="dxa"/>
            <w:noWrap w:val="0"/>
            <w:vAlign w:val="top"/>
          </w:tcPr>
          <w:p w14:paraId="18730C29">
            <w:pPr>
              <w:snapToGrid w:val="0"/>
              <w:spacing w:line="560" w:lineRule="exact"/>
              <w:jc w:val="center"/>
              <w:rPr>
                <w:rFonts w:hint="eastAsia"/>
                <w:sz w:val="28"/>
                <w:szCs w:val="28"/>
              </w:rPr>
            </w:pPr>
            <w:r>
              <w:rPr>
                <w:rFonts w:hint="eastAsia"/>
                <w:sz w:val="28"/>
                <w:szCs w:val="28"/>
              </w:rPr>
              <w:t xml:space="preserve">GB 11174-2011  </w:t>
            </w:r>
          </w:p>
        </w:tc>
      </w:tr>
      <w:tr w14:paraId="52F3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0ECEDC2">
            <w:pPr>
              <w:spacing w:line="560" w:lineRule="exact"/>
              <w:jc w:val="center"/>
              <w:rPr>
                <w:sz w:val="28"/>
                <w:szCs w:val="28"/>
              </w:rPr>
            </w:pPr>
            <w:r>
              <w:rPr>
                <w:sz w:val="28"/>
                <w:szCs w:val="28"/>
              </w:rPr>
              <w:t>4</w:t>
            </w:r>
          </w:p>
        </w:tc>
        <w:tc>
          <w:tcPr>
            <w:tcW w:w="3471" w:type="dxa"/>
            <w:noWrap w:val="0"/>
            <w:vAlign w:val="top"/>
          </w:tcPr>
          <w:p w14:paraId="69455724">
            <w:pPr>
              <w:spacing w:line="560" w:lineRule="exact"/>
              <w:jc w:val="center"/>
              <w:rPr>
                <w:rFonts w:hint="eastAsia"/>
                <w:sz w:val="28"/>
                <w:szCs w:val="28"/>
              </w:rPr>
            </w:pPr>
            <w:r>
              <w:rPr>
                <w:rFonts w:hint="eastAsia"/>
                <w:sz w:val="28"/>
                <w:szCs w:val="28"/>
              </w:rPr>
              <w:t>总硫含量</w:t>
            </w:r>
          </w:p>
        </w:tc>
        <w:tc>
          <w:tcPr>
            <w:tcW w:w="4681" w:type="dxa"/>
            <w:noWrap w:val="0"/>
            <w:vAlign w:val="top"/>
          </w:tcPr>
          <w:p w14:paraId="0F3C28D5">
            <w:pPr>
              <w:snapToGrid w:val="0"/>
              <w:spacing w:line="560" w:lineRule="exact"/>
              <w:jc w:val="center"/>
              <w:rPr>
                <w:rFonts w:hint="eastAsia"/>
                <w:sz w:val="28"/>
                <w:szCs w:val="28"/>
              </w:rPr>
            </w:pPr>
            <w:r>
              <w:rPr>
                <w:rFonts w:hint="eastAsia"/>
                <w:sz w:val="28"/>
                <w:szCs w:val="28"/>
              </w:rPr>
              <w:t>SH/T 0222-1992</w:t>
            </w:r>
          </w:p>
        </w:tc>
      </w:tr>
      <w:tr w14:paraId="769E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0195F33">
            <w:pPr>
              <w:spacing w:line="560" w:lineRule="exact"/>
              <w:jc w:val="center"/>
              <w:rPr>
                <w:sz w:val="28"/>
                <w:szCs w:val="28"/>
              </w:rPr>
            </w:pPr>
            <w:r>
              <w:rPr>
                <w:sz w:val="28"/>
                <w:szCs w:val="28"/>
              </w:rPr>
              <w:t>5</w:t>
            </w:r>
          </w:p>
        </w:tc>
        <w:tc>
          <w:tcPr>
            <w:tcW w:w="3471" w:type="dxa"/>
            <w:noWrap w:val="0"/>
            <w:vAlign w:val="top"/>
          </w:tcPr>
          <w:p w14:paraId="4DD630D0">
            <w:pPr>
              <w:spacing w:line="560" w:lineRule="exact"/>
              <w:jc w:val="center"/>
              <w:rPr>
                <w:rFonts w:hint="eastAsia"/>
              </w:rPr>
            </w:pPr>
            <w:r>
              <w:rPr>
                <w:rFonts w:hint="eastAsia"/>
                <w:sz w:val="28"/>
                <w:szCs w:val="28"/>
              </w:rPr>
              <w:t>游离水</w:t>
            </w:r>
          </w:p>
        </w:tc>
        <w:tc>
          <w:tcPr>
            <w:tcW w:w="4681" w:type="dxa"/>
            <w:noWrap w:val="0"/>
            <w:vAlign w:val="top"/>
          </w:tcPr>
          <w:p w14:paraId="317C29E2">
            <w:pPr>
              <w:snapToGrid w:val="0"/>
              <w:spacing w:line="560" w:lineRule="exact"/>
              <w:jc w:val="center"/>
              <w:rPr>
                <w:sz w:val="28"/>
                <w:szCs w:val="28"/>
              </w:rPr>
            </w:pPr>
            <w:r>
              <w:rPr>
                <w:rFonts w:hint="eastAsia"/>
                <w:sz w:val="28"/>
                <w:szCs w:val="28"/>
              </w:rPr>
              <w:t xml:space="preserve">GB 11174-2011 </w:t>
            </w:r>
          </w:p>
        </w:tc>
      </w:tr>
      <w:tr w14:paraId="204B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652D1BC8">
            <w:pPr>
              <w:spacing w:line="560" w:lineRule="exact"/>
              <w:jc w:val="center"/>
              <w:rPr>
                <w:sz w:val="28"/>
                <w:szCs w:val="28"/>
              </w:rPr>
            </w:pPr>
            <w:r>
              <w:rPr>
                <w:sz w:val="28"/>
                <w:szCs w:val="28"/>
              </w:rPr>
              <w:t>6</w:t>
            </w:r>
          </w:p>
        </w:tc>
        <w:tc>
          <w:tcPr>
            <w:tcW w:w="3471" w:type="dxa"/>
            <w:noWrap w:val="0"/>
            <w:vAlign w:val="center"/>
          </w:tcPr>
          <w:p w14:paraId="07FF849D">
            <w:pPr>
              <w:spacing w:line="560" w:lineRule="exact"/>
              <w:jc w:val="center"/>
              <w:rPr>
                <w:sz w:val="28"/>
                <w:szCs w:val="28"/>
              </w:rPr>
            </w:pPr>
            <w:r>
              <w:rPr>
                <w:rFonts w:hint="eastAsia"/>
                <w:sz w:val="28"/>
                <w:szCs w:val="28"/>
              </w:rPr>
              <w:t>硫化氢</w:t>
            </w:r>
          </w:p>
        </w:tc>
        <w:tc>
          <w:tcPr>
            <w:tcW w:w="4681" w:type="dxa"/>
            <w:noWrap w:val="0"/>
            <w:vAlign w:val="center"/>
          </w:tcPr>
          <w:p w14:paraId="23B121FF">
            <w:pPr>
              <w:snapToGrid w:val="0"/>
              <w:spacing w:line="560" w:lineRule="exact"/>
              <w:jc w:val="center"/>
              <w:rPr>
                <w:sz w:val="28"/>
                <w:szCs w:val="28"/>
              </w:rPr>
            </w:pPr>
            <w:r>
              <w:rPr>
                <w:sz w:val="28"/>
                <w:szCs w:val="28"/>
              </w:rPr>
              <w:t>SH/T 0125-1992</w:t>
            </w:r>
          </w:p>
        </w:tc>
      </w:tr>
      <w:tr w14:paraId="3E4B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A6E6293">
            <w:pPr>
              <w:spacing w:line="560" w:lineRule="exact"/>
              <w:jc w:val="center"/>
              <w:rPr>
                <w:sz w:val="28"/>
                <w:szCs w:val="28"/>
              </w:rPr>
            </w:pPr>
            <w:r>
              <w:rPr>
                <w:sz w:val="28"/>
                <w:szCs w:val="28"/>
              </w:rPr>
              <w:t>7</w:t>
            </w:r>
          </w:p>
        </w:tc>
        <w:tc>
          <w:tcPr>
            <w:tcW w:w="3471" w:type="dxa"/>
            <w:noWrap w:val="0"/>
            <w:vAlign w:val="center"/>
          </w:tcPr>
          <w:p w14:paraId="598B194A">
            <w:pPr>
              <w:spacing w:line="560" w:lineRule="exact"/>
              <w:jc w:val="center"/>
              <w:rPr>
                <w:sz w:val="28"/>
                <w:szCs w:val="28"/>
              </w:rPr>
            </w:pPr>
            <w:r>
              <w:rPr>
                <w:rFonts w:hint="eastAsia"/>
                <w:sz w:val="28"/>
                <w:szCs w:val="28"/>
              </w:rPr>
              <w:t>二甲醚质量分数</w:t>
            </w:r>
          </w:p>
        </w:tc>
        <w:tc>
          <w:tcPr>
            <w:tcW w:w="4681" w:type="dxa"/>
            <w:noWrap w:val="0"/>
            <w:vAlign w:val="center"/>
          </w:tcPr>
          <w:p w14:paraId="1678148F">
            <w:pPr>
              <w:snapToGrid w:val="0"/>
              <w:spacing w:line="560" w:lineRule="exact"/>
              <w:jc w:val="center"/>
              <w:rPr>
                <w:sz w:val="28"/>
                <w:szCs w:val="28"/>
              </w:rPr>
            </w:pPr>
            <w:r>
              <w:rPr>
                <w:sz w:val="28"/>
                <w:szCs w:val="28"/>
              </w:rPr>
              <w:t>HG/T 3934-2007</w:t>
            </w:r>
          </w:p>
        </w:tc>
      </w:tr>
    </w:tbl>
    <w:p w14:paraId="7FBACF0F">
      <w:pPr>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执行企业标准、团体标准、地方标准的产品，检验项目参照上述内容执行。</w:t>
      </w:r>
    </w:p>
    <w:p w14:paraId="26A87F4E">
      <w:pPr>
        <w:snapToGrid w:val="0"/>
        <w:spacing w:line="560" w:lineRule="exact"/>
        <w:ind w:firstLine="547" w:firstLineChars="171"/>
        <w:rPr>
          <w:szCs w:val="32"/>
        </w:rPr>
      </w:pPr>
      <w:r>
        <w:rPr>
          <w:szCs w:val="32"/>
        </w:rPr>
        <w:t>凡是注日期的文件，其随后所有的修改单（不包括勘误的内容）或修订版不适用于本细则。凡是不注日期的文件，其最新版本适用于本细则。</w:t>
      </w:r>
    </w:p>
    <w:p w14:paraId="02BE133D">
      <w:pPr>
        <w:spacing w:line="560" w:lineRule="exact"/>
        <w:ind w:firstLine="640" w:firstLineChars="200"/>
        <w:rPr>
          <w:rFonts w:eastAsia="黑体"/>
          <w:color w:val="000000"/>
          <w:szCs w:val="32"/>
        </w:rPr>
      </w:pPr>
      <w:r>
        <w:rPr>
          <w:rFonts w:eastAsia="黑体"/>
          <w:color w:val="000000"/>
          <w:szCs w:val="32"/>
        </w:rPr>
        <w:t>3 判定规则</w:t>
      </w:r>
    </w:p>
    <w:p w14:paraId="0DD79B27">
      <w:pPr>
        <w:snapToGrid w:val="0"/>
        <w:spacing w:line="560" w:lineRule="exact"/>
        <w:ind w:firstLine="640" w:firstLineChars="200"/>
        <w:rPr>
          <w:szCs w:val="32"/>
        </w:rPr>
      </w:pPr>
      <w:r>
        <w:rPr>
          <w:szCs w:val="32"/>
        </w:rPr>
        <w:t>3.1依据标准</w:t>
      </w:r>
    </w:p>
    <w:p w14:paraId="55C4297E">
      <w:pPr>
        <w:snapToGrid w:val="0"/>
        <w:spacing w:line="560" w:lineRule="exact"/>
        <w:ind w:firstLine="640" w:firstLineChars="200"/>
        <w:rPr>
          <w:szCs w:val="32"/>
        </w:rPr>
      </w:pPr>
      <w:r>
        <w:rPr>
          <w:rFonts w:hint="eastAsia"/>
          <w:szCs w:val="32"/>
        </w:rPr>
        <w:t>GB 11174-2011液化石油气</w:t>
      </w:r>
    </w:p>
    <w:p w14:paraId="732CA5A9">
      <w:pPr>
        <w:snapToGrid w:val="0"/>
        <w:spacing w:line="560" w:lineRule="exact"/>
        <w:ind w:firstLine="640" w:firstLineChars="200"/>
        <w:rPr>
          <w:rFonts w:hint="eastAsia"/>
          <w:szCs w:val="32"/>
        </w:rPr>
      </w:pPr>
      <w:r>
        <w:rPr>
          <w:rFonts w:hint="eastAsia"/>
          <w:szCs w:val="32"/>
        </w:rPr>
        <w:t>凡检出二甲醚含量大于3%的，即判定该批次液化石油气抽查不合格，其他项目按相关标准判定</w:t>
      </w:r>
    </w:p>
    <w:p w14:paraId="1186ACA4">
      <w:pPr>
        <w:snapToGrid w:val="0"/>
        <w:spacing w:line="560" w:lineRule="exact"/>
        <w:ind w:firstLine="640" w:firstLineChars="200"/>
        <w:rPr>
          <w:szCs w:val="32"/>
        </w:rPr>
      </w:pPr>
      <w:r>
        <w:rPr>
          <w:szCs w:val="32"/>
        </w:rPr>
        <w:t>现行有效的企业标准、团体标准、地方标准及产品明示质量要求</w:t>
      </w:r>
    </w:p>
    <w:p w14:paraId="1E0F94F4">
      <w:pPr>
        <w:snapToGrid w:val="0"/>
        <w:spacing w:line="560" w:lineRule="exact"/>
        <w:ind w:firstLine="640" w:firstLineChars="200"/>
        <w:rPr>
          <w:szCs w:val="32"/>
        </w:rPr>
      </w:pPr>
      <w:r>
        <w:rPr>
          <w:szCs w:val="32"/>
        </w:rPr>
        <w:t>3.2判定原则</w:t>
      </w:r>
    </w:p>
    <w:p w14:paraId="44BDAFD8">
      <w:pPr>
        <w:snapToGrid w:val="0"/>
        <w:spacing w:line="560" w:lineRule="exact"/>
        <w:ind w:firstLine="640" w:firstLineChars="20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59B81056">
      <w:pPr>
        <w:snapToGrid w:val="0"/>
        <w:spacing w:line="560" w:lineRule="exact"/>
        <w:ind w:firstLine="636" w:firstLineChars="199"/>
        <w:rPr>
          <w:color w:val="000000"/>
          <w:szCs w:val="32"/>
        </w:rPr>
      </w:pPr>
      <w:r>
        <w:rPr>
          <w:color w:val="000000"/>
          <w:szCs w:val="32"/>
        </w:rPr>
        <w:t>若被检产品明示的质量要求高于本细则中检验项目依据的标准要求时，应按被检产品明示的质量要求判定。</w:t>
      </w:r>
    </w:p>
    <w:p w14:paraId="1207CD09">
      <w:pPr>
        <w:snapToGrid w:val="0"/>
        <w:spacing w:line="560" w:lineRule="exact"/>
        <w:ind w:firstLine="636" w:firstLineChars="199"/>
        <w:rPr>
          <w:color w:val="000000"/>
          <w:szCs w:val="32"/>
        </w:rPr>
      </w:pPr>
      <w:r>
        <w:rPr>
          <w:color w:val="000000"/>
          <w:szCs w:val="32"/>
        </w:rPr>
        <w:t>若被检产品明示的质量要求低于本细则中检验项目依据的强制性标准要求时，应按照强制性标准要求判定。</w:t>
      </w:r>
    </w:p>
    <w:p w14:paraId="01AF5943">
      <w:pPr>
        <w:snapToGrid w:val="0"/>
        <w:spacing w:line="560" w:lineRule="exact"/>
        <w:ind w:firstLine="636" w:firstLineChars="199"/>
        <w:rPr>
          <w:color w:val="000000"/>
          <w:szCs w:val="32"/>
        </w:rPr>
      </w:pPr>
      <w:r>
        <w:rPr>
          <w:color w:val="000000"/>
          <w:szCs w:val="32"/>
        </w:rPr>
        <w:t>若被检产品明示的质量要求低于或包含本细则中检验项目依据的推荐性标准要求时，应以被检产品明示的质量要求判定。</w:t>
      </w:r>
    </w:p>
    <w:p w14:paraId="58638679">
      <w:pPr>
        <w:snapToGrid w:val="0"/>
        <w:spacing w:line="560" w:lineRule="exact"/>
        <w:ind w:firstLine="636" w:firstLineChars="199"/>
        <w:rPr>
          <w:color w:val="000000"/>
          <w:szCs w:val="32"/>
        </w:rPr>
      </w:pPr>
      <w:r>
        <w:rPr>
          <w:color w:val="000000"/>
          <w:szCs w:val="32"/>
        </w:rPr>
        <w:t>若被检产品明示的质量要求缺少本细则中检验项目依据的强制性标准要求时，应按照强制性标准要求判定。</w:t>
      </w:r>
    </w:p>
    <w:p w14:paraId="375ABA05">
      <w:pPr>
        <w:snapToGrid w:val="0"/>
        <w:spacing w:line="560" w:lineRule="exact"/>
        <w:ind w:firstLine="636" w:firstLineChars="199"/>
        <w:rPr>
          <w:color w:val="000000"/>
          <w:szCs w:val="32"/>
        </w:rPr>
      </w:pPr>
      <w:r>
        <w:rPr>
          <w:color w:val="000000"/>
          <w:szCs w:val="32"/>
        </w:rPr>
        <w:t>若被检产品明示的质量要求缺少本细则中检验项目依据的推荐性标准要求时，该项目不参与判定。</w:t>
      </w:r>
    </w:p>
    <w:p w14:paraId="0C6FBD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568FF"/>
    <w:rsid w:val="3D1925B3"/>
    <w:rsid w:val="79B5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2026-07-07T02:18:00Z</dcterms:created>
  <dc:creator>刘金棠</dc:creator>
  <cp:lastModifiedBy>刘金棠</cp:lastModifiedBy>
  <dcterms:modified xsi:type="dcterms:W3CDTF">2026-07-07T03:04:25Z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6C2BAC913A2040979C70FD0AC101902A_11</vt:lpwstr>
  </property>
</Properties>
</file>