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ED780">
      <w:pPr>
        <w:snapToGrid w:val="0"/>
        <w:spacing w:line="560" w:lineRule="exact"/>
        <w:ind w:firstLine="557" w:firstLineChars="199"/>
        <w:rPr>
          <w:rFonts w:hint="eastAsia"/>
          <w:color w:val="000000"/>
          <w:sz w:val="28"/>
          <w:szCs w:val="30"/>
        </w:rPr>
      </w:pPr>
    </w:p>
    <w:p w14:paraId="79B16F71">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云浮市水泥产品质量监督抽查实施细则</w:t>
      </w:r>
    </w:p>
    <w:p w14:paraId="1774A3FC">
      <w:pPr>
        <w:spacing w:line="560" w:lineRule="exact"/>
        <w:jc w:val="center"/>
        <w:rPr>
          <w:rFonts w:hint="eastAsia" w:ascii="仿宋_GB2312" w:hAnsi="仿宋_GB2312" w:eastAsia="仿宋_GB2312" w:cs="仿宋_GB2312"/>
          <w:color w:val="000000"/>
          <w:sz w:val="32"/>
          <w:szCs w:val="32"/>
          <w:lang w:eastAsia="zh-CN"/>
        </w:rPr>
      </w:pPr>
      <w:r>
        <w:rPr>
          <w:rFonts w:hint="eastAsia" w:ascii="仿宋_GB2312" w:hAnsi="仿宋_GB2312" w:cs="仿宋_GB2312"/>
          <w:color w:val="000000"/>
          <w:sz w:val="32"/>
          <w:szCs w:val="32"/>
          <w:lang w:eastAsia="zh-CN"/>
        </w:rPr>
        <w:t>（</w:t>
      </w:r>
      <w:r>
        <w:rPr>
          <w:rFonts w:hint="eastAsia" w:ascii="仿宋_GB2312" w:hAnsi="仿宋_GB2312" w:cs="仿宋_GB2312"/>
          <w:color w:val="000000"/>
          <w:sz w:val="32"/>
          <w:szCs w:val="32"/>
          <w:lang w:val="en-US" w:eastAsia="zh-CN"/>
        </w:rPr>
        <w:t>2026年版</w:t>
      </w:r>
      <w:r>
        <w:rPr>
          <w:rFonts w:hint="eastAsia" w:ascii="仿宋_GB2312" w:hAnsi="仿宋_GB2312" w:cs="仿宋_GB2312"/>
          <w:color w:val="000000"/>
          <w:sz w:val="32"/>
          <w:szCs w:val="32"/>
          <w:lang w:eastAsia="zh-CN"/>
        </w:rPr>
        <w:t>）</w:t>
      </w:r>
    </w:p>
    <w:p w14:paraId="6164B0BF">
      <w:pPr>
        <w:spacing w:line="560" w:lineRule="exact"/>
        <w:ind w:firstLine="640" w:firstLineChars="200"/>
        <w:rPr>
          <w:rFonts w:eastAsia="黑体"/>
          <w:color w:val="000000"/>
          <w:szCs w:val="32"/>
        </w:rPr>
      </w:pPr>
    </w:p>
    <w:p w14:paraId="4F88386C">
      <w:pPr>
        <w:spacing w:line="560" w:lineRule="exact"/>
        <w:ind w:firstLine="640" w:firstLineChars="200"/>
        <w:rPr>
          <w:rFonts w:eastAsia="黑体"/>
          <w:color w:val="000000"/>
          <w:szCs w:val="32"/>
        </w:rPr>
      </w:pPr>
      <w:r>
        <w:rPr>
          <w:rFonts w:eastAsia="黑体"/>
          <w:color w:val="000000"/>
          <w:szCs w:val="32"/>
        </w:rPr>
        <w:t>1 抽样方法</w:t>
      </w:r>
      <w:bookmarkStart w:id="1" w:name="_GoBack"/>
      <w:bookmarkEnd w:id="1"/>
    </w:p>
    <w:p w14:paraId="018A8BCE">
      <w:pPr>
        <w:spacing w:line="560" w:lineRule="exact"/>
        <w:ind w:firstLine="640" w:firstLineChars="200"/>
        <w:rPr>
          <w:color w:val="auto"/>
          <w:szCs w:val="32"/>
        </w:rPr>
      </w:pPr>
      <w:r>
        <w:rPr>
          <w:color w:val="auto"/>
          <w:szCs w:val="32"/>
        </w:rPr>
        <w:t>以随机抽样的方式在被抽样生产者、销售者的待销产品中抽取。</w:t>
      </w:r>
    </w:p>
    <w:p w14:paraId="3F8116B2">
      <w:pPr>
        <w:spacing w:line="560" w:lineRule="exact"/>
        <w:ind w:firstLine="640" w:firstLineChars="200"/>
        <w:rPr>
          <w:color w:val="auto"/>
          <w:szCs w:val="32"/>
        </w:rPr>
      </w:pPr>
      <w:r>
        <w:rPr>
          <w:color w:val="auto"/>
          <w:szCs w:val="32"/>
        </w:rPr>
        <w:t>随机数一般可使用随机数表等方法产生。</w:t>
      </w:r>
    </w:p>
    <w:p w14:paraId="5603B055">
      <w:pPr>
        <w:snapToGrid w:val="0"/>
        <w:spacing w:line="440" w:lineRule="exact"/>
        <w:ind w:firstLine="640" w:firstLineChars="200"/>
        <w:rPr>
          <w:color w:val="auto"/>
        </w:rPr>
      </w:pPr>
      <w:r>
        <w:rPr>
          <w:color w:val="auto"/>
          <w:szCs w:val="21"/>
        </w:rPr>
        <w:t>每批次抽取的样品数量</w:t>
      </w:r>
      <w:r>
        <w:rPr>
          <w:color w:val="auto"/>
        </w:rPr>
        <w:t>不得少于20kg，将样品均分为两份，每份至少10kg，其中一份为检验样品，另一份为备用样品。</w:t>
      </w:r>
    </w:p>
    <w:p w14:paraId="316610E9">
      <w:pPr>
        <w:spacing w:line="560" w:lineRule="exact"/>
        <w:ind w:firstLine="640" w:firstLineChars="200"/>
        <w:rPr>
          <w:color w:val="auto"/>
          <w:szCs w:val="32"/>
        </w:rPr>
      </w:pPr>
      <w:r>
        <w:rPr>
          <w:rFonts w:hint="eastAsia"/>
          <w:color w:val="auto"/>
          <w:szCs w:val="32"/>
        </w:rPr>
        <w:t>检验样品包装后带回检验机构，检验消耗。备用样品带回检验机构封存，并存放在干燥、防潮的地方，保存期应在抽查结果公布后不少于三个月。</w:t>
      </w:r>
    </w:p>
    <w:p w14:paraId="6D6A0C0B">
      <w:pPr>
        <w:spacing w:line="560" w:lineRule="exact"/>
        <w:ind w:firstLine="640" w:firstLineChars="200"/>
        <w:rPr>
          <w:rFonts w:eastAsia="黑体"/>
          <w:color w:val="auto"/>
          <w:szCs w:val="32"/>
        </w:rPr>
      </w:pPr>
      <w:r>
        <w:rPr>
          <w:rFonts w:eastAsia="黑体"/>
          <w:color w:val="auto"/>
          <w:szCs w:val="32"/>
        </w:rPr>
        <w:t>2 检验依据</w:t>
      </w:r>
    </w:p>
    <w:p w14:paraId="7B668508">
      <w:pPr>
        <w:spacing w:line="560" w:lineRule="exact"/>
        <w:ind w:firstLine="640" w:firstLineChars="200"/>
        <w:rPr>
          <w:color w:val="auto"/>
          <w:szCs w:val="32"/>
        </w:rPr>
      </w:pPr>
      <w:r>
        <w:rPr>
          <w:color w:val="auto"/>
          <w:szCs w:val="32"/>
        </w:rPr>
        <w:t>2.1</w:t>
      </w:r>
      <w:r>
        <w:rPr>
          <w:rFonts w:hint="eastAsia"/>
          <w:color w:val="auto"/>
          <w:szCs w:val="32"/>
        </w:rPr>
        <w:t>硅酸盐水泥</w:t>
      </w:r>
    </w:p>
    <w:tbl>
      <w:tblPr>
        <w:tblStyle w:val="2"/>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953"/>
        <w:gridCol w:w="4669"/>
      </w:tblGrid>
      <w:tr w14:paraId="1A3D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47FEE4F9">
            <w:pPr>
              <w:spacing w:line="560" w:lineRule="exact"/>
              <w:jc w:val="center"/>
              <w:rPr>
                <w:color w:val="auto"/>
                <w:szCs w:val="32"/>
              </w:rPr>
            </w:pPr>
            <w:r>
              <w:rPr>
                <w:color w:val="auto"/>
                <w:szCs w:val="32"/>
              </w:rPr>
              <w:t>序号</w:t>
            </w:r>
          </w:p>
        </w:tc>
        <w:tc>
          <w:tcPr>
            <w:tcW w:w="2953" w:type="dxa"/>
            <w:noWrap/>
            <w:vAlign w:val="center"/>
          </w:tcPr>
          <w:p w14:paraId="04C48C4A">
            <w:pPr>
              <w:spacing w:line="560" w:lineRule="exact"/>
              <w:jc w:val="center"/>
              <w:rPr>
                <w:color w:val="auto"/>
                <w:szCs w:val="32"/>
              </w:rPr>
            </w:pPr>
            <w:r>
              <w:rPr>
                <w:color w:val="auto"/>
                <w:szCs w:val="32"/>
              </w:rPr>
              <w:t>检验项目</w:t>
            </w:r>
          </w:p>
        </w:tc>
        <w:tc>
          <w:tcPr>
            <w:tcW w:w="4669" w:type="dxa"/>
            <w:noWrap/>
            <w:vAlign w:val="center"/>
          </w:tcPr>
          <w:p w14:paraId="05DC2B41">
            <w:pPr>
              <w:spacing w:line="560" w:lineRule="exact"/>
              <w:jc w:val="center"/>
              <w:rPr>
                <w:color w:val="auto"/>
                <w:szCs w:val="32"/>
              </w:rPr>
            </w:pPr>
            <w:r>
              <w:rPr>
                <w:color w:val="auto"/>
                <w:szCs w:val="32"/>
              </w:rPr>
              <w:t>检验方法</w:t>
            </w:r>
          </w:p>
        </w:tc>
      </w:tr>
      <w:tr w14:paraId="77E5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467A07AA">
            <w:pPr>
              <w:spacing w:line="560" w:lineRule="exact"/>
              <w:jc w:val="center"/>
              <w:rPr>
                <w:color w:val="auto"/>
                <w:szCs w:val="32"/>
              </w:rPr>
            </w:pPr>
            <w:r>
              <w:rPr>
                <w:rFonts w:hint="eastAsia"/>
                <w:color w:val="auto"/>
                <w:szCs w:val="32"/>
              </w:rPr>
              <w:t>1</w:t>
            </w:r>
          </w:p>
        </w:tc>
        <w:tc>
          <w:tcPr>
            <w:tcW w:w="2953" w:type="dxa"/>
            <w:noWrap/>
            <w:vAlign w:val="center"/>
          </w:tcPr>
          <w:p w14:paraId="6214F569">
            <w:pPr>
              <w:jc w:val="center"/>
              <w:rPr>
                <w:color w:val="auto"/>
                <w:szCs w:val="21"/>
              </w:rPr>
            </w:pPr>
            <w:r>
              <w:rPr>
                <w:rFonts w:hint="eastAsia"/>
                <w:color w:val="auto"/>
                <w:szCs w:val="21"/>
              </w:rPr>
              <w:t>水溶性铬（Ⅵ）</w:t>
            </w:r>
          </w:p>
        </w:tc>
        <w:tc>
          <w:tcPr>
            <w:tcW w:w="4669" w:type="dxa"/>
            <w:noWrap/>
            <w:vAlign w:val="center"/>
          </w:tcPr>
          <w:p w14:paraId="0FAB222B">
            <w:pPr>
              <w:spacing w:line="560" w:lineRule="exact"/>
              <w:jc w:val="center"/>
              <w:rPr>
                <w:color w:val="auto"/>
                <w:szCs w:val="32"/>
              </w:rPr>
            </w:pPr>
            <w:r>
              <w:rPr>
                <w:rFonts w:hint="eastAsia"/>
                <w:color w:val="auto"/>
                <w:szCs w:val="21"/>
              </w:rPr>
              <w:t>GB 31893-2015</w:t>
            </w:r>
          </w:p>
        </w:tc>
      </w:tr>
      <w:tr w14:paraId="1406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46" w:type="dxa"/>
            <w:noWrap/>
            <w:vAlign w:val="center"/>
          </w:tcPr>
          <w:p w14:paraId="4D2CAFA9">
            <w:pPr>
              <w:spacing w:line="560" w:lineRule="exact"/>
              <w:jc w:val="center"/>
              <w:rPr>
                <w:color w:val="auto"/>
                <w:szCs w:val="32"/>
              </w:rPr>
            </w:pPr>
            <w:r>
              <w:rPr>
                <w:rFonts w:hint="eastAsia"/>
                <w:color w:val="auto"/>
                <w:szCs w:val="32"/>
              </w:rPr>
              <w:t>2</w:t>
            </w:r>
          </w:p>
        </w:tc>
        <w:tc>
          <w:tcPr>
            <w:tcW w:w="2953" w:type="dxa"/>
            <w:noWrap/>
            <w:vAlign w:val="center"/>
          </w:tcPr>
          <w:p w14:paraId="0FE930B6">
            <w:pPr>
              <w:jc w:val="center"/>
              <w:rPr>
                <w:color w:val="auto"/>
                <w:szCs w:val="21"/>
              </w:rPr>
            </w:pPr>
            <w:r>
              <w:rPr>
                <w:color w:val="auto"/>
                <w:szCs w:val="21"/>
              </w:rPr>
              <w:t>凝结时间</w:t>
            </w:r>
          </w:p>
        </w:tc>
        <w:tc>
          <w:tcPr>
            <w:tcW w:w="4669" w:type="dxa"/>
            <w:noWrap/>
            <w:vAlign w:val="center"/>
          </w:tcPr>
          <w:p w14:paraId="423388A1">
            <w:pPr>
              <w:snapToGrid w:val="0"/>
              <w:spacing w:line="0" w:lineRule="atLeast"/>
              <w:jc w:val="center"/>
              <w:rPr>
                <w:color w:val="auto"/>
                <w:szCs w:val="21"/>
              </w:rPr>
            </w:pPr>
            <w:r>
              <w:rPr>
                <w:color w:val="auto"/>
                <w:szCs w:val="21"/>
              </w:rPr>
              <w:t>GB/T1346-20</w:t>
            </w:r>
            <w:r>
              <w:rPr>
                <w:rFonts w:hint="eastAsia"/>
                <w:color w:val="auto"/>
                <w:szCs w:val="21"/>
              </w:rPr>
              <w:t>24</w:t>
            </w:r>
            <w:r>
              <w:rPr>
                <w:color w:val="auto"/>
                <w:szCs w:val="21"/>
              </w:rPr>
              <w:t>/8</w:t>
            </w:r>
          </w:p>
        </w:tc>
      </w:tr>
      <w:tr w14:paraId="21ED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61D1706B">
            <w:pPr>
              <w:spacing w:line="560" w:lineRule="exact"/>
              <w:jc w:val="center"/>
              <w:rPr>
                <w:color w:val="auto"/>
                <w:szCs w:val="32"/>
              </w:rPr>
            </w:pPr>
            <w:r>
              <w:rPr>
                <w:rFonts w:hint="eastAsia"/>
                <w:color w:val="auto"/>
                <w:szCs w:val="32"/>
              </w:rPr>
              <w:t>3</w:t>
            </w:r>
          </w:p>
        </w:tc>
        <w:tc>
          <w:tcPr>
            <w:tcW w:w="2953" w:type="dxa"/>
            <w:noWrap/>
            <w:vAlign w:val="center"/>
          </w:tcPr>
          <w:p w14:paraId="0BCBCEC0">
            <w:pPr>
              <w:jc w:val="center"/>
              <w:rPr>
                <w:color w:val="auto"/>
                <w:szCs w:val="21"/>
              </w:rPr>
            </w:pPr>
            <w:r>
              <w:rPr>
                <w:color w:val="auto"/>
                <w:szCs w:val="21"/>
              </w:rPr>
              <w:t>安定性</w:t>
            </w:r>
            <w:r>
              <w:rPr>
                <w:rFonts w:hint="eastAsia"/>
                <w:color w:val="auto"/>
                <w:szCs w:val="21"/>
              </w:rPr>
              <w:t>（沸煮）</w:t>
            </w:r>
          </w:p>
        </w:tc>
        <w:tc>
          <w:tcPr>
            <w:tcW w:w="4669" w:type="dxa"/>
            <w:noWrap/>
            <w:vAlign w:val="center"/>
          </w:tcPr>
          <w:p w14:paraId="04F116BB">
            <w:pPr>
              <w:snapToGrid w:val="0"/>
              <w:spacing w:line="0" w:lineRule="atLeast"/>
              <w:jc w:val="center"/>
              <w:rPr>
                <w:color w:val="auto"/>
                <w:szCs w:val="21"/>
              </w:rPr>
            </w:pPr>
            <w:r>
              <w:rPr>
                <w:color w:val="auto"/>
                <w:szCs w:val="21"/>
              </w:rPr>
              <w:t>GB/T1346-20</w:t>
            </w:r>
            <w:r>
              <w:rPr>
                <w:rFonts w:hint="eastAsia"/>
                <w:color w:val="auto"/>
                <w:szCs w:val="21"/>
              </w:rPr>
              <w:t>24</w:t>
            </w:r>
            <w:r>
              <w:rPr>
                <w:color w:val="auto"/>
                <w:szCs w:val="21"/>
              </w:rPr>
              <w:t>/11</w:t>
            </w:r>
          </w:p>
        </w:tc>
      </w:tr>
      <w:tr w14:paraId="0686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shd w:val="clear" w:color="auto" w:fill="auto"/>
            <w:noWrap/>
            <w:vAlign w:val="center"/>
          </w:tcPr>
          <w:p w14:paraId="3D6E3B1F">
            <w:pPr>
              <w:spacing w:line="560" w:lineRule="exact"/>
              <w:jc w:val="center"/>
              <w:rPr>
                <w:color w:val="auto"/>
                <w:szCs w:val="32"/>
              </w:rPr>
            </w:pPr>
            <w:r>
              <w:rPr>
                <w:rFonts w:hint="eastAsia"/>
                <w:color w:val="auto"/>
                <w:szCs w:val="32"/>
              </w:rPr>
              <w:t>4</w:t>
            </w:r>
          </w:p>
        </w:tc>
        <w:tc>
          <w:tcPr>
            <w:tcW w:w="2953" w:type="dxa"/>
            <w:noWrap/>
            <w:vAlign w:val="center"/>
          </w:tcPr>
          <w:p w14:paraId="4161C9C5">
            <w:pPr>
              <w:spacing w:line="560" w:lineRule="exact"/>
              <w:jc w:val="center"/>
              <w:rPr>
                <w:color w:val="auto"/>
                <w:szCs w:val="32"/>
              </w:rPr>
            </w:pPr>
            <w:r>
              <w:rPr>
                <w:rFonts w:hint="eastAsia"/>
                <w:color w:val="auto"/>
                <w:szCs w:val="21"/>
              </w:rPr>
              <w:t>压蒸</w:t>
            </w:r>
            <w:r>
              <w:rPr>
                <w:color w:val="auto"/>
                <w:szCs w:val="21"/>
              </w:rPr>
              <w:t>安定性</w:t>
            </w:r>
          </w:p>
        </w:tc>
        <w:tc>
          <w:tcPr>
            <w:tcW w:w="4669" w:type="dxa"/>
            <w:noWrap/>
            <w:vAlign w:val="center"/>
          </w:tcPr>
          <w:p w14:paraId="1F51F9BA">
            <w:pPr>
              <w:snapToGrid w:val="0"/>
              <w:spacing w:line="0" w:lineRule="atLeast"/>
              <w:jc w:val="center"/>
              <w:rPr>
                <w:color w:val="auto"/>
                <w:szCs w:val="21"/>
              </w:rPr>
            </w:pPr>
            <w:r>
              <w:rPr>
                <w:rFonts w:hint="eastAsia"/>
                <w:color w:val="auto"/>
                <w:szCs w:val="21"/>
              </w:rPr>
              <w:t>GB/T750-2024/10</w:t>
            </w:r>
          </w:p>
        </w:tc>
      </w:tr>
      <w:tr w14:paraId="3A07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shd w:val="clear" w:color="auto" w:fill="auto"/>
            <w:noWrap/>
            <w:vAlign w:val="center"/>
          </w:tcPr>
          <w:p w14:paraId="0CDC1457">
            <w:pPr>
              <w:spacing w:line="560" w:lineRule="exact"/>
              <w:jc w:val="center"/>
              <w:rPr>
                <w:color w:val="auto"/>
                <w:szCs w:val="32"/>
              </w:rPr>
            </w:pPr>
            <w:r>
              <w:rPr>
                <w:rFonts w:hint="eastAsia"/>
                <w:color w:val="auto"/>
                <w:szCs w:val="32"/>
              </w:rPr>
              <w:t>5</w:t>
            </w:r>
          </w:p>
        </w:tc>
        <w:tc>
          <w:tcPr>
            <w:tcW w:w="2953" w:type="dxa"/>
            <w:noWrap/>
            <w:vAlign w:val="center"/>
          </w:tcPr>
          <w:p w14:paraId="40833C6C">
            <w:pPr>
              <w:spacing w:line="560" w:lineRule="exact"/>
              <w:jc w:val="center"/>
              <w:rPr>
                <w:color w:val="auto"/>
                <w:szCs w:val="32"/>
              </w:rPr>
            </w:pPr>
            <w:r>
              <w:rPr>
                <w:rFonts w:hint="eastAsia"/>
                <w:color w:val="auto"/>
                <w:szCs w:val="32"/>
              </w:rPr>
              <w:t>强度</w:t>
            </w:r>
          </w:p>
        </w:tc>
        <w:tc>
          <w:tcPr>
            <w:tcW w:w="4669" w:type="dxa"/>
            <w:noWrap/>
            <w:vAlign w:val="center"/>
          </w:tcPr>
          <w:p w14:paraId="13499093">
            <w:pPr>
              <w:snapToGrid w:val="0"/>
              <w:spacing w:line="0" w:lineRule="atLeast"/>
              <w:jc w:val="center"/>
              <w:rPr>
                <w:color w:val="auto"/>
                <w:szCs w:val="21"/>
              </w:rPr>
            </w:pPr>
            <w:r>
              <w:rPr>
                <w:color w:val="auto"/>
                <w:szCs w:val="21"/>
              </w:rPr>
              <w:t>GB/T17671-2021</w:t>
            </w:r>
          </w:p>
        </w:tc>
      </w:tr>
      <w:tr w14:paraId="6326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shd w:val="clear" w:color="auto" w:fill="auto"/>
            <w:noWrap/>
            <w:vAlign w:val="center"/>
          </w:tcPr>
          <w:p w14:paraId="460F8CC8">
            <w:pPr>
              <w:spacing w:line="560" w:lineRule="exact"/>
              <w:jc w:val="center"/>
              <w:rPr>
                <w:color w:val="auto"/>
                <w:szCs w:val="32"/>
              </w:rPr>
            </w:pPr>
            <w:r>
              <w:rPr>
                <w:rFonts w:hint="eastAsia"/>
                <w:color w:val="auto"/>
                <w:szCs w:val="32"/>
              </w:rPr>
              <w:t>6</w:t>
            </w:r>
          </w:p>
        </w:tc>
        <w:tc>
          <w:tcPr>
            <w:tcW w:w="2953" w:type="dxa"/>
            <w:noWrap/>
            <w:vAlign w:val="center"/>
          </w:tcPr>
          <w:p w14:paraId="32E29BCB">
            <w:pPr>
              <w:jc w:val="center"/>
              <w:rPr>
                <w:color w:val="auto"/>
                <w:szCs w:val="21"/>
              </w:rPr>
            </w:pPr>
            <w:r>
              <w:rPr>
                <w:rFonts w:hint="eastAsia"/>
                <w:color w:val="auto"/>
                <w:szCs w:val="21"/>
              </w:rPr>
              <w:t>比表面积</w:t>
            </w:r>
          </w:p>
        </w:tc>
        <w:tc>
          <w:tcPr>
            <w:tcW w:w="4669" w:type="dxa"/>
            <w:noWrap/>
            <w:vAlign w:val="center"/>
          </w:tcPr>
          <w:p w14:paraId="07322CA4">
            <w:pPr>
              <w:snapToGrid w:val="0"/>
              <w:spacing w:line="0" w:lineRule="atLeast"/>
              <w:jc w:val="center"/>
              <w:rPr>
                <w:color w:val="auto"/>
                <w:szCs w:val="21"/>
              </w:rPr>
            </w:pPr>
            <w:r>
              <w:rPr>
                <w:rFonts w:hint="eastAsia"/>
                <w:color w:val="auto"/>
                <w:szCs w:val="21"/>
              </w:rPr>
              <w:t>GB/T8074-2008</w:t>
            </w:r>
          </w:p>
        </w:tc>
      </w:tr>
      <w:tr w14:paraId="434B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0BE8F297">
            <w:pPr>
              <w:spacing w:line="560" w:lineRule="exact"/>
              <w:jc w:val="center"/>
              <w:rPr>
                <w:color w:val="auto"/>
                <w:szCs w:val="32"/>
              </w:rPr>
            </w:pPr>
            <w:r>
              <w:rPr>
                <w:rFonts w:hint="eastAsia"/>
                <w:color w:val="auto"/>
                <w:szCs w:val="32"/>
              </w:rPr>
              <w:t>7</w:t>
            </w:r>
          </w:p>
        </w:tc>
        <w:tc>
          <w:tcPr>
            <w:tcW w:w="2953" w:type="dxa"/>
            <w:noWrap/>
            <w:vAlign w:val="center"/>
          </w:tcPr>
          <w:p w14:paraId="19989B2D">
            <w:pPr>
              <w:spacing w:line="560" w:lineRule="exact"/>
              <w:jc w:val="center"/>
              <w:rPr>
                <w:color w:val="auto"/>
                <w:szCs w:val="32"/>
              </w:rPr>
            </w:pPr>
            <w:r>
              <w:rPr>
                <w:rFonts w:hint="eastAsia"/>
                <w:color w:val="auto"/>
                <w:szCs w:val="21"/>
              </w:rPr>
              <w:t>组分</w:t>
            </w:r>
          </w:p>
        </w:tc>
        <w:tc>
          <w:tcPr>
            <w:tcW w:w="4669" w:type="dxa"/>
            <w:noWrap/>
            <w:vAlign w:val="center"/>
          </w:tcPr>
          <w:p w14:paraId="70FB4642">
            <w:pPr>
              <w:snapToGrid w:val="0"/>
              <w:spacing w:line="0" w:lineRule="atLeast"/>
              <w:jc w:val="center"/>
              <w:rPr>
                <w:color w:val="auto"/>
                <w:szCs w:val="21"/>
              </w:rPr>
            </w:pPr>
            <w:r>
              <w:rPr>
                <w:rFonts w:hint="eastAsia"/>
                <w:color w:val="auto"/>
                <w:szCs w:val="21"/>
              </w:rPr>
              <w:t>GB/T 12960-2019</w:t>
            </w:r>
          </w:p>
        </w:tc>
      </w:tr>
      <w:tr w14:paraId="06E5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33FD8DAB">
            <w:pPr>
              <w:spacing w:line="560" w:lineRule="exact"/>
              <w:jc w:val="center"/>
              <w:rPr>
                <w:color w:val="auto"/>
                <w:szCs w:val="32"/>
              </w:rPr>
            </w:pPr>
            <w:r>
              <w:rPr>
                <w:rFonts w:hint="eastAsia"/>
                <w:color w:val="auto"/>
                <w:szCs w:val="32"/>
              </w:rPr>
              <w:t>8</w:t>
            </w:r>
          </w:p>
        </w:tc>
        <w:tc>
          <w:tcPr>
            <w:tcW w:w="2953" w:type="dxa"/>
            <w:noWrap/>
            <w:vAlign w:val="center"/>
          </w:tcPr>
          <w:p w14:paraId="683A14DB">
            <w:pPr>
              <w:spacing w:line="560" w:lineRule="exact"/>
              <w:jc w:val="center"/>
              <w:rPr>
                <w:color w:val="auto"/>
                <w:szCs w:val="32"/>
              </w:rPr>
            </w:pPr>
            <w:r>
              <w:rPr>
                <w:color w:val="auto"/>
                <w:szCs w:val="21"/>
              </w:rPr>
              <w:t>放射性</w:t>
            </w:r>
          </w:p>
        </w:tc>
        <w:tc>
          <w:tcPr>
            <w:tcW w:w="4669" w:type="dxa"/>
            <w:noWrap/>
            <w:vAlign w:val="center"/>
          </w:tcPr>
          <w:p w14:paraId="6ED2E769">
            <w:pPr>
              <w:snapToGrid w:val="0"/>
              <w:spacing w:line="0" w:lineRule="atLeast"/>
              <w:jc w:val="center"/>
              <w:rPr>
                <w:color w:val="auto"/>
                <w:szCs w:val="21"/>
              </w:rPr>
            </w:pPr>
            <w:r>
              <w:rPr>
                <w:color w:val="auto"/>
                <w:szCs w:val="21"/>
              </w:rPr>
              <w:t>GB 6566-2010</w:t>
            </w:r>
          </w:p>
        </w:tc>
      </w:tr>
    </w:tbl>
    <w:p w14:paraId="6AED3BA1">
      <w:pPr>
        <w:spacing w:line="560" w:lineRule="exact"/>
        <w:ind w:firstLine="640" w:firstLineChars="200"/>
        <w:rPr>
          <w:color w:val="auto"/>
          <w:szCs w:val="32"/>
        </w:rPr>
      </w:pPr>
    </w:p>
    <w:p w14:paraId="246CA3B5">
      <w:pPr>
        <w:spacing w:line="560" w:lineRule="exact"/>
        <w:ind w:firstLine="640" w:firstLineChars="200"/>
        <w:rPr>
          <w:color w:val="auto"/>
          <w:szCs w:val="32"/>
        </w:rPr>
      </w:pPr>
      <w:r>
        <w:rPr>
          <w:color w:val="auto"/>
          <w:szCs w:val="32"/>
        </w:rPr>
        <w:t>2.</w:t>
      </w:r>
      <w:r>
        <w:rPr>
          <w:rFonts w:hint="eastAsia"/>
          <w:color w:val="auto"/>
          <w:szCs w:val="32"/>
        </w:rPr>
        <w:t>2砌筑水泥</w:t>
      </w:r>
    </w:p>
    <w:tbl>
      <w:tblPr>
        <w:tblStyle w:val="2"/>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953"/>
        <w:gridCol w:w="4669"/>
      </w:tblGrid>
      <w:tr w14:paraId="7D70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3019DF87">
            <w:pPr>
              <w:spacing w:line="560" w:lineRule="exact"/>
              <w:jc w:val="center"/>
              <w:rPr>
                <w:color w:val="auto"/>
                <w:szCs w:val="32"/>
              </w:rPr>
            </w:pPr>
            <w:r>
              <w:rPr>
                <w:color w:val="auto"/>
                <w:szCs w:val="32"/>
              </w:rPr>
              <w:t>序号</w:t>
            </w:r>
          </w:p>
        </w:tc>
        <w:tc>
          <w:tcPr>
            <w:tcW w:w="2953" w:type="dxa"/>
            <w:noWrap/>
            <w:vAlign w:val="center"/>
          </w:tcPr>
          <w:p w14:paraId="29D78B5F">
            <w:pPr>
              <w:spacing w:line="560" w:lineRule="exact"/>
              <w:jc w:val="center"/>
              <w:rPr>
                <w:color w:val="auto"/>
                <w:szCs w:val="32"/>
              </w:rPr>
            </w:pPr>
            <w:r>
              <w:rPr>
                <w:color w:val="auto"/>
                <w:szCs w:val="32"/>
              </w:rPr>
              <w:t>检验项目</w:t>
            </w:r>
          </w:p>
        </w:tc>
        <w:tc>
          <w:tcPr>
            <w:tcW w:w="4669" w:type="dxa"/>
            <w:noWrap/>
            <w:vAlign w:val="center"/>
          </w:tcPr>
          <w:p w14:paraId="7083906B">
            <w:pPr>
              <w:spacing w:line="560" w:lineRule="exact"/>
              <w:jc w:val="center"/>
              <w:rPr>
                <w:color w:val="auto"/>
                <w:szCs w:val="32"/>
              </w:rPr>
            </w:pPr>
            <w:r>
              <w:rPr>
                <w:color w:val="auto"/>
                <w:szCs w:val="32"/>
              </w:rPr>
              <w:t>检验方法</w:t>
            </w:r>
          </w:p>
        </w:tc>
      </w:tr>
      <w:tr w14:paraId="1F59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389C10EA">
            <w:pPr>
              <w:spacing w:line="560" w:lineRule="exact"/>
              <w:jc w:val="center"/>
              <w:rPr>
                <w:color w:val="auto"/>
                <w:szCs w:val="32"/>
              </w:rPr>
            </w:pPr>
            <w:r>
              <w:rPr>
                <w:rFonts w:hint="eastAsia"/>
                <w:color w:val="auto"/>
                <w:szCs w:val="32"/>
              </w:rPr>
              <w:t>1</w:t>
            </w:r>
          </w:p>
        </w:tc>
        <w:tc>
          <w:tcPr>
            <w:tcW w:w="2953" w:type="dxa"/>
            <w:noWrap/>
            <w:vAlign w:val="center"/>
          </w:tcPr>
          <w:p w14:paraId="572744E3">
            <w:pPr>
              <w:jc w:val="center"/>
              <w:rPr>
                <w:color w:val="auto"/>
                <w:szCs w:val="21"/>
              </w:rPr>
            </w:pPr>
            <w:r>
              <w:rPr>
                <w:rFonts w:hint="eastAsia"/>
                <w:color w:val="auto"/>
                <w:szCs w:val="21"/>
              </w:rPr>
              <w:t>水溶性铬（Ⅵ）</w:t>
            </w:r>
          </w:p>
        </w:tc>
        <w:tc>
          <w:tcPr>
            <w:tcW w:w="4669" w:type="dxa"/>
            <w:noWrap/>
            <w:vAlign w:val="center"/>
          </w:tcPr>
          <w:p w14:paraId="6CA6E5AB">
            <w:pPr>
              <w:spacing w:line="560" w:lineRule="exact"/>
              <w:jc w:val="center"/>
              <w:rPr>
                <w:color w:val="auto"/>
                <w:szCs w:val="32"/>
              </w:rPr>
            </w:pPr>
            <w:r>
              <w:rPr>
                <w:rFonts w:hint="eastAsia"/>
                <w:color w:val="auto"/>
                <w:szCs w:val="21"/>
              </w:rPr>
              <w:t>GB 31893-2015</w:t>
            </w:r>
          </w:p>
        </w:tc>
      </w:tr>
      <w:tr w14:paraId="5A52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471AA09C">
            <w:pPr>
              <w:spacing w:line="560" w:lineRule="exact"/>
              <w:jc w:val="center"/>
              <w:rPr>
                <w:color w:val="auto"/>
                <w:szCs w:val="32"/>
              </w:rPr>
            </w:pPr>
            <w:r>
              <w:rPr>
                <w:rFonts w:hint="eastAsia"/>
                <w:color w:val="auto"/>
                <w:szCs w:val="32"/>
              </w:rPr>
              <w:t>2</w:t>
            </w:r>
          </w:p>
        </w:tc>
        <w:tc>
          <w:tcPr>
            <w:tcW w:w="2953" w:type="dxa"/>
            <w:noWrap/>
            <w:vAlign w:val="center"/>
          </w:tcPr>
          <w:p w14:paraId="2214ACA6">
            <w:pPr>
              <w:jc w:val="center"/>
              <w:rPr>
                <w:color w:val="auto"/>
                <w:szCs w:val="21"/>
              </w:rPr>
            </w:pPr>
            <w:r>
              <w:rPr>
                <w:color w:val="auto"/>
                <w:szCs w:val="21"/>
              </w:rPr>
              <w:t>凝结时间</w:t>
            </w:r>
          </w:p>
        </w:tc>
        <w:tc>
          <w:tcPr>
            <w:tcW w:w="4669" w:type="dxa"/>
            <w:noWrap/>
            <w:vAlign w:val="center"/>
          </w:tcPr>
          <w:p w14:paraId="777DBBF5">
            <w:pPr>
              <w:snapToGrid w:val="0"/>
              <w:spacing w:line="0" w:lineRule="atLeast"/>
              <w:jc w:val="center"/>
              <w:rPr>
                <w:color w:val="auto"/>
                <w:szCs w:val="21"/>
              </w:rPr>
            </w:pPr>
            <w:r>
              <w:rPr>
                <w:color w:val="auto"/>
                <w:szCs w:val="21"/>
              </w:rPr>
              <w:t>GB/T1346-20</w:t>
            </w:r>
            <w:r>
              <w:rPr>
                <w:rFonts w:hint="eastAsia"/>
                <w:color w:val="auto"/>
                <w:szCs w:val="21"/>
              </w:rPr>
              <w:t>24</w:t>
            </w:r>
            <w:r>
              <w:rPr>
                <w:color w:val="auto"/>
                <w:szCs w:val="21"/>
              </w:rPr>
              <w:t>/8</w:t>
            </w:r>
          </w:p>
        </w:tc>
      </w:tr>
      <w:tr w14:paraId="114B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3B90FA0D">
            <w:pPr>
              <w:spacing w:line="560" w:lineRule="exact"/>
              <w:jc w:val="center"/>
              <w:rPr>
                <w:color w:val="auto"/>
                <w:szCs w:val="32"/>
              </w:rPr>
            </w:pPr>
            <w:r>
              <w:rPr>
                <w:rFonts w:hint="eastAsia"/>
                <w:color w:val="auto"/>
                <w:szCs w:val="32"/>
              </w:rPr>
              <w:t>3</w:t>
            </w:r>
          </w:p>
        </w:tc>
        <w:tc>
          <w:tcPr>
            <w:tcW w:w="2953" w:type="dxa"/>
            <w:noWrap/>
            <w:vAlign w:val="center"/>
          </w:tcPr>
          <w:p w14:paraId="417A63F2">
            <w:pPr>
              <w:jc w:val="center"/>
              <w:rPr>
                <w:color w:val="auto"/>
                <w:szCs w:val="21"/>
              </w:rPr>
            </w:pPr>
            <w:r>
              <w:rPr>
                <w:color w:val="auto"/>
                <w:szCs w:val="21"/>
              </w:rPr>
              <w:t>安定性</w:t>
            </w:r>
            <w:r>
              <w:rPr>
                <w:rFonts w:hint="eastAsia"/>
                <w:color w:val="auto"/>
                <w:szCs w:val="21"/>
              </w:rPr>
              <w:t>（沸煮）</w:t>
            </w:r>
          </w:p>
        </w:tc>
        <w:tc>
          <w:tcPr>
            <w:tcW w:w="4669" w:type="dxa"/>
            <w:noWrap/>
            <w:vAlign w:val="center"/>
          </w:tcPr>
          <w:p w14:paraId="22ADB514">
            <w:pPr>
              <w:snapToGrid w:val="0"/>
              <w:spacing w:line="0" w:lineRule="atLeast"/>
              <w:jc w:val="center"/>
              <w:rPr>
                <w:color w:val="auto"/>
                <w:szCs w:val="21"/>
              </w:rPr>
            </w:pPr>
            <w:r>
              <w:rPr>
                <w:color w:val="auto"/>
                <w:szCs w:val="21"/>
              </w:rPr>
              <w:t>GB/T1346-20</w:t>
            </w:r>
            <w:r>
              <w:rPr>
                <w:rFonts w:hint="eastAsia"/>
                <w:color w:val="auto"/>
                <w:szCs w:val="21"/>
              </w:rPr>
              <w:t>24</w:t>
            </w:r>
            <w:r>
              <w:rPr>
                <w:color w:val="auto"/>
                <w:szCs w:val="21"/>
              </w:rPr>
              <w:t>/11</w:t>
            </w:r>
          </w:p>
        </w:tc>
      </w:tr>
      <w:tr w14:paraId="2A78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4CF94801">
            <w:pPr>
              <w:spacing w:line="560" w:lineRule="exact"/>
              <w:jc w:val="center"/>
              <w:rPr>
                <w:color w:val="auto"/>
                <w:szCs w:val="32"/>
              </w:rPr>
            </w:pPr>
            <w:r>
              <w:rPr>
                <w:rFonts w:hint="eastAsia"/>
                <w:color w:val="auto"/>
                <w:szCs w:val="32"/>
              </w:rPr>
              <w:t>4</w:t>
            </w:r>
          </w:p>
        </w:tc>
        <w:tc>
          <w:tcPr>
            <w:tcW w:w="2953" w:type="dxa"/>
            <w:noWrap/>
            <w:vAlign w:val="center"/>
          </w:tcPr>
          <w:p w14:paraId="7645DE30">
            <w:pPr>
              <w:spacing w:line="560" w:lineRule="exact"/>
              <w:jc w:val="center"/>
              <w:rPr>
                <w:color w:val="auto"/>
                <w:szCs w:val="32"/>
              </w:rPr>
            </w:pPr>
            <w:r>
              <w:rPr>
                <w:rFonts w:hint="eastAsia"/>
                <w:color w:val="auto"/>
                <w:szCs w:val="32"/>
              </w:rPr>
              <w:t>强度</w:t>
            </w:r>
          </w:p>
        </w:tc>
        <w:tc>
          <w:tcPr>
            <w:tcW w:w="4669" w:type="dxa"/>
            <w:noWrap/>
            <w:vAlign w:val="center"/>
          </w:tcPr>
          <w:p w14:paraId="1172746E">
            <w:pPr>
              <w:snapToGrid w:val="0"/>
              <w:spacing w:line="0" w:lineRule="atLeast"/>
              <w:jc w:val="center"/>
              <w:rPr>
                <w:color w:val="auto"/>
                <w:szCs w:val="21"/>
              </w:rPr>
            </w:pPr>
            <w:r>
              <w:rPr>
                <w:color w:val="auto"/>
                <w:szCs w:val="21"/>
              </w:rPr>
              <w:t>GB/T17671-2021</w:t>
            </w:r>
          </w:p>
        </w:tc>
      </w:tr>
      <w:tr w14:paraId="5949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1C298D69">
            <w:pPr>
              <w:spacing w:line="560" w:lineRule="exact"/>
              <w:jc w:val="center"/>
              <w:rPr>
                <w:color w:val="auto"/>
                <w:szCs w:val="32"/>
              </w:rPr>
            </w:pPr>
            <w:r>
              <w:rPr>
                <w:rFonts w:hint="eastAsia"/>
                <w:color w:val="auto"/>
                <w:szCs w:val="32"/>
              </w:rPr>
              <w:t>5</w:t>
            </w:r>
          </w:p>
        </w:tc>
        <w:tc>
          <w:tcPr>
            <w:tcW w:w="2953" w:type="dxa"/>
            <w:noWrap/>
            <w:vAlign w:val="center"/>
          </w:tcPr>
          <w:p w14:paraId="79211F82">
            <w:pPr>
              <w:jc w:val="center"/>
              <w:rPr>
                <w:color w:val="auto"/>
                <w:szCs w:val="21"/>
              </w:rPr>
            </w:pPr>
            <w:r>
              <w:rPr>
                <w:rFonts w:hint="eastAsia"/>
                <w:color w:val="auto"/>
                <w:szCs w:val="21"/>
              </w:rPr>
              <w:t>细度（80um筛余）</w:t>
            </w:r>
          </w:p>
        </w:tc>
        <w:tc>
          <w:tcPr>
            <w:tcW w:w="4669" w:type="dxa"/>
            <w:noWrap/>
            <w:vAlign w:val="center"/>
          </w:tcPr>
          <w:p w14:paraId="7B4B1207">
            <w:pPr>
              <w:snapToGrid w:val="0"/>
              <w:spacing w:line="0" w:lineRule="atLeast"/>
              <w:jc w:val="center"/>
              <w:rPr>
                <w:color w:val="auto"/>
                <w:szCs w:val="21"/>
              </w:rPr>
            </w:pPr>
            <w:r>
              <w:rPr>
                <w:color w:val="auto"/>
                <w:szCs w:val="21"/>
              </w:rPr>
              <w:t>GB/T 1345-2005</w:t>
            </w:r>
          </w:p>
        </w:tc>
      </w:tr>
      <w:tr w14:paraId="1ABD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shd w:val="clear" w:color="auto" w:fill="auto"/>
            <w:noWrap/>
            <w:vAlign w:val="center"/>
          </w:tcPr>
          <w:p w14:paraId="71FE7CBA">
            <w:pPr>
              <w:spacing w:line="560" w:lineRule="exact"/>
              <w:jc w:val="center"/>
              <w:rPr>
                <w:color w:val="auto"/>
                <w:szCs w:val="32"/>
              </w:rPr>
            </w:pPr>
            <w:r>
              <w:rPr>
                <w:rFonts w:hint="eastAsia"/>
                <w:color w:val="auto"/>
                <w:szCs w:val="32"/>
              </w:rPr>
              <w:t>6</w:t>
            </w:r>
          </w:p>
        </w:tc>
        <w:tc>
          <w:tcPr>
            <w:tcW w:w="2953" w:type="dxa"/>
            <w:noWrap/>
            <w:vAlign w:val="center"/>
          </w:tcPr>
          <w:p w14:paraId="5675B410">
            <w:pPr>
              <w:spacing w:line="560" w:lineRule="exact"/>
              <w:jc w:val="center"/>
              <w:rPr>
                <w:color w:val="auto"/>
                <w:szCs w:val="32"/>
              </w:rPr>
            </w:pPr>
            <w:r>
              <w:rPr>
                <w:color w:val="auto"/>
                <w:szCs w:val="21"/>
              </w:rPr>
              <w:t>放射性</w:t>
            </w:r>
          </w:p>
        </w:tc>
        <w:tc>
          <w:tcPr>
            <w:tcW w:w="4669" w:type="dxa"/>
            <w:noWrap/>
            <w:vAlign w:val="center"/>
          </w:tcPr>
          <w:p w14:paraId="6AA34DB4">
            <w:pPr>
              <w:snapToGrid w:val="0"/>
              <w:spacing w:line="0" w:lineRule="atLeast"/>
              <w:jc w:val="center"/>
              <w:rPr>
                <w:color w:val="auto"/>
                <w:szCs w:val="21"/>
              </w:rPr>
            </w:pPr>
            <w:r>
              <w:rPr>
                <w:color w:val="auto"/>
                <w:szCs w:val="21"/>
              </w:rPr>
              <w:t>GB 6566-2010</w:t>
            </w:r>
          </w:p>
        </w:tc>
      </w:tr>
      <w:tr w14:paraId="68B6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shd w:val="clear" w:color="auto" w:fill="auto"/>
            <w:noWrap/>
            <w:vAlign w:val="center"/>
          </w:tcPr>
          <w:p w14:paraId="2BBA3D93">
            <w:pPr>
              <w:spacing w:line="560" w:lineRule="exact"/>
              <w:jc w:val="center"/>
              <w:rPr>
                <w:color w:val="auto"/>
                <w:szCs w:val="32"/>
              </w:rPr>
            </w:pPr>
            <w:r>
              <w:rPr>
                <w:rFonts w:hint="eastAsia"/>
                <w:color w:val="auto"/>
                <w:szCs w:val="32"/>
              </w:rPr>
              <w:t>7</w:t>
            </w:r>
          </w:p>
        </w:tc>
        <w:tc>
          <w:tcPr>
            <w:tcW w:w="2953" w:type="dxa"/>
            <w:noWrap/>
            <w:vAlign w:val="center"/>
          </w:tcPr>
          <w:p w14:paraId="56A25295">
            <w:pPr>
              <w:spacing w:line="560" w:lineRule="exact"/>
              <w:jc w:val="center"/>
              <w:rPr>
                <w:color w:val="auto"/>
                <w:szCs w:val="21"/>
              </w:rPr>
            </w:pPr>
            <w:r>
              <w:rPr>
                <w:color w:val="auto"/>
                <w:szCs w:val="21"/>
              </w:rPr>
              <w:t>保水率</w:t>
            </w:r>
          </w:p>
        </w:tc>
        <w:tc>
          <w:tcPr>
            <w:tcW w:w="4669" w:type="dxa"/>
            <w:noWrap/>
            <w:vAlign w:val="center"/>
          </w:tcPr>
          <w:p w14:paraId="2B93D092">
            <w:pPr>
              <w:snapToGrid w:val="0"/>
              <w:spacing w:line="0" w:lineRule="atLeast"/>
              <w:jc w:val="center"/>
              <w:rPr>
                <w:color w:val="auto"/>
                <w:szCs w:val="21"/>
              </w:rPr>
            </w:pPr>
            <w:r>
              <w:rPr>
                <w:rFonts w:hint="eastAsia"/>
                <w:color w:val="auto"/>
                <w:szCs w:val="21"/>
              </w:rPr>
              <w:t xml:space="preserve"> GB/T 45002-2024</w:t>
            </w:r>
          </w:p>
        </w:tc>
      </w:tr>
    </w:tbl>
    <w:p w14:paraId="76788F58">
      <w:pPr>
        <w:spacing w:line="560" w:lineRule="exact"/>
        <w:ind w:firstLine="640" w:firstLineChars="200"/>
        <w:rPr>
          <w:color w:val="auto"/>
          <w:szCs w:val="32"/>
        </w:rPr>
      </w:pPr>
    </w:p>
    <w:p w14:paraId="6DD262DD">
      <w:pPr>
        <w:spacing w:line="560" w:lineRule="exact"/>
        <w:ind w:firstLine="640" w:firstLineChars="200"/>
        <w:rPr>
          <w:color w:val="auto"/>
          <w:szCs w:val="32"/>
        </w:rPr>
      </w:pPr>
      <w:r>
        <w:rPr>
          <w:color w:val="auto"/>
          <w:szCs w:val="32"/>
        </w:rPr>
        <w:t>2.</w:t>
      </w:r>
      <w:r>
        <w:rPr>
          <w:rFonts w:hint="eastAsia"/>
          <w:color w:val="auto"/>
          <w:szCs w:val="32"/>
        </w:rPr>
        <w:t>3普通硅酸盐水泥、复合硅酸盐水泥、火山灰质硅酸盐水泥</w:t>
      </w:r>
    </w:p>
    <w:tbl>
      <w:tblPr>
        <w:tblStyle w:val="2"/>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953"/>
        <w:gridCol w:w="4669"/>
      </w:tblGrid>
      <w:tr w14:paraId="213F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138CAB3D">
            <w:pPr>
              <w:spacing w:line="560" w:lineRule="exact"/>
              <w:jc w:val="center"/>
              <w:rPr>
                <w:color w:val="auto"/>
                <w:szCs w:val="32"/>
              </w:rPr>
            </w:pPr>
            <w:r>
              <w:rPr>
                <w:color w:val="auto"/>
                <w:szCs w:val="32"/>
              </w:rPr>
              <w:t>序号</w:t>
            </w:r>
          </w:p>
        </w:tc>
        <w:tc>
          <w:tcPr>
            <w:tcW w:w="2953" w:type="dxa"/>
            <w:noWrap/>
            <w:vAlign w:val="center"/>
          </w:tcPr>
          <w:p w14:paraId="6ED50E8E">
            <w:pPr>
              <w:spacing w:line="560" w:lineRule="exact"/>
              <w:jc w:val="center"/>
              <w:rPr>
                <w:color w:val="auto"/>
                <w:szCs w:val="32"/>
              </w:rPr>
            </w:pPr>
            <w:r>
              <w:rPr>
                <w:color w:val="auto"/>
                <w:szCs w:val="32"/>
              </w:rPr>
              <w:t>检验项目</w:t>
            </w:r>
          </w:p>
        </w:tc>
        <w:tc>
          <w:tcPr>
            <w:tcW w:w="4669" w:type="dxa"/>
            <w:noWrap/>
            <w:vAlign w:val="center"/>
          </w:tcPr>
          <w:p w14:paraId="51E6D9FD">
            <w:pPr>
              <w:spacing w:line="560" w:lineRule="exact"/>
              <w:jc w:val="center"/>
              <w:rPr>
                <w:color w:val="auto"/>
                <w:szCs w:val="32"/>
              </w:rPr>
            </w:pPr>
            <w:r>
              <w:rPr>
                <w:color w:val="auto"/>
                <w:szCs w:val="32"/>
              </w:rPr>
              <w:t>检验方法</w:t>
            </w:r>
          </w:p>
        </w:tc>
      </w:tr>
      <w:tr w14:paraId="603B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72814717">
            <w:pPr>
              <w:spacing w:line="560" w:lineRule="exact"/>
              <w:jc w:val="center"/>
              <w:rPr>
                <w:color w:val="auto"/>
                <w:szCs w:val="32"/>
              </w:rPr>
            </w:pPr>
            <w:r>
              <w:rPr>
                <w:rFonts w:hint="eastAsia"/>
                <w:color w:val="auto"/>
                <w:szCs w:val="32"/>
              </w:rPr>
              <w:t>1</w:t>
            </w:r>
          </w:p>
        </w:tc>
        <w:tc>
          <w:tcPr>
            <w:tcW w:w="2953" w:type="dxa"/>
            <w:noWrap/>
            <w:vAlign w:val="center"/>
          </w:tcPr>
          <w:p w14:paraId="1E082C7B">
            <w:pPr>
              <w:jc w:val="center"/>
              <w:rPr>
                <w:color w:val="auto"/>
                <w:szCs w:val="21"/>
              </w:rPr>
            </w:pPr>
            <w:r>
              <w:rPr>
                <w:rFonts w:hint="eastAsia"/>
                <w:color w:val="auto"/>
                <w:szCs w:val="21"/>
              </w:rPr>
              <w:t>水溶性铬（Ⅵ）</w:t>
            </w:r>
          </w:p>
        </w:tc>
        <w:tc>
          <w:tcPr>
            <w:tcW w:w="4669" w:type="dxa"/>
            <w:noWrap/>
            <w:vAlign w:val="center"/>
          </w:tcPr>
          <w:p w14:paraId="61E1EFD8">
            <w:pPr>
              <w:spacing w:line="560" w:lineRule="exact"/>
              <w:jc w:val="center"/>
              <w:rPr>
                <w:color w:val="auto"/>
                <w:szCs w:val="32"/>
              </w:rPr>
            </w:pPr>
            <w:r>
              <w:rPr>
                <w:rFonts w:hint="eastAsia"/>
                <w:color w:val="auto"/>
                <w:szCs w:val="21"/>
              </w:rPr>
              <w:t>GB 31893-2015</w:t>
            </w:r>
          </w:p>
        </w:tc>
      </w:tr>
      <w:tr w14:paraId="174A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17B5E9BE">
            <w:pPr>
              <w:spacing w:line="560" w:lineRule="exact"/>
              <w:jc w:val="center"/>
              <w:rPr>
                <w:color w:val="auto"/>
                <w:szCs w:val="32"/>
              </w:rPr>
            </w:pPr>
            <w:r>
              <w:rPr>
                <w:rFonts w:hint="eastAsia"/>
                <w:color w:val="auto"/>
                <w:szCs w:val="32"/>
              </w:rPr>
              <w:t>2</w:t>
            </w:r>
          </w:p>
        </w:tc>
        <w:tc>
          <w:tcPr>
            <w:tcW w:w="2953" w:type="dxa"/>
            <w:noWrap/>
            <w:vAlign w:val="center"/>
          </w:tcPr>
          <w:p w14:paraId="4D674514">
            <w:pPr>
              <w:jc w:val="center"/>
              <w:rPr>
                <w:color w:val="auto"/>
                <w:szCs w:val="21"/>
              </w:rPr>
            </w:pPr>
            <w:r>
              <w:rPr>
                <w:color w:val="auto"/>
                <w:szCs w:val="21"/>
              </w:rPr>
              <w:t>凝结时间</w:t>
            </w:r>
          </w:p>
        </w:tc>
        <w:tc>
          <w:tcPr>
            <w:tcW w:w="4669" w:type="dxa"/>
            <w:noWrap/>
            <w:vAlign w:val="center"/>
          </w:tcPr>
          <w:p w14:paraId="050C68B5">
            <w:pPr>
              <w:snapToGrid w:val="0"/>
              <w:spacing w:line="0" w:lineRule="atLeast"/>
              <w:jc w:val="center"/>
              <w:rPr>
                <w:color w:val="auto"/>
                <w:szCs w:val="21"/>
              </w:rPr>
            </w:pPr>
            <w:r>
              <w:rPr>
                <w:color w:val="auto"/>
                <w:szCs w:val="21"/>
              </w:rPr>
              <w:t>GB/T1346-20</w:t>
            </w:r>
            <w:r>
              <w:rPr>
                <w:rFonts w:hint="eastAsia"/>
                <w:color w:val="auto"/>
                <w:szCs w:val="21"/>
              </w:rPr>
              <w:t>24</w:t>
            </w:r>
            <w:r>
              <w:rPr>
                <w:color w:val="auto"/>
                <w:szCs w:val="21"/>
              </w:rPr>
              <w:t>/8</w:t>
            </w:r>
          </w:p>
        </w:tc>
      </w:tr>
      <w:tr w14:paraId="31B8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131FF486">
            <w:pPr>
              <w:spacing w:line="560" w:lineRule="exact"/>
              <w:jc w:val="center"/>
              <w:rPr>
                <w:color w:val="auto"/>
                <w:szCs w:val="32"/>
              </w:rPr>
            </w:pPr>
            <w:r>
              <w:rPr>
                <w:rFonts w:hint="eastAsia"/>
                <w:color w:val="auto"/>
                <w:szCs w:val="32"/>
              </w:rPr>
              <w:t>3</w:t>
            </w:r>
          </w:p>
        </w:tc>
        <w:tc>
          <w:tcPr>
            <w:tcW w:w="2953" w:type="dxa"/>
            <w:noWrap/>
            <w:vAlign w:val="center"/>
          </w:tcPr>
          <w:p w14:paraId="15304C82">
            <w:pPr>
              <w:jc w:val="center"/>
              <w:rPr>
                <w:color w:val="auto"/>
                <w:szCs w:val="21"/>
              </w:rPr>
            </w:pPr>
            <w:r>
              <w:rPr>
                <w:color w:val="auto"/>
                <w:szCs w:val="21"/>
              </w:rPr>
              <w:t>安定性</w:t>
            </w:r>
            <w:r>
              <w:rPr>
                <w:rFonts w:hint="eastAsia"/>
                <w:color w:val="auto"/>
                <w:szCs w:val="21"/>
              </w:rPr>
              <w:t>（沸煮）</w:t>
            </w:r>
          </w:p>
        </w:tc>
        <w:tc>
          <w:tcPr>
            <w:tcW w:w="4669" w:type="dxa"/>
            <w:noWrap/>
            <w:vAlign w:val="center"/>
          </w:tcPr>
          <w:p w14:paraId="77627185">
            <w:pPr>
              <w:snapToGrid w:val="0"/>
              <w:spacing w:line="0" w:lineRule="atLeast"/>
              <w:jc w:val="center"/>
              <w:rPr>
                <w:color w:val="auto"/>
                <w:szCs w:val="21"/>
              </w:rPr>
            </w:pPr>
            <w:r>
              <w:rPr>
                <w:color w:val="auto"/>
                <w:szCs w:val="21"/>
              </w:rPr>
              <w:t>GB/T1346-20</w:t>
            </w:r>
            <w:r>
              <w:rPr>
                <w:rFonts w:hint="eastAsia"/>
                <w:color w:val="auto"/>
                <w:szCs w:val="21"/>
              </w:rPr>
              <w:t>24</w:t>
            </w:r>
            <w:r>
              <w:rPr>
                <w:color w:val="auto"/>
                <w:szCs w:val="21"/>
              </w:rPr>
              <w:t>/1</w:t>
            </w:r>
            <w:r>
              <w:rPr>
                <w:rFonts w:hint="eastAsia"/>
                <w:color w:val="auto"/>
                <w:szCs w:val="21"/>
              </w:rPr>
              <w:t>2</w:t>
            </w:r>
          </w:p>
        </w:tc>
      </w:tr>
      <w:tr w14:paraId="1E25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75617033">
            <w:pPr>
              <w:spacing w:line="560" w:lineRule="exact"/>
              <w:jc w:val="center"/>
              <w:rPr>
                <w:color w:val="auto"/>
                <w:szCs w:val="32"/>
              </w:rPr>
            </w:pPr>
            <w:r>
              <w:rPr>
                <w:rFonts w:hint="eastAsia"/>
                <w:color w:val="auto"/>
                <w:szCs w:val="32"/>
              </w:rPr>
              <w:t>4</w:t>
            </w:r>
          </w:p>
        </w:tc>
        <w:tc>
          <w:tcPr>
            <w:tcW w:w="2953" w:type="dxa"/>
            <w:noWrap/>
            <w:vAlign w:val="center"/>
          </w:tcPr>
          <w:p w14:paraId="485B639D">
            <w:pPr>
              <w:jc w:val="center"/>
              <w:rPr>
                <w:color w:val="auto"/>
                <w:szCs w:val="21"/>
              </w:rPr>
            </w:pPr>
            <w:r>
              <w:rPr>
                <w:rFonts w:hint="eastAsia"/>
                <w:color w:val="auto"/>
                <w:szCs w:val="21"/>
              </w:rPr>
              <w:t>压蒸</w:t>
            </w:r>
            <w:r>
              <w:rPr>
                <w:color w:val="auto"/>
                <w:szCs w:val="21"/>
              </w:rPr>
              <w:t>安定性</w:t>
            </w:r>
          </w:p>
        </w:tc>
        <w:tc>
          <w:tcPr>
            <w:tcW w:w="4669" w:type="dxa"/>
            <w:noWrap/>
            <w:vAlign w:val="center"/>
          </w:tcPr>
          <w:p w14:paraId="075F26DD">
            <w:pPr>
              <w:snapToGrid w:val="0"/>
              <w:spacing w:line="0" w:lineRule="atLeast"/>
              <w:jc w:val="center"/>
              <w:rPr>
                <w:color w:val="auto"/>
                <w:szCs w:val="21"/>
              </w:rPr>
            </w:pPr>
            <w:r>
              <w:rPr>
                <w:color w:val="auto"/>
                <w:szCs w:val="21"/>
              </w:rPr>
              <w:t>GB/T</w:t>
            </w:r>
            <w:r>
              <w:rPr>
                <w:rFonts w:hint="eastAsia"/>
                <w:color w:val="auto"/>
                <w:szCs w:val="21"/>
              </w:rPr>
              <w:t xml:space="preserve"> 750</w:t>
            </w:r>
            <w:r>
              <w:rPr>
                <w:color w:val="auto"/>
                <w:szCs w:val="21"/>
              </w:rPr>
              <w:t>-20</w:t>
            </w:r>
            <w:r>
              <w:rPr>
                <w:rFonts w:hint="eastAsia"/>
                <w:color w:val="auto"/>
                <w:szCs w:val="21"/>
              </w:rPr>
              <w:t>24</w:t>
            </w:r>
            <w:r>
              <w:rPr>
                <w:color w:val="auto"/>
                <w:szCs w:val="21"/>
              </w:rPr>
              <w:t>/1</w:t>
            </w:r>
            <w:r>
              <w:rPr>
                <w:rFonts w:hint="eastAsia"/>
                <w:color w:val="auto"/>
                <w:szCs w:val="21"/>
              </w:rPr>
              <w:t>0</w:t>
            </w:r>
          </w:p>
        </w:tc>
      </w:tr>
      <w:tr w14:paraId="0539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4A39C6B8">
            <w:pPr>
              <w:spacing w:line="560" w:lineRule="exact"/>
              <w:jc w:val="center"/>
              <w:rPr>
                <w:color w:val="auto"/>
                <w:szCs w:val="32"/>
              </w:rPr>
            </w:pPr>
            <w:r>
              <w:rPr>
                <w:rFonts w:hint="eastAsia"/>
                <w:color w:val="auto"/>
                <w:szCs w:val="32"/>
              </w:rPr>
              <w:t>5</w:t>
            </w:r>
          </w:p>
        </w:tc>
        <w:tc>
          <w:tcPr>
            <w:tcW w:w="2953" w:type="dxa"/>
            <w:noWrap/>
            <w:vAlign w:val="center"/>
          </w:tcPr>
          <w:p w14:paraId="7B67B2C1">
            <w:pPr>
              <w:spacing w:line="560" w:lineRule="exact"/>
              <w:jc w:val="center"/>
              <w:rPr>
                <w:color w:val="auto"/>
                <w:szCs w:val="32"/>
              </w:rPr>
            </w:pPr>
            <w:r>
              <w:rPr>
                <w:rFonts w:hint="eastAsia"/>
                <w:color w:val="auto"/>
                <w:szCs w:val="32"/>
              </w:rPr>
              <w:t>强度</w:t>
            </w:r>
          </w:p>
        </w:tc>
        <w:tc>
          <w:tcPr>
            <w:tcW w:w="4669" w:type="dxa"/>
            <w:noWrap/>
            <w:vAlign w:val="center"/>
          </w:tcPr>
          <w:p w14:paraId="03BCB00F">
            <w:pPr>
              <w:snapToGrid w:val="0"/>
              <w:spacing w:line="0" w:lineRule="atLeast"/>
              <w:jc w:val="center"/>
              <w:rPr>
                <w:color w:val="auto"/>
                <w:szCs w:val="21"/>
              </w:rPr>
            </w:pPr>
            <w:r>
              <w:rPr>
                <w:color w:val="auto"/>
                <w:szCs w:val="21"/>
              </w:rPr>
              <w:t>GB/T17671-2021</w:t>
            </w:r>
          </w:p>
        </w:tc>
      </w:tr>
      <w:tr w14:paraId="03AA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10004062">
            <w:pPr>
              <w:spacing w:line="560" w:lineRule="exact"/>
              <w:jc w:val="center"/>
              <w:rPr>
                <w:color w:val="auto"/>
                <w:szCs w:val="32"/>
              </w:rPr>
            </w:pPr>
            <w:r>
              <w:rPr>
                <w:rFonts w:hint="eastAsia"/>
                <w:color w:val="auto"/>
                <w:szCs w:val="32"/>
              </w:rPr>
              <w:t>6</w:t>
            </w:r>
          </w:p>
        </w:tc>
        <w:tc>
          <w:tcPr>
            <w:tcW w:w="2953" w:type="dxa"/>
            <w:noWrap/>
            <w:vAlign w:val="center"/>
          </w:tcPr>
          <w:p w14:paraId="6EA3DFE9">
            <w:pPr>
              <w:jc w:val="center"/>
              <w:rPr>
                <w:color w:val="auto"/>
                <w:szCs w:val="21"/>
              </w:rPr>
            </w:pPr>
            <w:r>
              <w:rPr>
                <w:rFonts w:hint="eastAsia"/>
                <w:color w:val="auto"/>
                <w:szCs w:val="21"/>
              </w:rPr>
              <w:t>细度（45um筛余）</w:t>
            </w:r>
          </w:p>
        </w:tc>
        <w:tc>
          <w:tcPr>
            <w:tcW w:w="4669" w:type="dxa"/>
            <w:noWrap/>
            <w:vAlign w:val="center"/>
          </w:tcPr>
          <w:p w14:paraId="04DA833E">
            <w:pPr>
              <w:snapToGrid w:val="0"/>
              <w:spacing w:line="0" w:lineRule="atLeast"/>
              <w:jc w:val="center"/>
              <w:rPr>
                <w:color w:val="auto"/>
                <w:szCs w:val="21"/>
              </w:rPr>
            </w:pPr>
            <w:r>
              <w:rPr>
                <w:color w:val="auto"/>
                <w:szCs w:val="21"/>
              </w:rPr>
              <w:t>GB/T 1345-2005</w:t>
            </w:r>
          </w:p>
        </w:tc>
      </w:tr>
      <w:tr w14:paraId="5EAC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20DC17ED">
            <w:pPr>
              <w:spacing w:line="560" w:lineRule="exact"/>
              <w:jc w:val="center"/>
              <w:rPr>
                <w:color w:val="auto"/>
                <w:szCs w:val="32"/>
              </w:rPr>
            </w:pPr>
            <w:r>
              <w:rPr>
                <w:rFonts w:hint="eastAsia"/>
                <w:color w:val="auto"/>
                <w:szCs w:val="32"/>
              </w:rPr>
              <w:t>7</w:t>
            </w:r>
          </w:p>
        </w:tc>
        <w:tc>
          <w:tcPr>
            <w:tcW w:w="2953" w:type="dxa"/>
            <w:noWrap/>
            <w:vAlign w:val="center"/>
          </w:tcPr>
          <w:p w14:paraId="74CFE16B">
            <w:pPr>
              <w:spacing w:line="560" w:lineRule="exact"/>
              <w:jc w:val="center"/>
              <w:rPr>
                <w:color w:val="auto"/>
                <w:szCs w:val="32"/>
              </w:rPr>
            </w:pPr>
            <w:r>
              <w:rPr>
                <w:rFonts w:hint="eastAsia"/>
                <w:color w:val="auto"/>
                <w:szCs w:val="21"/>
              </w:rPr>
              <w:t>组分</w:t>
            </w:r>
          </w:p>
        </w:tc>
        <w:tc>
          <w:tcPr>
            <w:tcW w:w="4669" w:type="dxa"/>
            <w:noWrap/>
            <w:vAlign w:val="center"/>
          </w:tcPr>
          <w:p w14:paraId="413F397E">
            <w:pPr>
              <w:snapToGrid w:val="0"/>
              <w:spacing w:line="0" w:lineRule="atLeast"/>
              <w:jc w:val="center"/>
              <w:rPr>
                <w:color w:val="auto"/>
                <w:szCs w:val="21"/>
              </w:rPr>
            </w:pPr>
            <w:r>
              <w:rPr>
                <w:rFonts w:hint="eastAsia"/>
                <w:color w:val="auto"/>
                <w:szCs w:val="21"/>
              </w:rPr>
              <w:t>GB/T 12960-2019</w:t>
            </w:r>
          </w:p>
        </w:tc>
      </w:tr>
      <w:tr w14:paraId="2031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noWrap/>
            <w:vAlign w:val="center"/>
          </w:tcPr>
          <w:p w14:paraId="111CC019">
            <w:pPr>
              <w:spacing w:line="560" w:lineRule="exact"/>
              <w:jc w:val="center"/>
              <w:rPr>
                <w:color w:val="auto"/>
                <w:szCs w:val="32"/>
              </w:rPr>
            </w:pPr>
            <w:r>
              <w:rPr>
                <w:rFonts w:hint="eastAsia"/>
                <w:color w:val="auto"/>
                <w:szCs w:val="32"/>
              </w:rPr>
              <w:t>8</w:t>
            </w:r>
          </w:p>
        </w:tc>
        <w:tc>
          <w:tcPr>
            <w:tcW w:w="2953" w:type="dxa"/>
            <w:noWrap/>
            <w:vAlign w:val="center"/>
          </w:tcPr>
          <w:p w14:paraId="676ECBFF">
            <w:pPr>
              <w:spacing w:line="560" w:lineRule="exact"/>
              <w:jc w:val="center"/>
              <w:rPr>
                <w:color w:val="auto"/>
                <w:szCs w:val="32"/>
              </w:rPr>
            </w:pPr>
            <w:r>
              <w:rPr>
                <w:color w:val="auto"/>
                <w:szCs w:val="21"/>
              </w:rPr>
              <w:t>放射性</w:t>
            </w:r>
          </w:p>
        </w:tc>
        <w:tc>
          <w:tcPr>
            <w:tcW w:w="4669" w:type="dxa"/>
            <w:noWrap/>
            <w:vAlign w:val="center"/>
          </w:tcPr>
          <w:p w14:paraId="42BFAAE8">
            <w:pPr>
              <w:snapToGrid w:val="0"/>
              <w:spacing w:line="0" w:lineRule="atLeast"/>
              <w:jc w:val="center"/>
              <w:rPr>
                <w:color w:val="auto"/>
                <w:szCs w:val="21"/>
              </w:rPr>
            </w:pPr>
            <w:r>
              <w:rPr>
                <w:color w:val="auto"/>
                <w:szCs w:val="21"/>
              </w:rPr>
              <w:t>GB 6566-2010</w:t>
            </w:r>
          </w:p>
        </w:tc>
      </w:tr>
    </w:tbl>
    <w:p w14:paraId="2E69E69F">
      <w:pPr>
        <w:spacing w:line="560" w:lineRule="exact"/>
        <w:ind w:firstLine="640" w:firstLineChars="200"/>
        <w:rPr>
          <w:color w:val="auto"/>
          <w:szCs w:val="32"/>
        </w:rPr>
      </w:pPr>
    </w:p>
    <w:p w14:paraId="163F46C2">
      <w:pPr>
        <w:spacing w:line="560" w:lineRule="exact"/>
        <w:ind w:firstLine="640" w:firstLineChars="200"/>
        <w:rPr>
          <w:color w:val="auto"/>
          <w:szCs w:val="32"/>
        </w:rPr>
      </w:pPr>
      <w:r>
        <w:rPr>
          <w:color w:val="auto"/>
          <w:szCs w:val="32"/>
        </w:rPr>
        <w:t>执行企业标准、团体标准、地方标准的产品，检验项目参照上述内容执行。</w:t>
      </w:r>
    </w:p>
    <w:p w14:paraId="2C1BC0CD">
      <w:pPr>
        <w:spacing w:line="560" w:lineRule="exact"/>
        <w:ind w:firstLine="640" w:firstLineChars="200"/>
        <w:rPr>
          <w:rFonts w:eastAsia="黑体"/>
          <w:color w:val="auto"/>
          <w:szCs w:val="32"/>
        </w:rPr>
      </w:pPr>
      <w:r>
        <w:rPr>
          <w:rFonts w:eastAsia="黑体"/>
          <w:color w:val="auto"/>
          <w:szCs w:val="32"/>
        </w:rPr>
        <w:t>3 判定规则</w:t>
      </w:r>
    </w:p>
    <w:p w14:paraId="6D5ED720">
      <w:pPr>
        <w:spacing w:line="560" w:lineRule="exact"/>
        <w:ind w:firstLine="640" w:firstLineChars="200"/>
        <w:rPr>
          <w:color w:val="auto"/>
          <w:szCs w:val="32"/>
        </w:rPr>
      </w:pPr>
      <w:r>
        <w:rPr>
          <w:color w:val="auto"/>
          <w:szCs w:val="32"/>
        </w:rPr>
        <w:t>3.1依据标准</w:t>
      </w:r>
    </w:p>
    <w:p w14:paraId="46D597EB">
      <w:pPr>
        <w:spacing w:line="560" w:lineRule="exact"/>
        <w:ind w:firstLine="640" w:firstLineChars="200"/>
        <w:rPr>
          <w:rFonts w:hAnsi="宋体"/>
          <w:color w:val="auto"/>
          <w:szCs w:val="21"/>
        </w:rPr>
      </w:pPr>
      <w:r>
        <w:rPr>
          <w:color w:val="auto"/>
          <w:szCs w:val="21"/>
        </w:rPr>
        <w:t>GB 175-20</w:t>
      </w:r>
      <w:r>
        <w:rPr>
          <w:rFonts w:hint="eastAsia"/>
          <w:color w:val="auto"/>
          <w:szCs w:val="21"/>
        </w:rPr>
        <w:t>23</w:t>
      </w:r>
      <w:r>
        <w:rPr>
          <w:rFonts w:hAnsi="宋体"/>
          <w:color w:val="auto"/>
          <w:szCs w:val="21"/>
        </w:rPr>
        <w:t>通用硅酸盐水泥</w:t>
      </w:r>
    </w:p>
    <w:p w14:paraId="2234D168">
      <w:pPr>
        <w:snapToGrid w:val="0"/>
        <w:spacing w:line="560" w:lineRule="exact"/>
        <w:ind w:firstLine="614" w:firstLineChars="192"/>
        <w:rPr>
          <w:rFonts w:hAnsi="宋体"/>
          <w:color w:val="auto"/>
          <w:szCs w:val="21"/>
        </w:rPr>
      </w:pPr>
      <w:r>
        <w:rPr>
          <w:rFonts w:hint="eastAsia" w:hAnsi="宋体"/>
          <w:color w:val="auto"/>
          <w:szCs w:val="21"/>
        </w:rPr>
        <w:t>GB/T 3183-2025砌筑水泥</w:t>
      </w:r>
    </w:p>
    <w:p w14:paraId="7641A648">
      <w:pPr>
        <w:snapToGrid w:val="0"/>
        <w:spacing w:line="560" w:lineRule="exact"/>
        <w:ind w:firstLine="614" w:firstLineChars="192"/>
        <w:rPr>
          <w:rFonts w:hAnsi="宋体"/>
          <w:color w:val="auto"/>
          <w:szCs w:val="21"/>
        </w:rPr>
      </w:pPr>
      <w:bookmarkStart w:id="0" w:name="_Hlk130375929"/>
      <w:r>
        <w:rPr>
          <w:rFonts w:hAnsi="宋体"/>
          <w:color w:val="auto"/>
          <w:szCs w:val="21"/>
        </w:rPr>
        <w:t>GB 6566-2010 建筑材料放射性核素限量</w:t>
      </w:r>
    </w:p>
    <w:bookmarkEnd w:id="0"/>
    <w:p w14:paraId="7F56C236">
      <w:pPr>
        <w:spacing w:line="560" w:lineRule="exact"/>
        <w:ind w:firstLine="640" w:firstLineChars="200"/>
        <w:rPr>
          <w:color w:val="auto"/>
          <w:szCs w:val="32"/>
        </w:rPr>
      </w:pPr>
      <w:r>
        <w:rPr>
          <w:color w:val="auto"/>
          <w:szCs w:val="32"/>
        </w:rPr>
        <w:t>现行有效的企业标准、团体标准、地方标准及产品明示质量要求。</w:t>
      </w:r>
    </w:p>
    <w:p w14:paraId="709E94C6">
      <w:pPr>
        <w:spacing w:line="560" w:lineRule="exact"/>
        <w:ind w:firstLine="640" w:firstLineChars="200"/>
        <w:rPr>
          <w:color w:val="auto"/>
          <w:szCs w:val="32"/>
        </w:rPr>
      </w:pPr>
      <w:r>
        <w:rPr>
          <w:color w:val="auto"/>
          <w:szCs w:val="32"/>
        </w:rPr>
        <w:t>3.2判定原则</w:t>
      </w:r>
    </w:p>
    <w:p w14:paraId="78CB1BD6">
      <w:pPr>
        <w:spacing w:line="560" w:lineRule="exact"/>
        <w:ind w:firstLine="640" w:firstLineChars="200"/>
        <w:rPr>
          <w:color w:val="auto"/>
          <w:szCs w:val="32"/>
        </w:rPr>
      </w:pPr>
      <w:r>
        <w:rPr>
          <w:color w:val="auto"/>
          <w:szCs w:val="32"/>
        </w:rPr>
        <w:t>经检验，检验项目全部合格，判定为被抽查产品所检项目未发现不合格；检验项目中任一项或一项以上不合格，判定为被抽查产品不合格。</w:t>
      </w:r>
    </w:p>
    <w:p w14:paraId="3FC5FD54">
      <w:pPr>
        <w:spacing w:line="560" w:lineRule="exact"/>
        <w:ind w:firstLine="636" w:firstLineChars="199"/>
        <w:rPr>
          <w:color w:val="auto"/>
          <w:szCs w:val="32"/>
        </w:rPr>
      </w:pPr>
      <w:r>
        <w:rPr>
          <w:color w:val="auto"/>
          <w:szCs w:val="32"/>
        </w:rPr>
        <w:t>若被检产品明示的质量要求高于本细则中检验项目依据的标准要求时，应按被检产品明示的质量要求判定。</w:t>
      </w:r>
    </w:p>
    <w:p w14:paraId="4CABB1C3">
      <w:pPr>
        <w:spacing w:line="560" w:lineRule="exact"/>
        <w:ind w:firstLine="636" w:firstLineChars="199"/>
        <w:rPr>
          <w:color w:val="auto"/>
          <w:szCs w:val="32"/>
        </w:rPr>
      </w:pPr>
      <w:r>
        <w:rPr>
          <w:color w:val="auto"/>
          <w:szCs w:val="32"/>
        </w:rPr>
        <w:t>若被检产品明示的质量要求低于本细则中检验项目依据的强制性标准要求时，应按照强制性标准要求判定。</w:t>
      </w:r>
    </w:p>
    <w:p w14:paraId="46A40844">
      <w:pPr>
        <w:spacing w:line="560" w:lineRule="exact"/>
        <w:ind w:firstLine="636" w:firstLineChars="199"/>
        <w:rPr>
          <w:color w:val="auto"/>
          <w:szCs w:val="32"/>
        </w:rPr>
      </w:pPr>
      <w:r>
        <w:rPr>
          <w:color w:val="auto"/>
          <w:szCs w:val="32"/>
        </w:rPr>
        <w:t>若被检产品明示的质量要求低于或包含本细则中检验项目依据的推荐性标准要求时，应以被检产品明示的质量要求判定。</w:t>
      </w:r>
    </w:p>
    <w:p w14:paraId="0901004F">
      <w:pPr>
        <w:spacing w:line="560" w:lineRule="exact"/>
        <w:ind w:firstLine="636" w:firstLineChars="199"/>
        <w:rPr>
          <w:color w:val="auto"/>
          <w:szCs w:val="32"/>
        </w:rPr>
      </w:pPr>
      <w:r>
        <w:rPr>
          <w:color w:val="auto"/>
          <w:szCs w:val="32"/>
        </w:rPr>
        <w:t>若被检产品明示的质量要求缺少本细则中检验项目依据的强制性标准要求时，应按照强制性标准要求判定。</w:t>
      </w:r>
    </w:p>
    <w:p w14:paraId="1273362D">
      <w:pPr>
        <w:spacing w:line="560" w:lineRule="exact"/>
        <w:ind w:firstLine="636" w:firstLineChars="199"/>
        <w:rPr>
          <w:color w:val="auto"/>
          <w:szCs w:val="32"/>
        </w:rPr>
      </w:pPr>
      <w:r>
        <w:rPr>
          <w:color w:val="auto"/>
          <w:szCs w:val="32"/>
        </w:rPr>
        <w:t>若被检产品明示的质量要求缺少本细则中检验项目依据的推荐性标准要求时，该项目不参与判定。</w:t>
      </w:r>
    </w:p>
    <w:p w14:paraId="27C41D71">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BD6776"/>
    <w:rsid w:val="07BD6776"/>
    <w:rsid w:val="237A2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2026-07-07T02:21:00Z</dcterms:created>
  <dc:creator>刘金棠</dc:creator>
  <cp:lastModifiedBy>刘金棠</cp:lastModifiedBy>
  <dcterms:modified xsi:type="dcterms:W3CDTF">2026-07-07T03:03:47Z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627BDA7D617C41379BA70CA0852673C7_11</vt:lpwstr>
  </property>
</Properties>
</file>