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93F21F">
      <w:pPr>
        <w:adjustRightInd w:val="0"/>
        <w:snapToGrid w:val="0"/>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云浮市工业硫酸产品质量监督抽查</w:t>
      </w:r>
    </w:p>
    <w:p w14:paraId="55D2C126">
      <w:pPr>
        <w:adjustRightInd w:val="0"/>
        <w:snapToGrid w:val="0"/>
        <w:spacing w:line="560" w:lineRule="exact"/>
        <w:jc w:val="center"/>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实施细则</w:t>
      </w:r>
    </w:p>
    <w:p w14:paraId="0B611E3C">
      <w:pPr>
        <w:spacing w:line="560" w:lineRule="exact"/>
        <w:jc w:val="center"/>
        <w:rPr>
          <w:rFonts w:eastAsia="楷体_GB2312"/>
          <w:szCs w:val="32"/>
        </w:rPr>
      </w:pPr>
      <w:r>
        <w:rPr>
          <w:rFonts w:eastAsia="楷体_GB2312"/>
          <w:szCs w:val="32"/>
        </w:rPr>
        <w:t>（2026年版）</w:t>
      </w:r>
    </w:p>
    <w:p w14:paraId="76675B6C">
      <w:pPr>
        <w:snapToGrid w:val="0"/>
        <w:spacing w:line="560" w:lineRule="exact"/>
        <w:rPr>
          <w:rFonts w:hint="eastAsia" w:ascii="仿宋_GB2312" w:hAnsi="仿宋_GB2312" w:cs="仿宋_GB2312"/>
          <w:szCs w:val="32"/>
        </w:rPr>
      </w:pPr>
    </w:p>
    <w:p w14:paraId="7C3CC84D">
      <w:pPr>
        <w:spacing w:line="560" w:lineRule="exact"/>
        <w:ind w:firstLine="640" w:firstLineChars="200"/>
        <w:rPr>
          <w:rFonts w:eastAsia="黑体"/>
          <w:color w:val="000000"/>
          <w:szCs w:val="32"/>
        </w:rPr>
      </w:pPr>
      <w:r>
        <w:rPr>
          <w:rFonts w:eastAsia="黑体"/>
          <w:color w:val="000000"/>
          <w:szCs w:val="32"/>
        </w:rPr>
        <w:t>1 抽样方法</w:t>
      </w:r>
    </w:p>
    <w:p w14:paraId="393FEC90">
      <w:pPr>
        <w:adjustRightInd w:val="0"/>
        <w:snapToGrid w:val="0"/>
        <w:spacing w:line="560" w:lineRule="exact"/>
        <w:ind w:firstLine="640" w:firstLineChars="200"/>
        <w:rPr>
          <w:rFonts w:hint="eastAsia"/>
          <w:szCs w:val="32"/>
        </w:rPr>
      </w:pPr>
      <w:r>
        <w:rPr>
          <w:rFonts w:hint="eastAsia"/>
          <w:szCs w:val="32"/>
        </w:rPr>
        <w:t>以随机抽样的方式在被抽样生产者、销售者的待销产品中抽取。</w:t>
      </w:r>
    </w:p>
    <w:p w14:paraId="539A3AC0">
      <w:pPr>
        <w:adjustRightInd w:val="0"/>
        <w:snapToGrid w:val="0"/>
        <w:spacing w:line="560" w:lineRule="exact"/>
        <w:ind w:firstLine="640" w:firstLineChars="200"/>
        <w:rPr>
          <w:rFonts w:hint="eastAsia"/>
          <w:szCs w:val="32"/>
        </w:rPr>
      </w:pPr>
      <w:r>
        <w:rPr>
          <w:rFonts w:hint="eastAsia"/>
          <w:szCs w:val="32"/>
        </w:rPr>
        <w:t>随机数一般可使用随机数表等方法产生。</w:t>
      </w:r>
    </w:p>
    <w:p w14:paraId="0B4DC88B">
      <w:pPr>
        <w:adjustRightInd w:val="0"/>
        <w:snapToGrid w:val="0"/>
        <w:spacing w:line="560" w:lineRule="exact"/>
        <w:ind w:firstLine="640" w:firstLineChars="200"/>
        <w:rPr>
          <w:szCs w:val="32"/>
        </w:rPr>
      </w:pPr>
      <w:r>
        <w:rPr>
          <w:rFonts w:hint="eastAsia"/>
          <w:szCs w:val="32"/>
        </w:rPr>
        <w:t>抽取同一批次产品，抽样数量为1000ml,混合后分为2份，装在磨口的玻璃瓶中，1份为检验样品，1份为保留样品，封存在被抽查单位</w:t>
      </w:r>
      <w:r>
        <w:rPr>
          <w:szCs w:val="32"/>
        </w:rPr>
        <w:t>。</w:t>
      </w:r>
    </w:p>
    <w:p w14:paraId="52188504">
      <w:pPr>
        <w:spacing w:line="560" w:lineRule="exact"/>
        <w:ind w:firstLine="640" w:firstLineChars="200"/>
        <w:rPr>
          <w:rFonts w:eastAsia="黑体"/>
          <w:color w:val="000000"/>
          <w:szCs w:val="32"/>
        </w:rPr>
      </w:pPr>
      <w:r>
        <w:rPr>
          <w:rFonts w:eastAsia="黑体"/>
          <w:color w:val="000000"/>
          <w:szCs w:val="32"/>
        </w:rPr>
        <w:t>2 检验依据</w:t>
      </w:r>
    </w:p>
    <w:tbl>
      <w:tblPr>
        <w:tblStyle w:val="2"/>
        <w:tblW w:w="9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2689"/>
        <w:gridCol w:w="5463"/>
      </w:tblGrid>
      <w:tr w14:paraId="543D7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blHeader/>
          <w:jc w:val="center"/>
        </w:trPr>
        <w:tc>
          <w:tcPr>
            <w:tcW w:w="1018" w:type="dxa"/>
            <w:noWrap w:val="0"/>
            <w:vAlign w:val="center"/>
          </w:tcPr>
          <w:p w14:paraId="64E53042">
            <w:pPr>
              <w:snapToGrid w:val="0"/>
              <w:spacing w:line="560" w:lineRule="exact"/>
              <w:jc w:val="center"/>
              <w:rPr>
                <w:sz w:val="28"/>
                <w:szCs w:val="28"/>
              </w:rPr>
            </w:pPr>
            <w:r>
              <w:rPr>
                <w:sz w:val="28"/>
                <w:szCs w:val="28"/>
              </w:rPr>
              <w:t>序号</w:t>
            </w:r>
          </w:p>
        </w:tc>
        <w:tc>
          <w:tcPr>
            <w:tcW w:w="2689" w:type="dxa"/>
            <w:noWrap w:val="0"/>
            <w:vAlign w:val="center"/>
          </w:tcPr>
          <w:p w14:paraId="4327DC47">
            <w:pPr>
              <w:snapToGrid w:val="0"/>
              <w:spacing w:line="560" w:lineRule="exact"/>
              <w:jc w:val="center"/>
              <w:rPr>
                <w:sz w:val="28"/>
                <w:szCs w:val="28"/>
              </w:rPr>
            </w:pPr>
            <w:r>
              <w:rPr>
                <w:sz w:val="28"/>
                <w:szCs w:val="28"/>
              </w:rPr>
              <w:t>检验项目</w:t>
            </w:r>
          </w:p>
        </w:tc>
        <w:tc>
          <w:tcPr>
            <w:tcW w:w="5463" w:type="dxa"/>
            <w:noWrap w:val="0"/>
            <w:vAlign w:val="center"/>
          </w:tcPr>
          <w:p w14:paraId="238721BE">
            <w:pPr>
              <w:snapToGrid w:val="0"/>
              <w:spacing w:line="560" w:lineRule="exact"/>
              <w:jc w:val="center"/>
              <w:rPr>
                <w:sz w:val="28"/>
                <w:szCs w:val="28"/>
              </w:rPr>
            </w:pPr>
            <w:r>
              <w:rPr>
                <w:sz w:val="28"/>
                <w:szCs w:val="28"/>
              </w:rPr>
              <w:t>检验方法</w:t>
            </w:r>
          </w:p>
        </w:tc>
      </w:tr>
      <w:tr w14:paraId="39119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0AC7B8C8">
            <w:pPr>
              <w:spacing w:line="560" w:lineRule="exact"/>
              <w:jc w:val="center"/>
              <w:rPr>
                <w:sz w:val="28"/>
                <w:szCs w:val="28"/>
              </w:rPr>
            </w:pPr>
            <w:r>
              <w:rPr>
                <w:sz w:val="28"/>
                <w:szCs w:val="28"/>
              </w:rPr>
              <w:t>1</w:t>
            </w:r>
          </w:p>
        </w:tc>
        <w:tc>
          <w:tcPr>
            <w:tcW w:w="2689" w:type="dxa"/>
            <w:noWrap w:val="0"/>
            <w:vAlign w:val="top"/>
          </w:tcPr>
          <w:p w14:paraId="4D20890B">
            <w:pPr>
              <w:spacing w:line="560" w:lineRule="exact"/>
              <w:jc w:val="center"/>
              <w:rPr>
                <w:rFonts w:hint="eastAsia"/>
                <w:sz w:val="28"/>
                <w:szCs w:val="28"/>
              </w:rPr>
            </w:pPr>
            <w:r>
              <w:rPr>
                <w:rFonts w:hint="eastAsia"/>
                <w:sz w:val="28"/>
                <w:szCs w:val="28"/>
              </w:rPr>
              <w:t>硫酸含量</w:t>
            </w:r>
          </w:p>
        </w:tc>
        <w:tc>
          <w:tcPr>
            <w:tcW w:w="5463" w:type="dxa"/>
            <w:noWrap w:val="0"/>
            <w:vAlign w:val="top"/>
          </w:tcPr>
          <w:p w14:paraId="0C6C89EB">
            <w:pPr>
              <w:snapToGrid w:val="0"/>
              <w:spacing w:line="560" w:lineRule="exact"/>
              <w:jc w:val="center"/>
              <w:rPr>
                <w:rFonts w:hint="eastAsia"/>
                <w:sz w:val="28"/>
                <w:szCs w:val="28"/>
              </w:rPr>
            </w:pPr>
            <w:r>
              <w:rPr>
                <w:rFonts w:hint="eastAsia"/>
                <w:sz w:val="28"/>
                <w:szCs w:val="28"/>
              </w:rPr>
              <w:t>GB/T 534-2024《工业硫酸》中6.2</w:t>
            </w:r>
          </w:p>
        </w:tc>
      </w:tr>
      <w:tr w14:paraId="76F7E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1BB3635F">
            <w:pPr>
              <w:spacing w:line="560" w:lineRule="exact"/>
              <w:jc w:val="center"/>
              <w:rPr>
                <w:sz w:val="28"/>
                <w:szCs w:val="28"/>
              </w:rPr>
            </w:pPr>
            <w:r>
              <w:rPr>
                <w:sz w:val="28"/>
                <w:szCs w:val="28"/>
              </w:rPr>
              <w:t>2</w:t>
            </w:r>
          </w:p>
        </w:tc>
        <w:tc>
          <w:tcPr>
            <w:tcW w:w="2689" w:type="dxa"/>
            <w:noWrap w:val="0"/>
            <w:vAlign w:val="top"/>
          </w:tcPr>
          <w:p w14:paraId="7FEE3F3C">
            <w:pPr>
              <w:spacing w:line="560" w:lineRule="exact"/>
              <w:jc w:val="center"/>
              <w:rPr>
                <w:rFonts w:hint="eastAsia"/>
                <w:sz w:val="28"/>
                <w:szCs w:val="28"/>
              </w:rPr>
            </w:pPr>
            <w:r>
              <w:rPr>
                <w:rFonts w:hint="eastAsia"/>
                <w:sz w:val="28"/>
                <w:szCs w:val="28"/>
              </w:rPr>
              <w:t>灰分</w:t>
            </w:r>
          </w:p>
        </w:tc>
        <w:tc>
          <w:tcPr>
            <w:tcW w:w="5463" w:type="dxa"/>
            <w:noWrap w:val="0"/>
            <w:vAlign w:val="top"/>
          </w:tcPr>
          <w:p w14:paraId="110363AE">
            <w:pPr>
              <w:snapToGrid w:val="0"/>
              <w:spacing w:line="560" w:lineRule="exact"/>
              <w:jc w:val="center"/>
              <w:rPr>
                <w:rFonts w:hint="eastAsia"/>
                <w:sz w:val="28"/>
                <w:szCs w:val="28"/>
              </w:rPr>
            </w:pPr>
            <w:r>
              <w:rPr>
                <w:rFonts w:hint="eastAsia"/>
                <w:sz w:val="28"/>
                <w:szCs w:val="28"/>
              </w:rPr>
              <w:t>GB/T 534-2024《工业硫酸》中6.4</w:t>
            </w:r>
          </w:p>
        </w:tc>
      </w:tr>
      <w:tr w14:paraId="63F3F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1630CF20">
            <w:pPr>
              <w:spacing w:line="560" w:lineRule="exact"/>
              <w:jc w:val="center"/>
              <w:rPr>
                <w:sz w:val="28"/>
                <w:szCs w:val="28"/>
              </w:rPr>
            </w:pPr>
            <w:r>
              <w:rPr>
                <w:sz w:val="28"/>
                <w:szCs w:val="28"/>
              </w:rPr>
              <w:t>3</w:t>
            </w:r>
          </w:p>
        </w:tc>
        <w:tc>
          <w:tcPr>
            <w:tcW w:w="2689" w:type="dxa"/>
            <w:noWrap w:val="0"/>
            <w:vAlign w:val="top"/>
          </w:tcPr>
          <w:p w14:paraId="11B5A58B">
            <w:pPr>
              <w:spacing w:line="560" w:lineRule="exact"/>
              <w:jc w:val="center"/>
              <w:rPr>
                <w:rFonts w:hint="eastAsia"/>
                <w:sz w:val="28"/>
                <w:szCs w:val="28"/>
              </w:rPr>
            </w:pPr>
            <w:r>
              <w:rPr>
                <w:rFonts w:hint="eastAsia"/>
                <w:sz w:val="28"/>
                <w:szCs w:val="28"/>
              </w:rPr>
              <w:t>汞(Hg)</w:t>
            </w:r>
          </w:p>
        </w:tc>
        <w:tc>
          <w:tcPr>
            <w:tcW w:w="5463" w:type="dxa"/>
            <w:noWrap w:val="0"/>
            <w:vAlign w:val="top"/>
          </w:tcPr>
          <w:p w14:paraId="062CB384">
            <w:pPr>
              <w:snapToGrid w:val="0"/>
              <w:spacing w:line="560" w:lineRule="exact"/>
              <w:jc w:val="center"/>
              <w:rPr>
                <w:rFonts w:hint="eastAsia"/>
                <w:sz w:val="28"/>
                <w:szCs w:val="28"/>
              </w:rPr>
            </w:pPr>
            <w:r>
              <w:rPr>
                <w:rFonts w:hint="eastAsia"/>
                <w:sz w:val="28"/>
                <w:szCs w:val="28"/>
              </w:rPr>
              <w:t>GB/T 534-2024《工业硫酸》中6.8</w:t>
            </w:r>
          </w:p>
        </w:tc>
      </w:tr>
      <w:tr w14:paraId="4F8C8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05AB9A64">
            <w:pPr>
              <w:spacing w:line="560" w:lineRule="exact"/>
              <w:jc w:val="center"/>
              <w:rPr>
                <w:sz w:val="28"/>
                <w:szCs w:val="28"/>
              </w:rPr>
            </w:pPr>
            <w:r>
              <w:rPr>
                <w:sz w:val="28"/>
                <w:szCs w:val="28"/>
              </w:rPr>
              <w:t>4</w:t>
            </w:r>
          </w:p>
        </w:tc>
        <w:tc>
          <w:tcPr>
            <w:tcW w:w="2689" w:type="dxa"/>
            <w:noWrap w:val="0"/>
            <w:vAlign w:val="top"/>
          </w:tcPr>
          <w:p w14:paraId="7BCC2CD2">
            <w:pPr>
              <w:spacing w:line="560" w:lineRule="exact"/>
              <w:jc w:val="center"/>
              <w:rPr>
                <w:rFonts w:hint="eastAsia"/>
                <w:sz w:val="28"/>
                <w:szCs w:val="28"/>
              </w:rPr>
            </w:pPr>
            <w:r>
              <w:rPr>
                <w:rFonts w:hint="eastAsia"/>
                <w:sz w:val="28"/>
                <w:szCs w:val="28"/>
              </w:rPr>
              <w:t>透明度</w:t>
            </w:r>
          </w:p>
        </w:tc>
        <w:tc>
          <w:tcPr>
            <w:tcW w:w="5463" w:type="dxa"/>
            <w:noWrap w:val="0"/>
            <w:vAlign w:val="top"/>
          </w:tcPr>
          <w:p w14:paraId="7F15CDB0">
            <w:pPr>
              <w:snapToGrid w:val="0"/>
              <w:spacing w:line="560" w:lineRule="exact"/>
              <w:jc w:val="center"/>
              <w:rPr>
                <w:rFonts w:hint="eastAsia"/>
                <w:sz w:val="28"/>
                <w:szCs w:val="28"/>
              </w:rPr>
            </w:pPr>
            <w:r>
              <w:rPr>
                <w:rFonts w:hint="eastAsia"/>
                <w:sz w:val="28"/>
                <w:szCs w:val="28"/>
              </w:rPr>
              <w:t>GB/T 534-2024《工业硫酸》中6.10</w:t>
            </w:r>
          </w:p>
        </w:tc>
      </w:tr>
      <w:tr w14:paraId="2B92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77E6BE1F">
            <w:pPr>
              <w:spacing w:line="560" w:lineRule="exact"/>
              <w:jc w:val="center"/>
              <w:rPr>
                <w:sz w:val="28"/>
                <w:szCs w:val="28"/>
              </w:rPr>
            </w:pPr>
            <w:r>
              <w:rPr>
                <w:sz w:val="28"/>
                <w:szCs w:val="28"/>
              </w:rPr>
              <w:t>5</w:t>
            </w:r>
          </w:p>
        </w:tc>
        <w:tc>
          <w:tcPr>
            <w:tcW w:w="2689" w:type="dxa"/>
            <w:noWrap w:val="0"/>
            <w:vAlign w:val="top"/>
          </w:tcPr>
          <w:p w14:paraId="06DB4B87">
            <w:pPr>
              <w:spacing w:line="560" w:lineRule="exact"/>
              <w:jc w:val="center"/>
              <w:rPr>
                <w:rFonts w:hint="eastAsia"/>
              </w:rPr>
            </w:pPr>
            <w:r>
              <w:rPr>
                <w:rFonts w:hint="eastAsia"/>
              </w:rPr>
              <w:t>色度</w:t>
            </w:r>
          </w:p>
        </w:tc>
        <w:tc>
          <w:tcPr>
            <w:tcW w:w="5463" w:type="dxa"/>
            <w:noWrap w:val="0"/>
            <w:vAlign w:val="top"/>
          </w:tcPr>
          <w:p w14:paraId="4CBD65DB">
            <w:pPr>
              <w:snapToGrid w:val="0"/>
              <w:spacing w:line="560" w:lineRule="exact"/>
              <w:jc w:val="center"/>
              <w:rPr>
                <w:sz w:val="28"/>
                <w:szCs w:val="28"/>
              </w:rPr>
            </w:pPr>
            <w:r>
              <w:rPr>
                <w:rFonts w:hint="eastAsia"/>
                <w:sz w:val="28"/>
                <w:szCs w:val="28"/>
              </w:rPr>
              <w:t>GB/T 534-2024《工业硫酸》中6.11</w:t>
            </w:r>
          </w:p>
        </w:tc>
      </w:tr>
      <w:tr w14:paraId="7E2CA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35D26F86">
            <w:pPr>
              <w:spacing w:line="560" w:lineRule="exact"/>
              <w:jc w:val="center"/>
              <w:rPr>
                <w:sz w:val="28"/>
                <w:szCs w:val="28"/>
              </w:rPr>
            </w:pPr>
            <w:r>
              <w:rPr>
                <w:sz w:val="28"/>
                <w:szCs w:val="28"/>
              </w:rPr>
              <w:t>6</w:t>
            </w:r>
          </w:p>
        </w:tc>
        <w:tc>
          <w:tcPr>
            <w:tcW w:w="2689" w:type="dxa"/>
            <w:noWrap w:val="0"/>
            <w:vAlign w:val="center"/>
          </w:tcPr>
          <w:p w14:paraId="29C6DCA2">
            <w:pPr>
              <w:spacing w:line="560" w:lineRule="exact"/>
              <w:jc w:val="center"/>
              <w:rPr>
                <w:sz w:val="28"/>
                <w:szCs w:val="28"/>
              </w:rPr>
            </w:pPr>
            <w:r>
              <w:rPr>
                <w:rFonts w:hint="eastAsia"/>
                <w:sz w:val="28"/>
                <w:szCs w:val="28"/>
              </w:rPr>
              <w:t>铁(Fe)</w:t>
            </w:r>
          </w:p>
        </w:tc>
        <w:tc>
          <w:tcPr>
            <w:tcW w:w="5463" w:type="dxa"/>
            <w:noWrap w:val="0"/>
            <w:vAlign w:val="center"/>
          </w:tcPr>
          <w:p w14:paraId="27804A79">
            <w:pPr>
              <w:snapToGrid w:val="0"/>
              <w:spacing w:line="560" w:lineRule="exact"/>
              <w:jc w:val="center"/>
              <w:rPr>
                <w:sz w:val="28"/>
                <w:szCs w:val="28"/>
              </w:rPr>
            </w:pPr>
            <w:r>
              <w:rPr>
                <w:rFonts w:hint="eastAsia"/>
                <w:sz w:val="28"/>
                <w:szCs w:val="28"/>
              </w:rPr>
              <w:t>GB/T 534-2024《工业硫酸》中6.5或6.9</w:t>
            </w:r>
          </w:p>
        </w:tc>
      </w:tr>
      <w:tr w14:paraId="64D2B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732C5237">
            <w:pPr>
              <w:spacing w:line="560" w:lineRule="exact"/>
              <w:jc w:val="center"/>
              <w:rPr>
                <w:sz w:val="28"/>
                <w:szCs w:val="28"/>
              </w:rPr>
            </w:pPr>
            <w:r>
              <w:rPr>
                <w:sz w:val="28"/>
                <w:szCs w:val="28"/>
              </w:rPr>
              <w:t>7</w:t>
            </w:r>
          </w:p>
        </w:tc>
        <w:tc>
          <w:tcPr>
            <w:tcW w:w="2689" w:type="dxa"/>
            <w:noWrap w:val="0"/>
            <w:vAlign w:val="center"/>
          </w:tcPr>
          <w:p w14:paraId="0F429625">
            <w:pPr>
              <w:spacing w:line="560" w:lineRule="exact"/>
              <w:jc w:val="center"/>
              <w:rPr>
                <w:sz w:val="28"/>
                <w:szCs w:val="28"/>
              </w:rPr>
            </w:pPr>
            <w:r>
              <w:rPr>
                <w:rFonts w:hint="eastAsia"/>
                <w:sz w:val="28"/>
                <w:szCs w:val="28"/>
              </w:rPr>
              <w:t>砷(As)</w:t>
            </w:r>
          </w:p>
        </w:tc>
        <w:tc>
          <w:tcPr>
            <w:tcW w:w="5463" w:type="dxa"/>
            <w:noWrap w:val="0"/>
            <w:vAlign w:val="center"/>
          </w:tcPr>
          <w:p w14:paraId="22C366DC">
            <w:pPr>
              <w:snapToGrid w:val="0"/>
              <w:spacing w:line="560" w:lineRule="exact"/>
              <w:jc w:val="center"/>
              <w:rPr>
                <w:sz w:val="28"/>
                <w:szCs w:val="28"/>
              </w:rPr>
            </w:pPr>
            <w:r>
              <w:rPr>
                <w:rFonts w:hint="eastAsia"/>
                <w:sz w:val="28"/>
                <w:szCs w:val="28"/>
              </w:rPr>
              <w:t>GB/T 534-2024《工业硫酸》中6.6</w:t>
            </w:r>
          </w:p>
        </w:tc>
      </w:tr>
      <w:tr w14:paraId="63EA7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25C5C8F0">
            <w:pPr>
              <w:spacing w:line="560" w:lineRule="exact"/>
              <w:jc w:val="center"/>
              <w:rPr>
                <w:sz w:val="28"/>
                <w:szCs w:val="28"/>
              </w:rPr>
            </w:pPr>
            <w:r>
              <w:rPr>
                <w:rFonts w:hint="eastAsia"/>
                <w:sz w:val="28"/>
                <w:szCs w:val="28"/>
              </w:rPr>
              <w:t>8</w:t>
            </w:r>
          </w:p>
        </w:tc>
        <w:tc>
          <w:tcPr>
            <w:tcW w:w="2689" w:type="dxa"/>
            <w:noWrap w:val="0"/>
            <w:vAlign w:val="center"/>
          </w:tcPr>
          <w:p w14:paraId="271C833F">
            <w:pPr>
              <w:spacing w:line="560" w:lineRule="exact"/>
              <w:jc w:val="center"/>
              <w:rPr>
                <w:sz w:val="28"/>
                <w:szCs w:val="28"/>
              </w:rPr>
            </w:pPr>
            <w:r>
              <w:rPr>
                <w:rFonts w:hint="eastAsia"/>
                <w:sz w:val="28"/>
                <w:szCs w:val="28"/>
              </w:rPr>
              <w:t>铅(Pb)</w:t>
            </w:r>
          </w:p>
        </w:tc>
        <w:tc>
          <w:tcPr>
            <w:tcW w:w="5463" w:type="dxa"/>
            <w:noWrap w:val="0"/>
            <w:vAlign w:val="center"/>
          </w:tcPr>
          <w:p w14:paraId="6DBCB60D">
            <w:pPr>
              <w:snapToGrid w:val="0"/>
              <w:spacing w:line="560" w:lineRule="exact"/>
              <w:jc w:val="center"/>
              <w:rPr>
                <w:sz w:val="28"/>
                <w:szCs w:val="28"/>
              </w:rPr>
            </w:pPr>
            <w:r>
              <w:rPr>
                <w:rFonts w:hint="eastAsia"/>
                <w:sz w:val="28"/>
                <w:szCs w:val="28"/>
              </w:rPr>
              <w:t>GB/T 534-2024《工业硫酸》中6.7或6.9</w:t>
            </w:r>
          </w:p>
        </w:tc>
      </w:tr>
      <w:tr w14:paraId="2A190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0F834378">
            <w:pPr>
              <w:spacing w:line="560" w:lineRule="exact"/>
              <w:jc w:val="center"/>
              <w:rPr>
                <w:sz w:val="28"/>
                <w:szCs w:val="28"/>
              </w:rPr>
            </w:pPr>
            <w:r>
              <w:rPr>
                <w:rFonts w:hint="eastAsia"/>
                <w:sz w:val="28"/>
                <w:szCs w:val="28"/>
              </w:rPr>
              <w:t>9</w:t>
            </w:r>
          </w:p>
        </w:tc>
        <w:tc>
          <w:tcPr>
            <w:tcW w:w="2689" w:type="dxa"/>
            <w:noWrap w:val="0"/>
            <w:vAlign w:val="center"/>
          </w:tcPr>
          <w:p w14:paraId="56256AE3">
            <w:pPr>
              <w:spacing w:line="560" w:lineRule="exact"/>
              <w:jc w:val="center"/>
              <w:rPr>
                <w:sz w:val="28"/>
                <w:szCs w:val="28"/>
              </w:rPr>
            </w:pPr>
            <w:r>
              <w:rPr>
                <w:rFonts w:hint="eastAsia"/>
                <w:sz w:val="28"/>
                <w:szCs w:val="28"/>
              </w:rPr>
              <w:t>镉(Cd)</w:t>
            </w:r>
          </w:p>
        </w:tc>
        <w:tc>
          <w:tcPr>
            <w:tcW w:w="5463" w:type="dxa"/>
            <w:noWrap w:val="0"/>
            <w:vAlign w:val="center"/>
          </w:tcPr>
          <w:p w14:paraId="52C8825C">
            <w:pPr>
              <w:snapToGrid w:val="0"/>
              <w:spacing w:line="560" w:lineRule="exact"/>
              <w:jc w:val="center"/>
              <w:rPr>
                <w:sz w:val="28"/>
                <w:szCs w:val="28"/>
              </w:rPr>
            </w:pPr>
            <w:r>
              <w:rPr>
                <w:rFonts w:hint="eastAsia"/>
                <w:sz w:val="28"/>
                <w:szCs w:val="28"/>
              </w:rPr>
              <w:t>GB/T 534-2024《工业硫酸》中6.9</w:t>
            </w:r>
          </w:p>
        </w:tc>
      </w:tr>
      <w:tr w14:paraId="0B443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7EB5E63F">
            <w:pPr>
              <w:spacing w:line="560" w:lineRule="exact"/>
              <w:jc w:val="center"/>
              <w:rPr>
                <w:sz w:val="28"/>
                <w:szCs w:val="28"/>
              </w:rPr>
            </w:pPr>
            <w:r>
              <w:rPr>
                <w:rFonts w:hint="eastAsia"/>
                <w:sz w:val="28"/>
                <w:szCs w:val="28"/>
              </w:rPr>
              <w:t>10</w:t>
            </w:r>
          </w:p>
        </w:tc>
        <w:tc>
          <w:tcPr>
            <w:tcW w:w="2689" w:type="dxa"/>
            <w:noWrap w:val="0"/>
            <w:vAlign w:val="center"/>
          </w:tcPr>
          <w:p w14:paraId="44D23C4F">
            <w:pPr>
              <w:spacing w:line="560" w:lineRule="exact"/>
              <w:jc w:val="center"/>
              <w:rPr>
                <w:sz w:val="28"/>
                <w:szCs w:val="28"/>
              </w:rPr>
            </w:pPr>
            <w:r>
              <w:rPr>
                <w:rFonts w:hint="eastAsia"/>
                <w:sz w:val="28"/>
                <w:szCs w:val="28"/>
              </w:rPr>
              <w:t>铬(Cr)</w:t>
            </w:r>
          </w:p>
        </w:tc>
        <w:tc>
          <w:tcPr>
            <w:tcW w:w="5463" w:type="dxa"/>
            <w:noWrap w:val="0"/>
            <w:vAlign w:val="center"/>
          </w:tcPr>
          <w:p w14:paraId="64C704E2">
            <w:pPr>
              <w:snapToGrid w:val="0"/>
              <w:spacing w:line="560" w:lineRule="exact"/>
              <w:jc w:val="center"/>
              <w:rPr>
                <w:sz w:val="28"/>
                <w:szCs w:val="28"/>
              </w:rPr>
            </w:pPr>
            <w:r>
              <w:rPr>
                <w:rFonts w:hint="eastAsia"/>
                <w:sz w:val="28"/>
                <w:szCs w:val="28"/>
              </w:rPr>
              <w:t>GB/T 534-2024《工业硫酸》中6.9</w:t>
            </w:r>
          </w:p>
        </w:tc>
      </w:tr>
      <w:tr w14:paraId="0D65A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8" w:type="dxa"/>
            <w:noWrap w:val="0"/>
            <w:vAlign w:val="center"/>
          </w:tcPr>
          <w:p w14:paraId="27AB4E8F">
            <w:pPr>
              <w:spacing w:line="560" w:lineRule="exact"/>
              <w:jc w:val="center"/>
              <w:rPr>
                <w:sz w:val="28"/>
                <w:szCs w:val="28"/>
              </w:rPr>
            </w:pPr>
            <w:r>
              <w:rPr>
                <w:rFonts w:hint="eastAsia"/>
                <w:sz w:val="28"/>
                <w:szCs w:val="28"/>
              </w:rPr>
              <w:t>11</w:t>
            </w:r>
          </w:p>
        </w:tc>
        <w:tc>
          <w:tcPr>
            <w:tcW w:w="2689" w:type="dxa"/>
            <w:noWrap w:val="0"/>
            <w:vAlign w:val="center"/>
          </w:tcPr>
          <w:p w14:paraId="23AB5514">
            <w:pPr>
              <w:spacing w:line="560" w:lineRule="exact"/>
              <w:jc w:val="center"/>
              <w:rPr>
                <w:sz w:val="28"/>
                <w:szCs w:val="28"/>
              </w:rPr>
            </w:pPr>
            <w:r>
              <w:rPr>
                <w:rFonts w:hint="eastAsia"/>
                <w:sz w:val="28"/>
                <w:szCs w:val="28"/>
              </w:rPr>
              <w:t>铊（Tl）</w:t>
            </w:r>
          </w:p>
        </w:tc>
        <w:tc>
          <w:tcPr>
            <w:tcW w:w="5463" w:type="dxa"/>
            <w:noWrap w:val="0"/>
            <w:vAlign w:val="center"/>
          </w:tcPr>
          <w:p w14:paraId="2FACDDAC">
            <w:pPr>
              <w:snapToGrid w:val="0"/>
              <w:spacing w:line="560" w:lineRule="exact"/>
              <w:jc w:val="center"/>
              <w:rPr>
                <w:sz w:val="28"/>
                <w:szCs w:val="28"/>
              </w:rPr>
            </w:pPr>
            <w:r>
              <w:rPr>
                <w:rFonts w:hint="eastAsia"/>
                <w:sz w:val="28"/>
                <w:szCs w:val="28"/>
              </w:rPr>
              <w:t>GB/T 534-2024《工业硫酸》中6.9</w:t>
            </w:r>
          </w:p>
        </w:tc>
      </w:tr>
    </w:tbl>
    <w:p w14:paraId="5ADE4EA0">
      <w:pPr>
        <w:snapToGrid w:val="0"/>
        <w:spacing w:line="560" w:lineRule="exact"/>
        <w:ind w:firstLine="640" w:firstLineChars="200"/>
        <w:rPr>
          <w:rFonts w:hint="eastAsia" w:ascii="仿宋_GB2312" w:hAnsi="仿宋_GB2312" w:cs="仿宋_GB2312"/>
          <w:szCs w:val="32"/>
        </w:rPr>
      </w:pPr>
      <w:r>
        <w:rPr>
          <w:rFonts w:hint="eastAsia" w:ascii="仿宋_GB2312" w:hAnsi="仿宋_GB2312" w:cs="仿宋_GB2312"/>
          <w:szCs w:val="32"/>
        </w:rPr>
        <w:t>执行企业标准、团体标准、地方标准的产品，检验项目参照上述内容执行。</w:t>
      </w:r>
    </w:p>
    <w:p w14:paraId="1050F55A">
      <w:pPr>
        <w:snapToGrid w:val="0"/>
        <w:spacing w:line="560" w:lineRule="exact"/>
        <w:ind w:firstLine="547" w:firstLineChars="171"/>
        <w:rPr>
          <w:szCs w:val="32"/>
        </w:rPr>
      </w:pPr>
      <w:r>
        <w:rPr>
          <w:szCs w:val="32"/>
        </w:rPr>
        <w:t>凡是注日期的文件，其随后所有的修改单（不包括勘误的内容）或修订版不适用于本细则。凡是不注日期的文件，其最新版本适用于本细则。</w:t>
      </w:r>
    </w:p>
    <w:p w14:paraId="11334612">
      <w:pPr>
        <w:spacing w:line="560" w:lineRule="exact"/>
        <w:ind w:firstLine="640" w:firstLineChars="200"/>
        <w:rPr>
          <w:rFonts w:eastAsia="黑体"/>
          <w:color w:val="000000"/>
          <w:szCs w:val="32"/>
        </w:rPr>
      </w:pPr>
      <w:r>
        <w:rPr>
          <w:rFonts w:eastAsia="黑体"/>
          <w:color w:val="000000"/>
          <w:szCs w:val="32"/>
        </w:rPr>
        <w:t>3 判定规则</w:t>
      </w:r>
    </w:p>
    <w:p w14:paraId="0BCFA6DB">
      <w:pPr>
        <w:snapToGrid w:val="0"/>
        <w:spacing w:line="560" w:lineRule="exact"/>
        <w:ind w:firstLine="640" w:firstLineChars="200"/>
        <w:rPr>
          <w:rFonts w:hint="eastAsia"/>
          <w:szCs w:val="32"/>
        </w:rPr>
      </w:pPr>
      <w:r>
        <w:rPr>
          <w:szCs w:val="32"/>
        </w:rPr>
        <w:t>3.1依据标准</w:t>
      </w:r>
    </w:p>
    <w:p w14:paraId="5E7F809C">
      <w:pPr>
        <w:snapToGrid w:val="0"/>
        <w:spacing w:line="560" w:lineRule="exact"/>
        <w:ind w:firstLine="640" w:firstLineChars="200"/>
        <w:rPr>
          <w:szCs w:val="32"/>
        </w:rPr>
      </w:pPr>
      <w:r>
        <w:rPr>
          <w:szCs w:val="32"/>
        </w:rPr>
        <w:t>GB/T</w:t>
      </w:r>
      <w:r>
        <w:rPr>
          <w:rFonts w:hint="eastAsia"/>
          <w:szCs w:val="32"/>
        </w:rPr>
        <w:t xml:space="preserve"> </w:t>
      </w:r>
      <w:r>
        <w:rPr>
          <w:szCs w:val="32"/>
        </w:rPr>
        <w:t>534-2024</w:t>
      </w:r>
      <w:r>
        <w:rPr>
          <w:rFonts w:hint="eastAsia"/>
          <w:szCs w:val="32"/>
        </w:rPr>
        <w:t xml:space="preserve"> 工业硫酸</w:t>
      </w:r>
    </w:p>
    <w:p w14:paraId="39E569CE">
      <w:pPr>
        <w:snapToGrid w:val="0"/>
        <w:spacing w:line="560" w:lineRule="exact"/>
        <w:ind w:firstLine="640" w:firstLineChars="200"/>
        <w:rPr>
          <w:szCs w:val="32"/>
        </w:rPr>
      </w:pPr>
      <w:r>
        <w:rPr>
          <w:szCs w:val="32"/>
        </w:rPr>
        <w:t>现行有效的企业标准、团体标准、地方标准及产品明示质量要求</w:t>
      </w:r>
    </w:p>
    <w:p w14:paraId="5AE2AAB1">
      <w:pPr>
        <w:snapToGrid w:val="0"/>
        <w:spacing w:line="560" w:lineRule="exact"/>
        <w:ind w:firstLine="640" w:firstLineChars="200"/>
        <w:rPr>
          <w:szCs w:val="32"/>
        </w:rPr>
      </w:pPr>
      <w:r>
        <w:rPr>
          <w:szCs w:val="32"/>
        </w:rPr>
        <w:t>3.2判定原则</w:t>
      </w:r>
    </w:p>
    <w:p w14:paraId="765F0432">
      <w:pPr>
        <w:snapToGrid w:val="0"/>
        <w:spacing w:line="560" w:lineRule="exact"/>
        <w:ind w:firstLine="640" w:firstLineChars="200"/>
        <w:rPr>
          <w:color w:val="000000"/>
          <w:szCs w:val="32"/>
        </w:rPr>
      </w:pPr>
      <w:r>
        <w:rPr>
          <w:color w:val="000000"/>
          <w:szCs w:val="32"/>
        </w:rPr>
        <w:t>经检验，检验项目全部合格，判定为被抽查产品所检项目未发现不合格；检验项目中任一项或一项以上不合格，判定为被抽查产品不合格。</w:t>
      </w:r>
    </w:p>
    <w:p w14:paraId="3AF867E5">
      <w:pPr>
        <w:snapToGrid w:val="0"/>
        <w:spacing w:line="560" w:lineRule="exact"/>
        <w:ind w:firstLine="636" w:firstLineChars="199"/>
        <w:rPr>
          <w:color w:val="000000"/>
          <w:szCs w:val="32"/>
        </w:rPr>
      </w:pPr>
      <w:r>
        <w:rPr>
          <w:color w:val="000000"/>
          <w:szCs w:val="32"/>
        </w:rPr>
        <w:t>若被检产品明示的质量要求高于本细则中检验项目依据的标准要求时，应按被检产品明示的质量要求判定。</w:t>
      </w:r>
    </w:p>
    <w:p w14:paraId="51B4BA6C">
      <w:pPr>
        <w:snapToGrid w:val="0"/>
        <w:spacing w:line="560" w:lineRule="exact"/>
        <w:ind w:firstLine="636" w:firstLineChars="199"/>
        <w:rPr>
          <w:color w:val="000000"/>
          <w:szCs w:val="32"/>
        </w:rPr>
      </w:pPr>
      <w:r>
        <w:rPr>
          <w:color w:val="000000"/>
          <w:szCs w:val="32"/>
        </w:rPr>
        <w:t>若被检产品明示的质量要求低于本细则中检验项目依据的强制性标准要求时，应按照强制性标准要求判定。</w:t>
      </w:r>
    </w:p>
    <w:p w14:paraId="2FFBECE3">
      <w:pPr>
        <w:snapToGrid w:val="0"/>
        <w:spacing w:line="560" w:lineRule="exact"/>
        <w:ind w:firstLine="636" w:firstLineChars="199"/>
        <w:rPr>
          <w:color w:val="000000"/>
          <w:szCs w:val="32"/>
        </w:rPr>
      </w:pPr>
      <w:r>
        <w:rPr>
          <w:color w:val="000000"/>
          <w:szCs w:val="32"/>
        </w:rPr>
        <w:t>若被检产品明示的质量要求低于或包含本细则中检验项目依据的推荐性标准要求时，应以被检产品明示的质量要求判定。</w:t>
      </w:r>
    </w:p>
    <w:p w14:paraId="54845588">
      <w:pPr>
        <w:snapToGrid w:val="0"/>
        <w:spacing w:line="560" w:lineRule="exact"/>
        <w:ind w:firstLine="636" w:firstLineChars="199"/>
        <w:rPr>
          <w:color w:val="000000"/>
          <w:szCs w:val="32"/>
        </w:rPr>
      </w:pPr>
      <w:r>
        <w:rPr>
          <w:color w:val="000000"/>
          <w:szCs w:val="32"/>
        </w:rPr>
        <w:t>若被检产品明示的质量要求缺少本细则中检验项目依据的强制性标准要求时，应按照强制性标准要求判定。</w:t>
      </w:r>
    </w:p>
    <w:p w14:paraId="51E54593">
      <w:pPr>
        <w:snapToGrid w:val="0"/>
        <w:spacing w:line="560" w:lineRule="exact"/>
        <w:ind w:firstLine="636" w:firstLineChars="199"/>
        <w:rPr>
          <w:color w:val="000000"/>
          <w:szCs w:val="32"/>
        </w:rPr>
      </w:pPr>
      <w:r>
        <w:rPr>
          <w:color w:val="000000"/>
          <w:szCs w:val="32"/>
        </w:rPr>
        <w:t>若被检产品明示的质量要求缺少本细则中检验项目依据的推荐性标准要求时，该项目不参与判定。</w:t>
      </w:r>
    </w:p>
    <w:p w14:paraId="198B9D7A">
      <w:pPr>
        <w:spacing w:line="580" w:lineRule="exact"/>
        <w:ind w:right="131" w:rightChars="41" w:firstLine="7420" w:firstLineChars="2650"/>
        <w:rPr>
          <w:rFonts w:hint="eastAsia"/>
          <w:color w:val="000000"/>
          <w:sz w:val="28"/>
          <w:szCs w:val="30"/>
        </w:rPr>
      </w:pPr>
    </w:p>
    <w:p w14:paraId="35F3822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D83470"/>
    <w:rsid w:val="56D83470"/>
    <w:rsid w:val="726E71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2026-07-07T02:18:00Z</dcterms:created>
  <dc:creator>刘金棠</dc:creator>
  <cp:lastModifiedBy>刘金棠</cp:lastModifiedBy>
  <dcterms:modified xsi:type="dcterms:W3CDTF">2026-07-07T03:02:29Z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ADD53B62F30C4154B4BD2D67D74958AC_11</vt:lpwstr>
  </property>
</Properties>
</file>