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664AC">
      <w:pPr>
        <w:pStyle w:val="16"/>
        <w:snapToGrid w:val="0"/>
        <w:spacing w:line="600" w:lineRule="exact"/>
        <w:jc w:val="center"/>
        <w:rPr>
          <w:rFonts w:eastAsia="方正小标宋简体"/>
          <w:sz w:val="44"/>
          <w:szCs w:val="44"/>
        </w:rPr>
      </w:pPr>
      <w:r>
        <w:rPr>
          <w:rFonts w:hint="eastAsia" w:eastAsia="方正小标宋简体"/>
          <w:sz w:val="44"/>
          <w:szCs w:val="44"/>
        </w:rPr>
        <w:t>云浮市云城区202</w:t>
      </w:r>
      <w:r>
        <w:rPr>
          <w:rFonts w:hint="eastAsia" w:eastAsia="方正小标宋简体"/>
          <w:sz w:val="44"/>
          <w:szCs w:val="44"/>
          <w:lang w:val="en-US" w:eastAsia="zh-CN"/>
        </w:rPr>
        <w:t>5</w:t>
      </w:r>
      <w:r>
        <w:rPr>
          <w:rFonts w:hint="eastAsia" w:eastAsia="方正小标宋简体"/>
          <w:sz w:val="44"/>
          <w:szCs w:val="44"/>
        </w:rPr>
        <w:t>年度城镇国有建设用地标定地价更新项目成果政策解读</w:t>
      </w:r>
    </w:p>
    <w:p w14:paraId="5A410CD3">
      <w:pPr>
        <w:pStyle w:val="16"/>
        <w:snapToGrid w:val="0"/>
        <w:spacing w:line="600" w:lineRule="exact"/>
        <w:ind w:firstLine="640" w:firstLineChars="200"/>
        <w:rPr>
          <w:rFonts w:eastAsia="仿宋_GB2312"/>
          <w:sz w:val="32"/>
        </w:rPr>
      </w:pPr>
    </w:p>
    <w:p w14:paraId="0C95DBB0">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经云浮市人民政府批准，</w:t>
      </w:r>
      <w:r>
        <w:rPr>
          <w:rFonts w:hint="eastAsia" w:ascii="仿宋_GB2312" w:hAnsi="仿宋_GB2312" w:eastAsia="仿宋_GB2312" w:cs="仿宋_GB2312"/>
          <w:sz w:val="32"/>
          <w:highlight w:val="none"/>
        </w:rPr>
        <w:t>我市将从202</w:t>
      </w:r>
      <w:r>
        <w:rPr>
          <w:rFonts w:hint="eastAsia" w:ascii="仿宋_GB2312" w:hAnsi="仿宋_GB2312" w:eastAsia="仿宋_GB2312" w:cs="仿宋_GB2312"/>
          <w:sz w:val="32"/>
          <w:highlight w:val="none"/>
          <w:lang w:val="en-US" w:eastAsia="zh-CN"/>
        </w:rPr>
        <w:t>6</w:t>
      </w:r>
      <w:r>
        <w:rPr>
          <w:rFonts w:hint="eastAsia" w:ascii="仿宋_GB2312" w:hAnsi="仿宋_GB2312" w:eastAsia="仿宋_GB2312" w:cs="仿宋_GB2312"/>
          <w:sz w:val="32"/>
          <w:highlight w:val="none"/>
        </w:rPr>
        <w:t>年</w:t>
      </w:r>
      <w:r>
        <w:rPr>
          <w:rFonts w:hint="eastAsia" w:ascii="仿宋_GB2312" w:hAnsi="仿宋_GB2312" w:eastAsia="仿宋_GB2312" w:cs="仿宋_GB2312"/>
          <w:sz w:val="32"/>
          <w:highlight w:val="none"/>
          <w:lang w:val="en-US" w:eastAsia="zh-CN"/>
        </w:rPr>
        <w:t>6</w:t>
      </w:r>
      <w:r>
        <w:rPr>
          <w:rFonts w:hint="eastAsia" w:ascii="仿宋_GB2312" w:hAnsi="仿宋_GB2312" w:eastAsia="仿宋_GB2312" w:cs="仿宋_GB2312"/>
          <w:sz w:val="32"/>
          <w:highlight w:val="none"/>
        </w:rPr>
        <w:t>月</w:t>
      </w:r>
      <w:r>
        <w:rPr>
          <w:rFonts w:hint="eastAsia" w:ascii="仿宋_GB2312" w:hAnsi="仿宋_GB2312" w:eastAsia="仿宋_GB2312" w:cs="仿宋_GB2312"/>
          <w:sz w:val="32"/>
          <w:highlight w:val="none"/>
          <w:lang w:val="en-US" w:eastAsia="zh-CN"/>
        </w:rPr>
        <w:t>9</w:t>
      </w:r>
      <w:r>
        <w:rPr>
          <w:rFonts w:hint="eastAsia" w:ascii="仿宋_GB2312" w:hAnsi="仿宋_GB2312" w:eastAsia="仿宋_GB2312" w:cs="仿宋_GB2312"/>
          <w:sz w:val="32"/>
          <w:highlight w:val="none"/>
        </w:rPr>
        <w:t>日起</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rPr>
        <w:t>实施估价期日为202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年1月1日的</w:t>
      </w:r>
      <w:r>
        <w:rPr>
          <w:rFonts w:hint="eastAsia" w:ascii="仿宋_GB2312" w:hAnsi="仿宋_GB2312" w:eastAsia="仿宋_GB2312" w:cs="仿宋_GB2312"/>
          <w:sz w:val="32"/>
          <w:lang w:eastAsia="zh-CN"/>
        </w:rPr>
        <w:t>云浮市云城区</w:t>
      </w:r>
      <w:r>
        <w:rPr>
          <w:rFonts w:hint="eastAsia" w:ascii="仿宋_GB2312" w:hAnsi="仿宋_GB2312" w:eastAsia="仿宋_GB2312" w:cs="仿宋_GB2312"/>
          <w:sz w:val="32"/>
          <w:lang w:val="en-US" w:eastAsia="zh-CN"/>
        </w:rPr>
        <w:t>2025年度城镇</w:t>
      </w:r>
      <w:r>
        <w:rPr>
          <w:rFonts w:hint="eastAsia" w:ascii="仿宋_GB2312" w:hAnsi="仿宋_GB2312" w:eastAsia="仿宋_GB2312" w:cs="仿宋_GB2312"/>
          <w:sz w:val="32"/>
        </w:rPr>
        <w:t>国有建设用地标定地价更新成果。</w:t>
      </w:r>
    </w:p>
    <w:p w14:paraId="6C19AB07">
      <w:pPr>
        <w:pStyle w:val="16"/>
        <w:snapToGrid w:val="0"/>
        <w:spacing w:line="600" w:lineRule="exact"/>
        <w:ind w:firstLine="640" w:firstLineChars="200"/>
        <w:outlineLvl w:val="0"/>
        <w:rPr>
          <w:rFonts w:eastAsia="黑体"/>
          <w:sz w:val="32"/>
        </w:rPr>
      </w:pPr>
      <w:r>
        <w:rPr>
          <w:rFonts w:eastAsia="黑体"/>
          <w:sz w:val="32"/>
        </w:rPr>
        <w:t>一、</w:t>
      </w:r>
      <w:r>
        <w:rPr>
          <w:rFonts w:hint="eastAsia" w:eastAsia="黑体"/>
          <w:sz w:val="32"/>
        </w:rPr>
        <w:t>标定地价成果更新依据</w:t>
      </w:r>
      <w:bookmarkStart w:id="1" w:name="_GoBack"/>
      <w:bookmarkEnd w:id="1"/>
    </w:p>
    <w:p w14:paraId="2FC31F4F">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根据《中华人民共和国城市房地产管理法》第三十三条“基准地价、标定地价和各类房屋的重置价格应当定期确定并公布”以及《广东省国有建设用地使用权交易市场管理规定》（粤府令第304号）第二十二条</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市、县人民政府自然资源主管部门应当加强国有建设用地使用权交易市场地价监测监管，健全政府公示地价体系，定期更新和发布基准地价、标定地价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。我市云城区</w:t>
      </w:r>
      <w:r>
        <w:rPr>
          <w:rFonts w:hint="eastAsia" w:ascii="仿宋_GB2312" w:hAnsi="仿宋_GB2312" w:eastAsia="仿宋_GB2312" w:cs="仿宋_GB2312"/>
          <w:sz w:val="32"/>
          <w:lang w:val="en-US" w:eastAsia="zh-CN"/>
        </w:rPr>
        <w:t>已更新的</w:t>
      </w:r>
      <w:r>
        <w:rPr>
          <w:rFonts w:hint="eastAsia" w:ascii="仿宋_GB2312" w:hAnsi="仿宋_GB2312" w:eastAsia="仿宋_GB2312" w:cs="仿宋_GB2312"/>
          <w:sz w:val="32"/>
        </w:rPr>
        <w:t>标定地价为估价期日202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年1月1日的成果，估价期日现已超</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年，本次202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年度标定地价更新工作有利于健全云浮市云城区公示地价体系，及时反映国有建设用地使用权出让价格的动态变化，优化土地资源配置。</w:t>
      </w:r>
    </w:p>
    <w:p w14:paraId="6B94E599">
      <w:pPr>
        <w:pStyle w:val="16"/>
        <w:snapToGrid w:val="0"/>
        <w:spacing w:line="600" w:lineRule="exact"/>
        <w:ind w:firstLine="640" w:firstLineChars="200"/>
        <w:outlineLvl w:val="0"/>
        <w:rPr>
          <w:rFonts w:eastAsia="黑体"/>
          <w:sz w:val="32"/>
        </w:rPr>
      </w:pPr>
      <w:r>
        <w:rPr>
          <w:rFonts w:hint="eastAsia" w:eastAsia="黑体"/>
          <w:sz w:val="32"/>
        </w:rPr>
        <w:t>二</w:t>
      </w:r>
      <w:r>
        <w:rPr>
          <w:rFonts w:eastAsia="黑体"/>
          <w:sz w:val="32"/>
        </w:rPr>
        <w:t>、</w:t>
      </w:r>
      <w:r>
        <w:rPr>
          <w:rFonts w:hint="eastAsia" w:eastAsia="黑体"/>
          <w:sz w:val="32"/>
        </w:rPr>
        <w:t>标定地价的概念</w:t>
      </w:r>
    </w:p>
    <w:p w14:paraId="4A391EDC">
      <w:pPr>
        <w:pStyle w:val="16"/>
        <w:snapToGrid w:val="0"/>
        <w:spacing w:line="600" w:lineRule="exact"/>
        <w:ind w:firstLine="640" w:firstLineChars="200"/>
        <w:rPr>
          <w:rFonts w:eastAsia="仿宋_GB2312"/>
          <w:sz w:val="32"/>
        </w:rPr>
      </w:pPr>
      <w:r>
        <w:rPr>
          <w:rFonts w:hint="eastAsia" w:eastAsia="仿宋_GB2312"/>
          <w:sz w:val="32"/>
        </w:rPr>
        <w:t>标定地价是政府为管理需要确定的，标准宗地在现状开发利用、正常市场条件、法定最高使用年期或政策规定年期下，某一估价期日的土地权利价格。</w:t>
      </w:r>
    </w:p>
    <w:p w14:paraId="0C61B691">
      <w:pPr>
        <w:pStyle w:val="16"/>
        <w:snapToGrid w:val="0"/>
        <w:spacing w:line="600" w:lineRule="exact"/>
        <w:ind w:firstLine="640" w:firstLineChars="200"/>
        <w:rPr>
          <w:rFonts w:eastAsia="仿宋_GB2312"/>
          <w:sz w:val="32"/>
        </w:rPr>
      </w:pPr>
      <w:r>
        <w:rPr>
          <w:rFonts w:hint="eastAsia" w:eastAsia="仿宋_GB2312"/>
          <w:sz w:val="32"/>
        </w:rPr>
        <w:t>标定地价是我国法定公示地价体系的一部分，是宗地地价中一定地域范围内设定的土地质量、个别条件、土地利用效益以及反映的地价水平等具有代表性和易辨性，可作为该区域中地价比较标准的若干地块的价格，它反映的是更微观的具体宗地的价格。</w:t>
      </w:r>
    </w:p>
    <w:p w14:paraId="1BA58795">
      <w:pPr>
        <w:pStyle w:val="16"/>
        <w:snapToGrid w:val="0"/>
        <w:spacing w:line="600" w:lineRule="exact"/>
        <w:ind w:firstLine="640" w:firstLineChars="200"/>
        <w:outlineLvl w:val="0"/>
        <w:rPr>
          <w:rFonts w:eastAsia="黑体"/>
          <w:sz w:val="32"/>
        </w:rPr>
      </w:pPr>
      <w:r>
        <w:rPr>
          <w:rFonts w:hint="eastAsia" w:eastAsia="黑体"/>
          <w:sz w:val="32"/>
        </w:rPr>
        <w:t>三</w:t>
      </w:r>
      <w:r>
        <w:rPr>
          <w:rFonts w:eastAsia="黑体"/>
          <w:sz w:val="32"/>
        </w:rPr>
        <w:t>、</w:t>
      </w:r>
      <w:r>
        <w:rPr>
          <w:rFonts w:hint="eastAsia" w:eastAsia="黑体"/>
          <w:sz w:val="32"/>
        </w:rPr>
        <w:t>标定地价编制的依据</w:t>
      </w:r>
    </w:p>
    <w:p w14:paraId="384F2DBB">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1.《中华人民共和国土地管理法》（2019年8月26日第十三届全国人民代表大会常务委员会第十二次会议修订，自2020年1月1日起施行）；</w:t>
      </w:r>
    </w:p>
    <w:p w14:paraId="509A272A">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2.《中华人民共和国城市房地产管理法》（2019年8月26日第十三届全国人民代表大会常务委员会第十二次会议修订，自2020年1月1日起施行）；</w:t>
      </w:r>
    </w:p>
    <w:p w14:paraId="44DD53FE">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3.《广东省人民政府关于印发广东省土地要素市场化配置改革行动方案的通知》（粤府函〔2022〕301 号）；</w:t>
      </w:r>
    </w:p>
    <w:p w14:paraId="5386386F">
      <w:pPr>
        <w:pStyle w:val="16"/>
        <w:snapToGrid w:val="0"/>
        <w:spacing w:line="60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4.《广东省国有建设用地使用权交易市场管理规定》（粤府令第304号）；</w:t>
      </w:r>
    </w:p>
    <w:p w14:paraId="79EC1A07">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.《城市地价动态监测技术规范》（TD/T 1009-2007）；</w:t>
      </w:r>
    </w:p>
    <w:p w14:paraId="712E9EB4">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w:t>
      </w:r>
      <w:bookmarkStart w:id="0" w:name="OLE_LINK17"/>
      <w:r>
        <w:rPr>
          <w:rFonts w:hint="eastAsia" w:ascii="仿宋_GB2312" w:hAnsi="仿宋_GB2312" w:eastAsia="仿宋_GB2312" w:cs="仿宋_GB2312"/>
          <w:sz w:val="32"/>
        </w:rPr>
        <w:t>《标定地价规程》（TD/T 1052-2017）</w:t>
      </w:r>
      <w:bookmarkEnd w:id="0"/>
      <w:r>
        <w:rPr>
          <w:rFonts w:hint="eastAsia" w:ascii="仿宋_GB2312" w:hAnsi="仿宋_GB2312" w:eastAsia="仿宋_GB2312" w:cs="仿宋_GB2312"/>
          <w:sz w:val="32"/>
        </w:rPr>
        <w:t xml:space="preserve">； </w:t>
      </w:r>
    </w:p>
    <w:p w14:paraId="248B613E">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.《土地利用现状分类》（GB/T 21010-2017）；</w:t>
      </w:r>
    </w:p>
    <w:p w14:paraId="314DCCAF">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.《自然资源分等定级通则》（TD/T 1060-2021）；</w:t>
      </w:r>
    </w:p>
    <w:p w14:paraId="10B227EC">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.《自然资源价格评估通则》（TD/T 1061-2021）；</w:t>
      </w:r>
    </w:p>
    <w:p w14:paraId="1DB2541D">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w:t>
      </w:r>
      <w:r>
        <w:rPr>
          <w:rFonts w:hint="eastAsia" w:ascii="仿宋_GB2312" w:hAnsi="仿宋_GB2312" w:eastAsia="仿宋_GB2312" w:cs="仿宋_GB2312"/>
        </w:rPr>
        <w:t xml:space="preserve"> </w:t>
      </w:r>
      <w:r>
        <w:rPr>
          <w:rFonts w:hint="eastAsia" w:ascii="仿宋_GB2312" w:hAnsi="仿宋_GB2312" w:eastAsia="仿宋_GB2312" w:cs="仿宋_GB2312"/>
          <w:sz w:val="32"/>
        </w:rPr>
        <w:t>《自然资源部关于印发&lt;国土空间 调查、规划、用途管制用地用海分类指南&gt;的通知》（自然资发〔2023〕234号）；</w:t>
      </w:r>
    </w:p>
    <w:p w14:paraId="5D51AC08">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.《土地估价参数调查测算指引》（T/CREVA 1101-2023）；</w:t>
      </w:r>
    </w:p>
    <w:p w14:paraId="2141A465">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.城市发展规划、房地产市场状况；</w:t>
      </w:r>
    </w:p>
    <w:p w14:paraId="6E4C8956">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.国家、省和地方其他文件依据。</w:t>
      </w:r>
    </w:p>
    <w:p w14:paraId="093D8F7F">
      <w:pPr>
        <w:pStyle w:val="16"/>
        <w:keepNext/>
        <w:widowControl/>
        <w:snapToGrid w:val="0"/>
        <w:spacing w:line="600" w:lineRule="exact"/>
        <w:ind w:firstLine="640" w:firstLineChars="200"/>
        <w:outlineLvl w:val="0"/>
        <w:rPr>
          <w:rFonts w:eastAsia="黑体"/>
          <w:sz w:val="32"/>
        </w:rPr>
      </w:pPr>
      <w:r>
        <w:rPr>
          <w:rFonts w:hint="eastAsia" w:eastAsia="黑体"/>
          <w:sz w:val="32"/>
        </w:rPr>
        <w:t>四</w:t>
      </w:r>
      <w:r>
        <w:rPr>
          <w:rFonts w:eastAsia="黑体"/>
          <w:sz w:val="32"/>
        </w:rPr>
        <w:t>、</w:t>
      </w:r>
      <w:r>
        <w:rPr>
          <w:rFonts w:hint="eastAsia" w:eastAsia="黑体"/>
          <w:sz w:val="32"/>
        </w:rPr>
        <w:t>标定地价编制过程</w:t>
      </w:r>
    </w:p>
    <w:p w14:paraId="19B6BA4E">
      <w:pPr>
        <w:pStyle w:val="16"/>
        <w:snapToGrid w:val="0"/>
        <w:spacing w:line="600" w:lineRule="exact"/>
        <w:ind w:firstLine="640" w:firstLineChars="200"/>
        <w:rPr>
          <w:rFonts w:eastAsia="仿宋_GB2312"/>
          <w:sz w:val="32"/>
        </w:rPr>
      </w:pPr>
      <w:r>
        <w:rPr>
          <w:rFonts w:hint="eastAsia" w:eastAsia="仿宋_GB2312"/>
          <w:sz w:val="32"/>
        </w:rPr>
        <w:t>按照自然资源评价评估工作的相关技术规程和要求，编制单位组织专业技术人员进行外业调查，经过多方资料收集归纳、内业处理和成果编制。成果通过意见征询（含局内、</w:t>
      </w:r>
      <w:r>
        <w:rPr>
          <w:rFonts w:hint="eastAsia" w:ascii="仿宋_GB2312" w:hAnsi="仿宋_GB2312" w:eastAsia="仿宋_GB2312" w:cs="仿宋_GB2312"/>
          <w:sz w:val="32"/>
        </w:rPr>
        <w:t>外单位征询意见和社会公开征求意见）、公开听证、市级评</w:t>
      </w:r>
      <w:r>
        <w:rPr>
          <w:rFonts w:hint="eastAsia" w:eastAsia="仿宋_GB2312"/>
          <w:sz w:val="32"/>
        </w:rPr>
        <w:t>审验收后，上报市政府审批及公布实施。</w:t>
      </w:r>
    </w:p>
    <w:p w14:paraId="1215FA89">
      <w:pPr>
        <w:pStyle w:val="16"/>
        <w:snapToGrid w:val="0"/>
        <w:spacing w:line="600" w:lineRule="exact"/>
        <w:ind w:firstLine="640" w:firstLineChars="200"/>
        <w:outlineLvl w:val="0"/>
        <w:rPr>
          <w:rFonts w:eastAsia="黑体"/>
          <w:sz w:val="32"/>
        </w:rPr>
      </w:pPr>
      <w:r>
        <w:rPr>
          <w:rFonts w:hint="eastAsia" w:eastAsia="黑体"/>
          <w:sz w:val="32"/>
        </w:rPr>
        <w:t>五</w:t>
      </w:r>
      <w:r>
        <w:rPr>
          <w:rFonts w:eastAsia="黑体"/>
          <w:sz w:val="32"/>
        </w:rPr>
        <w:t>、</w:t>
      </w:r>
      <w:r>
        <w:rPr>
          <w:rFonts w:hint="eastAsia" w:eastAsia="黑体"/>
          <w:sz w:val="32"/>
        </w:rPr>
        <w:t>标定地价更新的意义</w:t>
      </w:r>
    </w:p>
    <w:p w14:paraId="70391616">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1.进一步完善公示地价体系； </w:t>
      </w:r>
    </w:p>
    <w:p w14:paraId="59112C4C">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2.进一步规范地产交易主体行为，引导地产市场有序地运行；</w:t>
      </w:r>
    </w:p>
    <w:p w14:paraId="02DD4571">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3.促进城镇土地合理配置，有助于建立公平、公开的地产市场；</w:t>
      </w:r>
    </w:p>
    <w:p w14:paraId="7DBDADC1">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4.有助于评估宗地地价；可应用于出让地评估、土地资产处置、土地资产抵押、税费确定依据等，为社会和企业认定估价结果提供参考。</w:t>
      </w:r>
    </w:p>
    <w:p w14:paraId="70BFBDAC">
      <w:pPr>
        <w:pStyle w:val="16"/>
        <w:keepNext/>
        <w:widowControl/>
        <w:snapToGrid w:val="0"/>
        <w:spacing w:line="600" w:lineRule="exact"/>
        <w:ind w:firstLine="640" w:firstLineChars="200"/>
        <w:outlineLvl w:val="0"/>
        <w:rPr>
          <w:rFonts w:eastAsia="黑体"/>
          <w:sz w:val="32"/>
        </w:rPr>
      </w:pPr>
      <w:r>
        <w:rPr>
          <w:rFonts w:hint="eastAsia" w:eastAsia="黑体"/>
          <w:sz w:val="32"/>
        </w:rPr>
        <w:t>六</w:t>
      </w:r>
      <w:r>
        <w:rPr>
          <w:rFonts w:eastAsia="黑体"/>
          <w:sz w:val="32"/>
        </w:rPr>
        <w:t>、</w:t>
      </w:r>
      <w:r>
        <w:rPr>
          <w:rFonts w:hint="eastAsia" w:eastAsia="黑体"/>
          <w:sz w:val="32"/>
        </w:rPr>
        <w:t>标定地价更新重要调整内容</w:t>
      </w:r>
    </w:p>
    <w:p w14:paraId="06DC6A4C">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1.调整估价期日</w:t>
      </w:r>
    </w:p>
    <w:p w14:paraId="50E68DFF">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本次标定地价估价期日由202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年1月1日调整为202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年1月1日。</w:t>
      </w:r>
    </w:p>
    <w:p w14:paraId="37E245CE">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2.调整公示范围、标定区域、标准宗地</w:t>
      </w:r>
    </w:p>
    <w:p w14:paraId="7E9CC553">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（1）公示范围调整：本次标定地价成果更新的公示范围为云浮市云城区云城街道、高峰街道、河口街道、安塘街道、思劳镇、腰古镇、南盛镇、前锋镇共八个镇街的140个标定区域连接构成的空间范围，面积为</w:t>
      </w:r>
      <w:r>
        <w:rPr>
          <w:rFonts w:hint="eastAsia" w:ascii="仿宋_GB2312" w:hAnsi="仿宋_GB2312" w:eastAsia="仿宋_GB2312" w:cs="仿宋_GB2312"/>
          <w:sz w:val="32"/>
          <w:lang w:val="en-US" w:eastAsia="zh-CN"/>
        </w:rPr>
        <w:t>44.93</w:t>
      </w:r>
      <w:r>
        <w:rPr>
          <w:rFonts w:hint="eastAsia" w:ascii="仿宋_GB2312" w:hAnsi="仿宋_GB2312" w:eastAsia="仿宋_GB2312" w:cs="仿宋_GB2312"/>
          <w:sz w:val="32"/>
        </w:rPr>
        <w:t>平方公里。与202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年标定地价项目公示范围（140个标定区域，面积4</w:t>
      </w:r>
      <w:r>
        <w:rPr>
          <w:rFonts w:hint="eastAsia" w:ascii="仿宋_GB2312" w:hAnsi="仿宋_GB2312" w:eastAsia="仿宋_GB2312" w:cs="仿宋_GB2312"/>
          <w:sz w:val="32"/>
          <w:lang w:val="en-US" w:eastAsia="zh-CN"/>
        </w:rPr>
        <w:t>3.11</w:t>
      </w:r>
      <w:r>
        <w:rPr>
          <w:rFonts w:hint="eastAsia" w:ascii="仿宋_GB2312" w:hAnsi="仿宋_GB2312" w:eastAsia="仿宋_GB2312" w:cs="仿宋_GB2312"/>
          <w:sz w:val="32"/>
        </w:rPr>
        <w:t>平方公里）相比，公示范围面积增加了</w:t>
      </w:r>
      <w:r>
        <w:rPr>
          <w:rFonts w:hint="eastAsia" w:ascii="仿宋_GB2312" w:hAnsi="仿宋_GB2312" w:eastAsia="仿宋_GB2312" w:cs="仿宋_GB2312"/>
          <w:sz w:val="32"/>
          <w:lang w:val="en-US" w:eastAsia="zh-CN"/>
        </w:rPr>
        <w:t>1.82</w:t>
      </w:r>
      <w:r>
        <w:rPr>
          <w:rFonts w:hint="eastAsia" w:ascii="仿宋_GB2312" w:hAnsi="仿宋_GB2312" w:eastAsia="仿宋_GB2312" w:cs="仿宋_GB2312"/>
          <w:sz w:val="32"/>
        </w:rPr>
        <w:t>平方公里。</w:t>
      </w:r>
    </w:p>
    <w:p w14:paraId="5F4B0B05">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（2）标定区域调整：本次标定地价更新共调整更新原标定区域</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个，没有新增标定区域情况。评估对象用途划分为商服用地、住宅用地、商住混合用地、工业用地、公共管理与公共服务用地和公用设施用地共六种用途。</w:t>
      </w:r>
    </w:p>
    <w:p w14:paraId="5CF2A10C">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（3）标准宗地调整：本次标定地价成果公示共140个标准宗地。</w:t>
      </w:r>
    </w:p>
    <w:p w14:paraId="63192837">
      <w:pPr>
        <w:pStyle w:val="16"/>
        <w:widowControl/>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3.云浮市云城区标定地价整体地价水平</w:t>
      </w:r>
    </w:p>
    <w:p w14:paraId="5728C489">
      <w:pPr>
        <w:pStyle w:val="3"/>
        <w:widowControl/>
        <w:numPr>
          <w:ilvl w:val="0"/>
          <w:numId w:val="1"/>
        </w:numPr>
        <w:adjustRightInd w:val="0"/>
        <w:snapToGrid w:val="0"/>
        <w:spacing w:before="78" w:beforeLines="25" w:after="78" w:afterLines="25" w:line="240" w:lineRule="auto"/>
        <w:jc w:val="center"/>
        <w:outlineLvl w:val="4"/>
        <w:rPr>
          <w:rFonts w:ascii="Times New Roman" w:hAnsi="Times New Roman" w:eastAsia="仿宋_GB2312"/>
          <w:b/>
          <w:bCs/>
          <w:sz w:val="28"/>
          <w:szCs w:val="28"/>
        </w:rPr>
      </w:pPr>
      <w:r>
        <w:rPr>
          <w:rFonts w:ascii="Times New Roman" w:hAnsi="Times New Roman" w:eastAsia="仿宋_GB2312"/>
          <w:b/>
          <w:bCs/>
          <w:sz w:val="28"/>
          <w:szCs w:val="28"/>
        </w:rPr>
        <w:t>云浮市云城区</w:t>
      </w:r>
      <w:r>
        <w:rPr>
          <w:rFonts w:hint="eastAsia" w:ascii="Times New Roman" w:hAnsi="Times New Roman" w:eastAsia="仿宋_GB2312"/>
          <w:b/>
          <w:bCs/>
          <w:sz w:val="28"/>
          <w:szCs w:val="28"/>
        </w:rPr>
        <w:t>202</w:t>
      </w:r>
      <w:r>
        <w:rPr>
          <w:rFonts w:hint="eastAsia" w:ascii="Times New Roman" w:hAnsi="Times New Roman" w:eastAsia="仿宋_GB2312"/>
          <w:b/>
          <w:bCs/>
          <w:sz w:val="28"/>
          <w:szCs w:val="28"/>
          <w:lang w:val="en-US" w:eastAsia="zh-CN"/>
        </w:rPr>
        <w:t>5</w:t>
      </w:r>
      <w:r>
        <w:rPr>
          <w:rFonts w:hint="eastAsia" w:ascii="Times New Roman" w:hAnsi="Times New Roman" w:eastAsia="仿宋_GB2312"/>
          <w:b/>
          <w:bCs/>
          <w:sz w:val="28"/>
          <w:szCs w:val="28"/>
        </w:rPr>
        <w:t>年度</w:t>
      </w:r>
      <w:r>
        <w:rPr>
          <w:rFonts w:ascii="Times New Roman" w:hAnsi="Times New Roman" w:eastAsia="仿宋_GB2312"/>
          <w:b/>
          <w:bCs/>
          <w:sz w:val="28"/>
          <w:szCs w:val="28"/>
        </w:rPr>
        <w:t>标定地价水平</w:t>
      </w:r>
    </w:p>
    <w:p w14:paraId="52088D97">
      <w:pPr>
        <w:adjustRightInd w:val="0"/>
        <w:snapToGrid w:val="0"/>
        <w:jc w:val="right"/>
        <w:rPr>
          <w:rFonts w:eastAsia="仿宋_GB2312"/>
          <w:sz w:val="24"/>
        </w:rPr>
      </w:pPr>
      <w:r>
        <w:rPr>
          <w:rFonts w:eastAsia="仿宋_GB2312"/>
          <w:sz w:val="24"/>
        </w:rPr>
        <w:t>单位：元/</w:t>
      </w:r>
      <w:r>
        <w:rPr>
          <w:sz w:val="24"/>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1787"/>
        <w:gridCol w:w="1665"/>
        <w:gridCol w:w="1844"/>
      </w:tblGrid>
      <w:tr w14:paraId="4098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tcBorders>
              <w:tl2br w:val="single" w:color="auto" w:sz="4" w:space="0"/>
            </w:tcBorders>
            <w:vAlign w:val="center"/>
          </w:tcPr>
          <w:p w14:paraId="2D2CC12F">
            <w:pPr>
              <w:widowControl/>
              <w:snapToGrid w:val="0"/>
              <w:spacing w:beforeLines="0" w:after="0" w:afterLines="0" w:line="240" w:lineRule="auto"/>
              <w:ind w:firstLine="0" w:firstLineChars="0"/>
              <w:jc w:val="right"/>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地价</w:t>
            </w:r>
          </w:p>
          <w:p w14:paraId="28FBEE0F">
            <w:pPr>
              <w:widowControl/>
              <w:snapToGrid w:val="0"/>
              <w:spacing w:beforeLines="0" w:after="0" w:afterLines="0" w:line="240" w:lineRule="auto"/>
              <w:ind w:firstLine="0" w:firstLineChars="0"/>
              <w:jc w:val="left"/>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土地用途</w:t>
            </w:r>
          </w:p>
        </w:tc>
        <w:tc>
          <w:tcPr>
            <w:tcW w:w="1048" w:type="pct"/>
            <w:vAlign w:val="center"/>
          </w:tcPr>
          <w:p w14:paraId="63E881F3">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平均地价水平</w:t>
            </w:r>
          </w:p>
        </w:tc>
        <w:tc>
          <w:tcPr>
            <w:tcW w:w="976" w:type="pct"/>
            <w:vAlign w:val="center"/>
          </w:tcPr>
          <w:p w14:paraId="69CE3293">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地价区间</w:t>
            </w:r>
          </w:p>
        </w:tc>
        <w:tc>
          <w:tcPr>
            <w:tcW w:w="1081" w:type="pct"/>
            <w:vAlign w:val="center"/>
          </w:tcPr>
          <w:p w14:paraId="26770F70">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价格类型</w:t>
            </w:r>
          </w:p>
        </w:tc>
      </w:tr>
      <w:tr w14:paraId="5258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vAlign w:val="center"/>
          </w:tcPr>
          <w:p w14:paraId="2542506F">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商服用地</w:t>
            </w:r>
          </w:p>
        </w:tc>
        <w:tc>
          <w:tcPr>
            <w:tcW w:w="1048" w:type="pct"/>
            <w:vAlign w:val="center"/>
          </w:tcPr>
          <w:p w14:paraId="7C146F2A">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1960</w:t>
            </w:r>
          </w:p>
        </w:tc>
        <w:tc>
          <w:tcPr>
            <w:tcW w:w="976" w:type="pct"/>
            <w:vAlign w:val="center"/>
          </w:tcPr>
          <w:p w14:paraId="36F98AFB">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cs="Times New Roman"/>
                <w:color w:val="auto"/>
                <w:sz w:val="24"/>
                <w:szCs w:val="24"/>
                <w:lang w:val="en-US" w:eastAsia="zh-CN"/>
              </w:rPr>
              <w:t>707~2933</w:t>
            </w:r>
          </w:p>
        </w:tc>
        <w:tc>
          <w:tcPr>
            <w:tcW w:w="1081" w:type="pct"/>
            <w:vMerge w:val="restart"/>
            <w:vAlign w:val="center"/>
          </w:tcPr>
          <w:p w14:paraId="1E55883E">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color w:val="auto"/>
                <w:spacing w:val="10"/>
                <w:kern w:val="0"/>
                <w:sz w:val="24"/>
                <w:szCs w:val="24"/>
                <w:lang w:val="en-US" w:eastAsia="zh-CN" w:bidi="en-US"/>
              </w:rPr>
            </w:pPr>
            <w:r>
              <w:rPr>
                <w:rFonts w:hint="eastAsia" w:ascii="仿宋_GB2312" w:hAnsi="仿宋_GB2312" w:eastAsia="仿宋_GB2312" w:cs="仿宋_GB2312"/>
                <w:color w:val="auto"/>
                <w:spacing w:val="10"/>
                <w:kern w:val="0"/>
                <w:sz w:val="24"/>
                <w:szCs w:val="24"/>
                <w:lang w:val="en-US" w:eastAsia="zh-CN" w:bidi="en-US"/>
              </w:rPr>
              <w:t>平均楼面地价</w:t>
            </w:r>
          </w:p>
        </w:tc>
      </w:tr>
      <w:tr w14:paraId="4479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vAlign w:val="center"/>
          </w:tcPr>
          <w:p w14:paraId="24E07914">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住宅用地</w:t>
            </w:r>
          </w:p>
        </w:tc>
        <w:tc>
          <w:tcPr>
            <w:tcW w:w="1048" w:type="pct"/>
            <w:vAlign w:val="center"/>
          </w:tcPr>
          <w:p w14:paraId="5291BB4C">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1724</w:t>
            </w:r>
          </w:p>
        </w:tc>
        <w:tc>
          <w:tcPr>
            <w:tcW w:w="976" w:type="pct"/>
            <w:vAlign w:val="center"/>
          </w:tcPr>
          <w:p w14:paraId="3BCB33F1">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cs="Times New Roman"/>
                <w:color w:val="auto"/>
                <w:sz w:val="24"/>
                <w:szCs w:val="24"/>
                <w:lang w:val="en-US" w:eastAsia="zh-CN"/>
              </w:rPr>
              <w:t>1126~1889</w:t>
            </w:r>
          </w:p>
        </w:tc>
        <w:tc>
          <w:tcPr>
            <w:tcW w:w="1081" w:type="pct"/>
            <w:vMerge w:val="continue"/>
            <w:vAlign w:val="center"/>
          </w:tcPr>
          <w:p w14:paraId="7D947C83">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color w:val="auto"/>
                <w:spacing w:val="10"/>
                <w:kern w:val="0"/>
                <w:sz w:val="24"/>
                <w:szCs w:val="24"/>
                <w:lang w:val="en-US" w:eastAsia="zh-CN" w:bidi="en-US"/>
              </w:rPr>
            </w:pPr>
          </w:p>
        </w:tc>
      </w:tr>
      <w:tr w14:paraId="7192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vAlign w:val="center"/>
          </w:tcPr>
          <w:p w14:paraId="0C774634">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商住混合用地</w:t>
            </w:r>
          </w:p>
        </w:tc>
        <w:tc>
          <w:tcPr>
            <w:tcW w:w="1048" w:type="pct"/>
            <w:vAlign w:val="center"/>
          </w:tcPr>
          <w:p w14:paraId="56CCDE5B">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1719</w:t>
            </w:r>
          </w:p>
        </w:tc>
        <w:tc>
          <w:tcPr>
            <w:tcW w:w="976" w:type="pct"/>
            <w:vAlign w:val="center"/>
          </w:tcPr>
          <w:p w14:paraId="0C7B1C02">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cs="Times New Roman"/>
                <w:color w:val="auto"/>
                <w:sz w:val="24"/>
                <w:szCs w:val="24"/>
                <w:lang w:val="en-US" w:eastAsia="zh-CN"/>
              </w:rPr>
              <w:t>432~3523</w:t>
            </w:r>
          </w:p>
        </w:tc>
        <w:tc>
          <w:tcPr>
            <w:tcW w:w="1081" w:type="pct"/>
            <w:vMerge w:val="continue"/>
            <w:vAlign w:val="center"/>
          </w:tcPr>
          <w:p w14:paraId="69EE2F1F">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color w:val="auto"/>
                <w:spacing w:val="10"/>
                <w:kern w:val="0"/>
                <w:sz w:val="24"/>
                <w:szCs w:val="24"/>
                <w:lang w:val="en-US" w:eastAsia="zh-CN" w:bidi="en-US"/>
              </w:rPr>
            </w:pPr>
          </w:p>
        </w:tc>
      </w:tr>
      <w:tr w14:paraId="2F2C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vAlign w:val="center"/>
          </w:tcPr>
          <w:p w14:paraId="23FDC771">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工业用地</w:t>
            </w:r>
          </w:p>
        </w:tc>
        <w:tc>
          <w:tcPr>
            <w:tcW w:w="1048" w:type="pct"/>
            <w:vAlign w:val="center"/>
          </w:tcPr>
          <w:p w14:paraId="59D8F086">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373</w:t>
            </w:r>
          </w:p>
        </w:tc>
        <w:tc>
          <w:tcPr>
            <w:tcW w:w="976" w:type="pct"/>
            <w:vAlign w:val="center"/>
          </w:tcPr>
          <w:p w14:paraId="7290208A">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cs="Times New Roman"/>
                <w:color w:val="auto"/>
                <w:sz w:val="24"/>
                <w:szCs w:val="24"/>
                <w:lang w:val="en-US" w:eastAsia="zh-CN"/>
              </w:rPr>
              <w:t>214~2545</w:t>
            </w:r>
          </w:p>
        </w:tc>
        <w:tc>
          <w:tcPr>
            <w:tcW w:w="1081" w:type="pct"/>
            <w:vAlign w:val="center"/>
          </w:tcPr>
          <w:p w14:paraId="1E3D4280">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color w:val="auto"/>
                <w:spacing w:val="10"/>
                <w:kern w:val="0"/>
                <w:sz w:val="24"/>
                <w:szCs w:val="24"/>
                <w:lang w:val="en-US" w:eastAsia="zh-CN" w:bidi="en-US"/>
              </w:rPr>
            </w:pPr>
            <w:r>
              <w:rPr>
                <w:rFonts w:hint="eastAsia" w:ascii="仿宋_GB2312" w:hAnsi="仿宋_GB2312" w:eastAsia="仿宋_GB2312" w:cs="仿宋_GB2312"/>
                <w:color w:val="auto"/>
                <w:spacing w:val="10"/>
                <w:kern w:val="0"/>
                <w:sz w:val="24"/>
                <w:szCs w:val="24"/>
                <w:lang w:val="en-US" w:eastAsia="zh-CN" w:bidi="en-US"/>
              </w:rPr>
              <w:t>地面地价</w:t>
            </w:r>
          </w:p>
        </w:tc>
      </w:tr>
      <w:tr w14:paraId="7BBB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vAlign w:val="center"/>
          </w:tcPr>
          <w:p w14:paraId="6784118B">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公共管理与公共服务用地</w:t>
            </w:r>
          </w:p>
        </w:tc>
        <w:tc>
          <w:tcPr>
            <w:tcW w:w="1048" w:type="pct"/>
            <w:vAlign w:val="center"/>
          </w:tcPr>
          <w:p w14:paraId="50A1DD22">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194</w:t>
            </w:r>
          </w:p>
        </w:tc>
        <w:tc>
          <w:tcPr>
            <w:tcW w:w="976" w:type="pct"/>
            <w:vAlign w:val="center"/>
          </w:tcPr>
          <w:p w14:paraId="6CAD40CF">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194</w:t>
            </w:r>
          </w:p>
        </w:tc>
        <w:tc>
          <w:tcPr>
            <w:tcW w:w="1081" w:type="pct"/>
            <w:vAlign w:val="center"/>
          </w:tcPr>
          <w:p w14:paraId="4D9C2EC6">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color w:val="auto"/>
                <w:spacing w:val="10"/>
                <w:kern w:val="0"/>
                <w:sz w:val="24"/>
                <w:szCs w:val="24"/>
                <w:lang w:val="en-US" w:eastAsia="zh-CN" w:bidi="en-US"/>
              </w:rPr>
            </w:pPr>
            <w:r>
              <w:rPr>
                <w:rFonts w:hint="eastAsia" w:ascii="仿宋_GB2312" w:hAnsi="仿宋_GB2312" w:eastAsia="仿宋_GB2312" w:cs="仿宋_GB2312"/>
                <w:color w:val="auto"/>
                <w:spacing w:val="10"/>
                <w:kern w:val="0"/>
                <w:sz w:val="24"/>
                <w:szCs w:val="24"/>
                <w:lang w:val="en-US" w:eastAsia="zh-CN" w:bidi="en-US"/>
              </w:rPr>
              <w:t>平均楼面地价</w:t>
            </w:r>
          </w:p>
        </w:tc>
      </w:tr>
      <w:tr w14:paraId="70E8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92" w:type="pct"/>
            <w:vAlign w:val="center"/>
          </w:tcPr>
          <w:p w14:paraId="588F0AA2">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b/>
                <w:bCs/>
                <w:color w:val="auto"/>
                <w:spacing w:val="10"/>
                <w:kern w:val="0"/>
                <w:sz w:val="24"/>
                <w:szCs w:val="24"/>
                <w:lang w:val="en-US" w:eastAsia="zh-CN" w:bidi="en-US"/>
              </w:rPr>
            </w:pPr>
            <w:r>
              <w:rPr>
                <w:rFonts w:hint="eastAsia" w:ascii="仿宋_GB2312" w:hAnsi="仿宋_GB2312" w:eastAsia="仿宋_GB2312" w:cs="仿宋_GB2312"/>
                <w:b/>
                <w:bCs/>
                <w:color w:val="auto"/>
                <w:spacing w:val="10"/>
                <w:kern w:val="0"/>
                <w:sz w:val="24"/>
                <w:szCs w:val="24"/>
                <w:lang w:val="en-US" w:eastAsia="zh-CN" w:bidi="en-US"/>
              </w:rPr>
              <w:t>公用设施用地</w:t>
            </w:r>
          </w:p>
        </w:tc>
        <w:tc>
          <w:tcPr>
            <w:tcW w:w="1048" w:type="pct"/>
            <w:vAlign w:val="center"/>
          </w:tcPr>
          <w:p w14:paraId="0297DB45">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eastAsia="仿宋_GB2312" w:cs="Times New Roman"/>
                <w:color w:val="auto"/>
                <w:spacing w:val="10"/>
                <w:kern w:val="0"/>
                <w:sz w:val="24"/>
                <w:szCs w:val="24"/>
                <w:lang w:val="en-US" w:eastAsia="zh-CN" w:bidi="en-US"/>
              </w:rPr>
              <w:t>473</w:t>
            </w:r>
          </w:p>
        </w:tc>
        <w:tc>
          <w:tcPr>
            <w:tcW w:w="976" w:type="pct"/>
            <w:vAlign w:val="center"/>
          </w:tcPr>
          <w:p w14:paraId="16C3A78E">
            <w:pPr>
              <w:widowControl/>
              <w:snapToGrid w:val="0"/>
              <w:spacing w:beforeLines="0" w:after="0" w:afterLines="0" w:line="240" w:lineRule="auto"/>
              <w:ind w:firstLine="0" w:firstLineChars="0"/>
              <w:jc w:val="center"/>
              <w:textAlignment w:val="auto"/>
              <w:rPr>
                <w:rFonts w:hint="default" w:ascii="Times New Roman" w:hAnsi="Times New Roman" w:eastAsia="仿宋_GB2312" w:cs="Times New Roman"/>
                <w:color w:val="auto"/>
                <w:spacing w:val="10"/>
                <w:kern w:val="0"/>
                <w:sz w:val="24"/>
                <w:szCs w:val="24"/>
                <w:lang w:val="en-US" w:eastAsia="zh-CN" w:bidi="en-US"/>
              </w:rPr>
            </w:pPr>
            <w:r>
              <w:rPr>
                <w:rFonts w:hint="default" w:ascii="Times New Roman" w:hAnsi="Times New Roman" w:cs="Times New Roman"/>
                <w:color w:val="auto"/>
                <w:sz w:val="24"/>
                <w:szCs w:val="24"/>
                <w:lang w:val="en-US" w:eastAsia="zh-CN"/>
              </w:rPr>
              <w:t>291~534</w:t>
            </w:r>
          </w:p>
        </w:tc>
        <w:tc>
          <w:tcPr>
            <w:tcW w:w="1081" w:type="pct"/>
            <w:vAlign w:val="center"/>
          </w:tcPr>
          <w:p w14:paraId="6AFFC2FC">
            <w:pPr>
              <w:widowControl/>
              <w:snapToGrid w:val="0"/>
              <w:spacing w:beforeLines="0" w:after="0" w:afterLines="0" w:line="240" w:lineRule="auto"/>
              <w:ind w:firstLine="0" w:firstLineChars="0"/>
              <w:jc w:val="center"/>
              <w:textAlignment w:val="auto"/>
              <w:rPr>
                <w:rFonts w:hint="eastAsia" w:ascii="仿宋_GB2312" w:hAnsi="仿宋_GB2312" w:eastAsia="仿宋_GB2312" w:cs="仿宋_GB2312"/>
                <w:color w:val="auto"/>
                <w:spacing w:val="10"/>
                <w:kern w:val="0"/>
                <w:sz w:val="24"/>
                <w:szCs w:val="24"/>
                <w:lang w:val="en-US" w:eastAsia="zh-CN" w:bidi="en-US"/>
              </w:rPr>
            </w:pPr>
            <w:r>
              <w:rPr>
                <w:rFonts w:hint="eastAsia" w:ascii="仿宋_GB2312" w:hAnsi="仿宋_GB2312" w:eastAsia="仿宋_GB2312" w:cs="仿宋_GB2312"/>
                <w:color w:val="auto"/>
                <w:spacing w:val="10"/>
                <w:kern w:val="0"/>
                <w:sz w:val="24"/>
                <w:szCs w:val="24"/>
                <w:lang w:val="en-US" w:eastAsia="zh-CN" w:bidi="en-US"/>
              </w:rPr>
              <w:t>地面地价</w:t>
            </w:r>
          </w:p>
        </w:tc>
      </w:tr>
    </w:tbl>
    <w:p w14:paraId="15B5E19B">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eastAsia="仿宋_GB2312"/>
          <w:szCs w:val="21"/>
        </w:rPr>
      </w:pPr>
      <w:r>
        <w:rPr>
          <w:rFonts w:hint="eastAsia" w:eastAsia="仿宋_GB2312"/>
          <w:szCs w:val="21"/>
        </w:rPr>
        <w:t>注：1.纳入统计分析的标准宗地宗数为140宗；</w:t>
      </w:r>
    </w:p>
    <w:p w14:paraId="7D9CC48E">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eastAsia="仿宋_GB2312"/>
          <w:szCs w:val="21"/>
        </w:rPr>
      </w:pPr>
      <w:r>
        <w:rPr>
          <w:rFonts w:hint="eastAsia" w:eastAsia="仿宋_GB2312"/>
          <w:szCs w:val="21"/>
        </w:rPr>
        <w:t>2</w:t>
      </w:r>
      <w:r>
        <w:rPr>
          <w:rFonts w:eastAsia="仿宋_GB2312"/>
          <w:szCs w:val="21"/>
        </w:rPr>
        <w:t>.</w:t>
      </w:r>
      <w:r>
        <w:rPr>
          <w:rFonts w:hint="eastAsia" w:eastAsia="仿宋_GB2312"/>
          <w:szCs w:val="21"/>
        </w:rPr>
        <w:t>平均水平的统计口径为标准宗地净用地面积或总计容建筑面积。其中，工业用地和公用设施用地的平均地价水平通过各用途标准宗地总地价除以各用途的净用地面积之和得出；其他用途的平均地价水平通过各用途标准宗地总地价除以各用途的总计容建筑面积之和得出。</w:t>
      </w:r>
    </w:p>
    <w:p w14:paraId="022D8635">
      <w:pPr>
        <w:pStyle w:val="16"/>
        <w:snapToGrid w:val="0"/>
        <w:spacing w:line="600" w:lineRule="exact"/>
        <w:ind w:firstLine="640" w:firstLineChars="200"/>
        <w:outlineLvl w:val="0"/>
        <w:rPr>
          <w:rFonts w:eastAsia="黑体"/>
          <w:sz w:val="32"/>
        </w:rPr>
      </w:pPr>
      <w:r>
        <w:rPr>
          <w:rFonts w:hint="eastAsia" w:eastAsia="黑体"/>
          <w:sz w:val="32"/>
        </w:rPr>
        <w:t>七</w:t>
      </w:r>
      <w:r>
        <w:rPr>
          <w:rFonts w:eastAsia="黑体"/>
          <w:sz w:val="32"/>
        </w:rPr>
        <w:t>、</w:t>
      </w:r>
      <w:r>
        <w:rPr>
          <w:rFonts w:hint="eastAsia" w:eastAsia="黑体"/>
          <w:sz w:val="32"/>
        </w:rPr>
        <w:t>标定地价查询路径</w:t>
      </w:r>
    </w:p>
    <w:p w14:paraId="2782543B">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登陆云浮市自然资源局官网→频道首页→土地管理→关键字（搜索“202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年度标定地价”）。</w:t>
      </w:r>
    </w:p>
    <w:p w14:paraId="4DE61F05">
      <w:pPr>
        <w:pStyle w:val="16"/>
        <w:keepNext/>
        <w:widowControl/>
        <w:snapToGrid w:val="0"/>
        <w:spacing w:line="600" w:lineRule="exact"/>
        <w:ind w:firstLine="640" w:firstLineChars="200"/>
        <w:outlineLvl w:val="0"/>
        <w:rPr>
          <w:rFonts w:eastAsia="黑体"/>
          <w:sz w:val="32"/>
        </w:rPr>
      </w:pPr>
      <w:r>
        <w:rPr>
          <w:rFonts w:hint="eastAsia" w:eastAsia="黑体"/>
          <w:sz w:val="32"/>
        </w:rPr>
        <w:t>八</w:t>
      </w:r>
      <w:r>
        <w:rPr>
          <w:rFonts w:eastAsia="黑体"/>
          <w:sz w:val="32"/>
        </w:rPr>
        <w:t>、</w:t>
      </w:r>
      <w:r>
        <w:rPr>
          <w:rFonts w:hint="eastAsia" w:eastAsia="黑体"/>
          <w:sz w:val="32"/>
        </w:rPr>
        <w:t>标定地价如何参考使用</w:t>
      </w:r>
    </w:p>
    <w:p w14:paraId="1040ED84">
      <w:pPr>
        <w:pStyle w:val="16"/>
        <w:snapToGrid w:val="0"/>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根据所需查询的价格时点确定适用的标定地价成果，再根据具体地址及用途所在对应用途标定区域，获取其标准宗地的标定地价。标定地价系数修正法仅适用于待估宗地位于标定地价公示范围内，按照《城镇土地估价规程》（GB/T 18508-2014）的要求，选取合适的3宗或3宗以上标准宗地的标定地价各自参照标定地价的修正体系修正后的地价进行算术平均或加权平均计算得出待估宗地宗地价格。</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03537B1">
        <w:pPr>
          <w:pStyle w:val="6"/>
          <w:jc w:val="center"/>
        </w:pPr>
        <w:r>
          <w:fldChar w:fldCharType="begin"/>
        </w:r>
        <w:r>
          <w:instrText xml:space="preserve">PAGE   \* MERGEFORMAT</w:instrText>
        </w:r>
        <w:r>
          <w:fldChar w:fldCharType="separate"/>
        </w:r>
        <w:r>
          <w:rPr>
            <w:lang w:val="zh-CN"/>
          </w:rPr>
          <w:t>2</w:t>
        </w:r>
        <w:r>
          <w:fldChar w:fldCharType="end"/>
        </w:r>
      </w:p>
    </w:sdtContent>
  </w:sdt>
  <w:p w14:paraId="24A6561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57A2B"/>
    <w:multiLevelType w:val="multilevel"/>
    <w:tmpl w:val="59457A2B"/>
    <w:lvl w:ilvl="0" w:tentative="0">
      <w:start w:val="1"/>
      <w:numFmt w:val="decimal"/>
      <w:lvlText w:val="表1-%1"/>
      <w:lvlJc w:val="left"/>
      <w:pPr>
        <w:ind w:left="420" w:hanging="420"/>
      </w:pPr>
      <w:rPr>
        <w:rFonts w:hint="eastAsia"/>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GMyNWRhZGM5MmU5MWMxY2QyY2FjN2UwNjVhN2IifQ=="/>
  </w:docVars>
  <w:rsids>
    <w:rsidRoot w:val="00192E3F"/>
    <w:rsid w:val="0003284C"/>
    <w:rsid w:val="0003363B"/>
    <w:rsid w:val="00055C99"/>
    <w:rsid w:val="0006477C"/>
    <w:rsid w:val="00083A49"/>
    <w:rsid w:val="000A2FEE"/>
    <w:rsid w:val="000F2E56"/>
    <w:rsid w:val="000F7580"/>
    <w:rsid w:val="0016043F"/>
    <w:rsid w:val="001654BB"/>
    <w:rsid w:val="0018602A"/>
    <w:rsid w:val="00192E3F"/>
    <w:rsid w:val="001B4BE2"/>
    <w:rsid w:val="0021622F"/>
    <w:rsid w:val="00217739"/>
    <w:rsid w:val="00217D28"/>
    <w:rsid w:val="00243D2F"/>
    <w:rsid w:val="0025284D"/>
    <w:rsid w:val="00294E17"/>
    <w:rsid w:val="00297653"/>
    <w:rsid w:val="002A4E14"/>
    <w:rsid w:val="00371B89"/>
    <w:rsid w:val="00377B23"/>
    <w:rsid w:val="003B40DA"/>
    <w:rsid w:val="003E4808"/>
    <w:rsid w:val="004150BE"/>
    <w:rsid w:val="00425FEB"/>
    <w:rsid w:val="00441B25"/>
    <w:rsid w:val="00457045"/>
    <w:rsid w:val="00457CA9"/>
    <w:rsid w:val="00486F9B"/>
    <w:rsid w:val="004B200B"/>
    <w:rsid w:val="004C24AA"/>
    <w:rsid w:val="004C4EAE"/>
    <w:rsid w:val="004C6A66"/>
    <w:rsid w:val="004D6EC5"/>
    <w:rsid w:val="00517A76"/>
    <w:rsid w:val="00541DB9"/>
    <w:rsid w:val="005537A1"/>
    <w:rsid w:val="00555C3E"/>
    <w:rsid w:val="00603258"/>
    <w:rsid w:val="0061286A"/>
    <w:rsid w:val="00634761"/>
    <w:rsid w:val="006666D9"/>
    <w:rsid w:val="00673253"/>
    <w:rsid w:val="00691216"/>
    <w:rsid w:val="00706692"/>
    <w:rsid w:val="00713ED0"/>
    <w:rsid w:val="00755608"/>
    <w:rsid w:val="007B7FD3"/>
    <w:rsid w:val="007C3C80"/>
    <w:rsid w:val="007C5815"/>
    <w:rsid w:val="00870A1E"/>
    <w:rsid w:val="008A365A"/>
    <w:rsid w:val="008B3EF7"/>
    <w:rsid w:val="008D438A"/>
    <w:rsid w:val="008D7C9C"/>
    <w:rsid w:val="008F1339"/>
    <w:rsid w:val="008F2D8B"/>
    <w:rsid w:val="00904759"/>
    <w:rsid w:val="0093747B"/>
    <w:rsid w:val="00950078"/>
    <w:rsid w:val="009907BC"/>
    <w:rsid w:val="009C04F4"/>
    <w:rsid w:val="009F17AA"/>
    <w:rsid w:val="00A50E0A"/>
    <w:rsid w:val="00A52C61"/>
    <w:rsid w:val="00A72DF0"/>
    <w:rsid w:val="00AA618D"/>
    <w:rsid w:val="00AA6DC1"/>
    <w:rsid w:val="00AB118D"/>
    <w:rsid w:val="00AC58DB"/>
    <w:rsid w:val="00B523E5"/>
    <w:rsid w:val="00B91287"/>
    <w:rsid w:val="00B9359A"/>
    <w:rsid w:val="00BA14B4"/>
    <w:rsid w:val="00BB5A97"/>
    <w:rsid w:val="00BE13C9"/>
    <w:rsid w:val="00C515DF"/>
    <w:rsid w:val="00C74591"/>
    <w:rsid w:val="00C839C5"/>
    <w:rsid w:val="00C91DDE"/>
    <w:rsid w:val="00CC7AD6"/>
    <w:rsid w:val="00CD30E6"/>
    <w:rsid w:val="00CE60E2"/>
    <w:rsid w:val="00D15C75"/>
    <w:rsid w:val="00D46FD5"/>
    <w:rsid w:val="00D8646D"/>
    <w:rsid w:val="00DB5170"/>
    <w:rsid w:val="00E00FF2"/>
    <w:rsid w:val="00E2747A"/>
    <w:rsid w:val="00E543D6"/>
    <w:rsid w:val="00E70FC4"/>
    <w:rsid w:val="00E72646"/>
    <w:rsid w:val="00E84110"/>
    <w:rsid w:val="00E859BB"/>
    <w:rsid w:val="00EA45EE"/>
    <w:rsid w:val="00EF6FE0"/>
    <w:rsid w:val="00F50224"/>
    <w:rsid w:val="00F63BBE"/>
    <w:rsid w:val="00FA390F"/>
    <w:rsid w:val="00FF7F53"/>
    <w:rsid w:val="03766107"/>
    <w:rsid w:val="03C2134C"/>
    <w:rsid w:val="06EC3DD0"/>
    <w:rsid w:val="09141E30"/>
    <w:rsid w:val="0B9E7886"/>
    <w:rsid w:val="0ED33F38"/>
    <w:rsid w:val="0EEB3D07"/>
    <w:rsid w:val="1BC64867"/>
    <w:rsid w:val="2E036E43"/>
    <w:rsid w:val="2E9E4D16"/>
    <w:rsid w:val="2FF654C0"/>
    <w:rsid w:val="33C70135"/>
    <w:rsid w:val="39216B01"/>
    <w:rsid w:val="3DF70AFD"/>
    <w:rsid w:val="4D391625"/>
    <w:rsid w:val="4D623FFF"/>
    <w:rsid w:val="4FFE0F7F"/>
    <w:rsid w:val="53277E51"/>
    <w:rsid w:val="54E82C59"/>
    <w:rsid w:val="556F3D31"/>
    <w:rsid w:val="5DF1562A"/>
    <w:rsid w:val="5F3D814F"/>
    <w:rsid w:val="611125A6"/>
    <w:rsid w:val="62500A46"/>
    <w:rsid w:val="629F3EDD"/>
    <w:rsid w:val="63DE703D"/>
    <w:rsid w:val="6C4B0F21"/>
    <w:rsid w:val="6E2BBF96"/>
    <w:rsid w:val="737F445D"/>
    <w:rsid w:val="73B6FC59"/>
    <w:rsid w:val="789D06DA"/>
    <w:rsid w:val="7CCA0125"/>
    <w:rsid w:val="7EFF3D22"/>
    <w:rsid w:val="7FDD2420"/>
    <w:rsid w:val="9F7B3EA7"/>
    <w:rsid w:val="B6C2E8F8"/>
    <w:rsid w:val="C5C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styleId="2">
    <w:name w:val="heading 3"/>
    <w:basedOn w:val="1"/>
    <w:next w:val="1"/>
    <w:link w:val="22"/>
    <w:unhideWhenUsed/>
    <w:qFormat/>
    <w:uiPriority w:val="0"/>
    <w:pPr>
      <w:widowControl w:val="0"/>
      <w:spacing w:beforeLines="25" w:afterLines="25" w:line="300" w:lineRule="auto"/>
      <w:ind w:firstLine="723" w:firstLineChars="200"/>
      <w:jc w:val="both"/>
      <w:outlineLvl w:val="2"/>
    </w:pPr>
    <w:rPr>
      <w:rFonts w:eastAsia="仿宋_GB2312"/>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widowControl w:val="0"/>
      <w:spacing w:line="312" w:lineRule="auto"/>
      <w:ind w:firstLine="482"/>
      <w:jc w:val="both"/>
    </w:pPr>
    <w:rPr>
      <w:rFonts w:ascii="Arial" w:hAnsi="Arial" w:eastAsia="黑体"/>
      <w:sz w:val="20"/>
      <w:szCs w:val="21"/>
    </w:rPr>
  </w:style>
  <w:style w:type="paragraph" w:styleId="4">
    <w:name w:val="annotation text"/>
    <w:basedOn w:val="1"/>
    <w:link w:val="17"/>
    <w:unhideWhenUsed/>
    <w:qFormat/>
    <w:uiPriority w:val="99"/>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正文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customStyle="1" w:styleId="17">
    <w:name w:val="批注文字 字符"/>
    <w:basedOn w:val="11"/>
    <w:link w:val="4"/>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5"/>
    <w:semiHidden/>
    <w:qFormat/>
    <w:uiPriority w:val="99"/>
    <w:rPr>
      <w:sz w:val="18"/>
      <w:szCs w:val="18"/>
    </w:rPr>
  </w:style>
  <w:style w:type="paragraph" w:customStyle="1" w:styleId="20">
    <w:name w:val="00-正文"/>
    <w:link w:val="21"/>
    <w:qFormat/>
    <w:uiPriority w:val="0"/>
    <w:pPr>
      <w:widowControl w:val="0"/>
      <w:spacing w:after="160" w:line="560" w:lineRule="exact"/>
      <w:ind w:firstLine="200" w:firstLineChars="200"/>
      <w:jc w:val="both"/>
      <w:textAlignment w:val="center"/>
    </w:pPr>
    <w:rPr>
      <w:rFonts w:ascii="Times New Roman" w:hAnsi="Times New Roman" w:eastAsia="仿宋_GB2312" w:cs="Times New Roman"/>
      <w:sz w:val="28"/>
      <w:szCs w:val="22"/>
      <w:lang w:val="zh-CN" w:eastAsia="zh-CN" w:bidi="ar-SA"/>
    </w:rPr>
  </w:style>
  <w:style w:type="character" w:customStyle="1" w:styleId="21">
    <w:name w:val="00-正文 Char"/>
    <w:link w:val="20"/>
    <w:qFormat/>
    <w:uiPriority w:val="0"/>
    <w:rPr>
      <w:rFonts w:ascii="Times New Roman" w:hAnsi="Times New Roman" w:eastAsia="仿宋_GB2312" w:cs="Times New Roman"/>
      <w:kern w:val="0"/>
      <w:sz w:val="28"/>
      <w:lang w:val="zh-CN"/>
    </w:rPr>
  </w:style>
  <w:style w:type="character" w:customStyle="1" w:styleId="22">
    <w:name w:val="标题 3 字符"/>
    <w:basedOn w:val="11"/>
    <w:link w:val="2"/>
    <w:qFormat/>
    <w:uiPriority w:val="0"/>
    <w:rPr>
      <w:rFonts w:ascii="Times New Roman" w:hAnsi="Times New Roman" w:eastAsia="仿宋_GB2312" w:cs="Times New Roman"/>
      <w:b/>
      <w:bCs/>
      <w:sz w:val="24"/>
      <w:szCs w:val="32"/>
    </w:rPr>
  </w:style>
  <w:style w:type="paragraph" w:customStyle="1" w:styleId="23">
    <w:name w:val="00正文模板"/>
    <w:basedOn w:val="1"/>
    <w:qFormat/>
    <w:uiPriority w:val="0"/>
    <w:pPr>
      <w:adjustRightInd w:val="0"/>
      <w:snapToGrid w:val="0"/>
      <w:spacing w:line="360" w:lineRule="auto"/>
      <w:ind w:firstLine="200" w:firstLineChars="200"/>
      <w:jc w:val="both"/>
    </w:pPr>
    <w:rPr>
      <w:rFonts w:ascii="仿宋_GB2312" w:eastAsia="仿宋_GB2312"/>
      <w:spacing w:val="10"/>
      <w:kern w:val="0"/>
      <w:sz w:val="28"/>
      <w:szCs w:val="22"/>
      <w:lang w:bidi="en-US"/>
    </w:rPr>
  </w:style>
  <w:style w:type="paragraph" w:customStyle="1" w:styleId="24">
    <w:name w:val="07－图表号"/>
    <w:link w:val="25"/>
    <w:qFormat/>
    <w:uiPriority w:val="0"/>
    <w:pPr>
      <w:spacing w:after="160" w:line="360" w:lineRule="auto"/>
      <w:jc w:val="center"/>
    </w:pPr>
    <w:rPr>
      <w:rFonts w:ascii="Times New Roman" w:hAnsi="Times New Roman" w:eastAsia="仿宋_GB2312" w:cs="Times New Roman"/>
      <w:b/>
      <w:spacing w:val="6"/>
      <w:kern w:val="28"/>
      <w:sz w:val="24"/>
      <w:szCs w:val="28"/>
      <w:lang w:val="en-US" w:eastAsia="zh-CN" w:bidi="ar-SA"/>
    </w:rPr>
  </w:style>
  <w:style w:type="character" w:customStyle="1" w:styleId="25">
    <w:name w:val="07－图表号 Char"/>
    <w:link w:val="24"/>
    <w:qFormat/>
    <w:uiPriority w:val="0"/>
    <w:rPr>
      <w:rFonts w:ascii="Times New Roman" w:hAnsi="Times New Roman" w:eastAsia="仿宋_GB2312" w:cs="Times New Roman"/>
      <w:b/>
      <w:spacing w:val="6"/>
      <w:kern w:val="28"/>
      <w:sz w:val="24"/>
      <w:szCs w:val="28"/>
    </w:rPr>
  </w:style>
  <w:style w:type="paragraph" w:customStyle="1" w:styleId="26">
    <w:name w:val="_Style 185"/>
    <w:qFormat/>
    <w:uiPriority w:val="0"/>
    <w:pPr>
      <w:widowControl w:val="0"/>
      <w:spacing w:beforeLines="30" w:after="160" w:afterLines="30" w:line="300" w:lineRule="auto"/>
      <w:ind w:firstLine="480" w:firstLineChars="200"/>
      <w:jc w:val="both"/>
    </w:pPr>
    <w:rPr>
      <w:rFonts w:ascii="Times New Roman" w:hAnsi="Times New Roman" w:eastAsia="仿宋_GB2312" w:cs="Times New Roman"/>
      <w:kern w:val="28"/>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2051</Words>
  <Characters>2291</Characters>
  <Lines>162</Lines>
  <Paragraphs>211</Paragraphs>
  <TotalTime>8</TotalTime>
  <ScaleCrop>false</ScaleCrop>
  <LinksUpToDate>false</LinksUpToDate>
  <CharactersWithSpaces>2307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2024-01-08T06:45:00Z</dcterms:created>
  <dc:creator>jmf</dc:creator>
  <cp:lastModifiedBy>木的平方</cp:lastModifiedBy>
  <cp:lastPrinted>2025-02-21T10:39:00Z</cp:lastPrinted>
  <dcterms:modified xsi:type="dcterms:W3CDTF">2026-06-09T09:06:02Z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741C0DAD41A942C0A8232CDA835D5BA3_13</vt:lpwstr>
  </property>
  <property fmtid="{D5CDD505-2E9C-101B-9397-08002B2CF9AE}" pid="4" name="KSOTemplateDocerSaveRecord">
    <vt:lpwstr>eyJoZGlkIjoiYjRhYzQxY2RkZmFiNjA4ZjJmYjQ5ZTY1MTgyN2ExZWEiLCJ1c2VySWQiOiIyNDIwMzI0OTcifQ==</vt:lpwstr>
  </property>
</Properties>
</file>