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1" w:name="_GoBack"/>
      <w:bookmarkStart w:id="0" w:name="_Toc202366368"/>
      <w:r>
        <w:rPr>
          <w:rFonts w:hint="eastAsia" w:ascii="宋体" w:hAnsi="宋体" w:eastAsia="宋体"/>
        </w:rPr>
        <w:t>【3】个人独资企业通过普通程序注销登记提交材料规范</w:t>
      </w:r>
      <w:bookmarkEnd w:id="0"/>
    </w:p>
    <w:bookmarkEnd w:id="1"/>
    <w:p>
      <w:pPr>
        <w:widowControl/>
        <w:tabs>
          <w:tab w:val="left" w:pos="312"/>
        </w:tabs>
        <w:overflowPunct w:val="0"/>
        <w:spacing w:line="420" w:lineRule="exact"/>
        <w:ind w:left="480"/>
        <w:outlineLvl w:val="9"/>
        <w:rPr>
          <w:rFonts w:ascii="宋体" w:hAnsi="宋体"/>
          <w:bCs/>
          <w:szCs w:val="24"/>
        </w:rPr>
      </w:pPr>
      <w:r>
        <w:rPr>
          <w:rFonts w:hint="eastAsia" w:ascii="宋体" w:hAnsi="宋体" w:eastAsia="宋体" w:cs="仿宋_GB2312"/>
          <w:szCs w:val="24"/>
        </w:rPr>
        <w:t>1.《企业注销登记申请书（普通程序）》。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黑体" w:hAnsi="黑体" w:eastAsia="黑体"/>
          <w:szCs w:val="24"/>
          <w:highlight w:val="lightGray"/>
        </w:rPr>
      </w:pPr>
      <w:r>
        <w:rPr>
          <w:rFonts w:hint="eastAsia" w:ascii="宋体" w:hAnsi="宋体" w:eastAsia="宋体" w:cs="仿宋_GB2312"/>
          <w:szCs w:val="24"/>
        </w:rPr>
        <w:t>2.投资人或人民法院确认的清算报告。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/>
          <w:bCs/>
          <w:szCs w:val="24"/>
        </w:rPr>
      </w:pPr>
      <w:r>
        <w:rPr>
          <w:rFonts w:hint="eastAsia" w:ascii="宋体" w:hAnsi="宋体" w:eastAsia="宋体" w:cs="仿宋_GB2312"/>
          <w:szCs w:val="24"/>
        </w:rPr>
        <w:t>3.债权人公告（公告期60日）。投资人自行清算无法通知债权人的，应当发布债权人公告。</w:t>
      </w:r>
      <w:r>
        <w:rPr>
          <w:rFonts w:ascii="宋体" w:hAnsi="宋体" w:eastAsia="宋体" w:cs="仿宋_GB2312"/>
          <w:szCs w:val="24"/>
        </w:rPr>
        <w:t>通过国家企业信用信息公示系统</w:t>
      </w:r>
      <w:r>
        <w:rPr>
          <w:rFonts w:hint="eastAsia" w:ascii="宋体" w:hAnsi="宋体" w:eastAsia="宋体" w:cs="仿宋_GB2312"/>
          <w:szCs w:val="24"/>
        </w:rPr>
        <w:t>向社会</w:t>
      </w:r>
      <w:r>
        <w:rPr>
          <w:rFonts w:ascii="宋体" w:hAnsi="宋体" w:eastAsia="宋体" w:cs="仿宋_GB2312"/>
          <w:szCs w:val="24"/>
        </w:rPr>
        <w:t>发布债权人公告</w:t>
      </w:r>
      <w:r>
        <w:rPr>
          <w:rFonts w:hint="eastAsia" w:ascii="宋体" w:hAnsi="宋体" w:eastAsia="宋体" w:cs="仿宋_GB2312"/>
          <w:szCs w:val="24"/>
        </w:rPr>
        <w:t>的，无需提交公告材料。</w:t>
      </w:r>
      <w:r>
        <w:rPr>
          <w:rFonts w:ascii="宋体" w:hAnsi="宋体" w:eastAsia="宋体" w:cs="仿宋_GB2312"/>
          <w:szCs w:val="24"/>
        </w:rPr>
        <w:t>仅通过报纸发布</w:t>
      </w:r>
      <w:r>
        <w:rPr>
          <w:rFonts w:hint="eastAsia" w:ascii="宋体" w:hAnsi="宋体" w:eastAsia="宋体" w:cs="仿宋_GB2312"/>
          <w:szCs w:val="24"/>
        </w:rPr>
        <w:t>债权人公告</w:t>
      </w:r>
      <w:r>
        <w:rPr>
          <w:rFonts w:ascii="宋体" w:hAnsi="宋体" w:eastAsia="宋体" w:cs="仿宋_GB2312"/>
          <w:szCs w:val="24"/>
        </w:rPr>
        <w:t>的，需提交依法刊登公告的报纸样张。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4.清税证明材料。登记机关和税务部门已共享清税信息的，无需提交纸质清税证明材料。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hint="eastAsia" w:ascii="宋体" w:hAnsi="宋体"/>
          <w:bCs/>
          <w:szCs w:val="24"/>
        </w:rPr>
      </w:pPr>
      <w:r>
        <w:rPr>
          <w:rFonts w:hint="eastAsia" w:ascii="宋体" w:hAnsi="宋体" w:eastAsia="宋体" w:cs="仿宋_GB2312"/>
          <w:szCs w:val="24"/>
        </w:rPr>
        <w:t>5.提交申请材料的人员（经办人）的自然人身份证明复印件。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6.经人民法院裁定强制清算并终结强制清算程序后办理注销登记的，提交以下材料：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（1）本规范第1、5项材料；</w:t>
      </w:r>
    </w:p>
    <w:p>
      <w:pPr>
        <w:pStyle w:val="8"/>
        <w:adjustRightInd w:val="0"/>
        <w:snapToGrid w:val="0"/>
        <w:spacing w:line="420" w:lineRule="exact"/>
        <w:ind w:firstLine="480" w:firstLineChars="200"/>
        <w:contextualSpacing/>
        <w:jc w:val="left"/>
        <w:outlineLvl w:val="9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（2）人民法院终结强制清算程序的裁定（包括以无法清算或无法全面清算为由作出的裁定）。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7.清算人申请注销登记的，还应当提交人民法院指定其为清算人的证明文件。</w:t>
      </w:r>
    </w:p>
    <w:p>
      <w:pPr>
        <w:widowControl/>
        <w:overflowPunct w:val="0"/>
        <w:spacing w:line="420" w:lineRule="exact"/>
        <w:ind w:firstLine="480" w:firstLineChars="200"/>
        <w:outlineLvl w:val="9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8.法律、行政法规和国务院决定规定注销企业必须报经批准的，提交有关批准文件的复印件。</w:t>
      </w:r>
    </w:p>
    <w:p>
      <w:pPr>
        <w:pStyle w:val="7"/>
        <w:spacing w:line="420" w:lineRule="exact"/>
        <w:outlineLvl w:val="9"/>
      </w:pPr>
    </w:p>
    <w:p>
      <w:pPr>
        <w:pStyle w:val="7"/>
        <w:spacing w:line="420" w:lineRule="exact"/>
        <w:outlineLvl w:val="9"/>
        <w:rPr>
          <w:rFonts w:hint="eastAsia" w:ascii="宋体" w:hAnsi="宋体" w:eastAsia="宋体"/>
        </w:rPr>
      </w:pPr>
      <w:r>
        <w:rPr>
          <w:rFonts w:hint="eastAsia"/>
        </w:rPr>
        <w:t>注：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.依照《个人独资企业法》《市场主体登记管理条例》设立的个人独资企业，申请普通程序注销登记适用本规范。</w:t>
      </w:r>
    </w:p>
    <w:p>
      <w:pPr>
        <w:pStyle w:val="7"/>
        <w:spacing w:line="420" w:lineRule="exact"/>
        <w:outlineLvl w:val="9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</w:rPr>
        <w:t>2.已领取纸质版营业执照的缴回营业执照正、副本。</w:t>
      </w:r>
    </w:p>
    <w:p>
      <w:pPr>
        <w:outlineLvl w:val="9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A6A44EC"/>
    <w:rsid w:val="1AA17AB6"/>
    <w:rsid w:val="1D884F5D"/>
    <w:rsid w:val="1FF40688"/>
    <w:rsid w:val="34936269"/>
    <w:rsid w:val="38E52E0C"/>
    <w:rsid w:val="4B920BD1"/>
    <w:rsid w:val="5F434264"/>
    <w:rsid w:val="69AA4EE0"/>
    <w:rsid w:val="6AA162E3"/>
    <w:rsid w:val="71353C29"/>
    <w:rsid w:val="73350FE3"/>
    <w:rsid w:val="7564688B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885</Characters>
  <Lines>0</Lines>
  <Paragraphs>0</Paragraphs>
  <TotalTime>0</TotalTime>
  <ScaleCrop>false</ScaleCrop>
  <LinksUpToDate>false</LinksUpToDate>
  <CharactersWithSpaces>885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42ABBAA9520747E9823FE51C6D6F9F7E_13</vt:lpwstr>
  </property>
</Properties>
</file>