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  <w:bookmarkStart w:id="1" w:name="_GoBack"/>
      <w:bookmarkStart w:id="0" w:name="_Toc202366360"/>
      <w:r>
        <w:rPr>
          <w:rFonts w:hint="eastAsia" w:ascii="宋体" w:hAnsi="宋体" w:eastAsia="宋体" w:cs="宋体"/>
        </w:rPr>
        <w:t>【4】合伙企业通过普通程序注销登记提交材料规范</w:t>
      </w:r>
      <w:bookmarkEnd w:id="0"/>
    </w:p>
    <w:bookmarkEnd w:id="1"/>
    <w:p>
      <w:pPr>
        <w:pStyle w:val="7"/>
        <w:adjustRightInd w:val="0"/>
        <w:snapToGrid w:val="0"/>
        <w:spacing w:line="42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>1</w:t>
      </w:r>
      <w:r>
        <w:rPr>
          <w:rFonts w:hint="eastAsia" w:ascii="宋体" w:hAnsi="宋体" w:cs="仿宋_GB2312"/>
          <w:sz w:val="24"/>
          <w:szCs w:val="24"/>
        </w:rPr>
        <w:t>.</w:t>
      </w:r>
      <w:r>
        <w:rPr>
          <w:rFonts w:ascii="宋体" w:hAnsi="宋体" w:cs="仿宋_GB2312"/>
          <w:sz w:val="24"/>
          <w:szCs w:val="24"/>
        </w:rPr>
        <w:t>《企业注销登记申请书（普通程序）》。</w:t>
      </w:r>
    </w:p>
    <w:p>
      <w:pPr>
        <w:widowControl/>
        <w:overflowPunct w:val="0"/>
        <w:spacing w:line="420" w:lineRule="exact"/>
        <w:ind w:firstLine="480" w:firstLineChars="200"/>
        <w:contextualSpacing/>
        <w:jc w:val="left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2.合伙企业依照《合伙企业法》作出解散的决议或决定，或行政机关责令该合伙企业关闭、该合伙企业依法被吊销营业执照或被撤销的文件。</w:t>
      </w:r>
    </w:p>
    <w:p>
      <w:pPr>
        <w:widowControl/>
        <w:spacing w:line="420" w:lineRule="exact"/>
        <w:ind w:firstLine="480" w:firstLineChars="200"/>
        <w:contextualSpacing/>
        <w:jc w:val="left"/>
        <w:rPr>
          <w:rFonts w:ascii="宋体" w:hAnsi="宋体"/>
          <w:bCs/>
          <w:szCs w:val="24"/>
        </w:rPr>
      </w:pPr>
      <w:r>
        <w:rPr>
          <w:rFonts w:hint="eastAsia" w:ascii="宋体" w:hAnsi="宋体" w:eastAsia="宋体" w:cs="仿宋_GB2312"/>
          <w:szCs w:val="24"/>
        </w:rPr>
        <w:t>3.全体合伙人签署的清算报告。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4.债权人公告（公告期45日）。通过国家企业信用信息公示系统向社会发布债权人公告的，无需提供公告材料。仅通过报纸发布债权人公告的，需提交依法刊登公告的报纸样张。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5.</w:t>
      </w:r>
      <w:r>
        <w:rPr>
          <w:rFonts w:hint="eastAsia" w:ascii="宋体" w:hAnsi="宋体" w:cs="仿宋_GB2312"/>
          <w:sz w:val="24"/>
          <w:szCs w:val="24"/>
        </w:rPr>
        <w:t>清税证明材料。登记机关和税务部门已共享清税信息的，无需提交纸质清税证明材料。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6.提交申请材料的人员（经办人）的自然人身份证明复印件。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7.经人民法院裁定宣告破产并终结破产程序后办理注销登记的，提交以下材料：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（1）本规范第1、6项材料；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（2）人民法院宣告破产的裁定和终结破产程序的裁定。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8.经人民法院裁定强制清算并终结强制清算程序后办理注销登记的，提交以下材料：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（1）本规范第1、6项材料；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（2）人民法院终结强制清算程序的裁定（包括以无法清算或无法全面清算为由作出的裁定）。</w:t>
      </w:r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9.人民法院指定的清算人、破产管理人申请注销登记的，还应当提交人民法院指定其为清算人、破产管理人的证明文件。</w:t>
      </w:r>
    </w:p>
    <w:p>
      <w:pPr>
        <w:pStyle w:val="7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jc w:val="left"/>
        <w:rPr>
          <w:rFonts w:ascii="宋体" w:hAnsi="宋体" w:eastAsia="等线"/>
          <w:bCs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10.法律、行政法规和国务院决定规定注销企业必须报经批准的，提交有关批准文件的复印件。</w:t>
      </w:r>
    </w:p>
    <w:p>
      <w:pPr>
        <w:pStyle w:val="6"/>
        <w:spacing w:line="420" w:lineRule="exact"/>
      </w:pPr>
    </w:p>
    <w:p>
      <w:pPr>
        <w:pStyle w:val="6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.依照《合伙企业法》《外商投资法》《市场主体登记管理条例》设立的合伙企业，申请普通程序注销登记适用本规范。</w:t>
      </w:r>
    </w:p>
    <w:p>
      <w:pPr>
        <w:pStyle w:val="6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2.通过普通程序注销登记，合伙企业应当通过国家企业信用信息公示系统予以公告，公告期不少于45日。</w:t>
      </w:r>
    </w:p>
    <w:p>
      <w:pPr>
        <w:pStyle w:val="6"/>
        <w:spacing w:line="420" w:lineRule="exact"/>
        <w:rPr>
          <w:rFonts w:hint="eastAsia"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</w:rPr>
        <w:t>3.已领取纸质版营业执照的缴回营业执照正、副本。</w:t>
      </w:r>
    </w:p>
    <w:p>
      <w:pPr>
        <w:pStyle w:val="6"/>
        <w:spacing w:line="420" w:lineRule="exact"/>
        <w:rPr>
          <w:rFonts w:hint="eastAsia"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8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A6A44EC"/>
    <w:rsid w:val="1AA17AB6"/>
    <w:rsid w:val="34936269"/>
    <w:rsid w:val="38E52E0C"/>
    <w:rsid w:val="73350FE3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注释"/>
    <w:basedOn w:val="7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圆点标识"/>
    <w:basedOn w:val="7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584</Characters>
  <Lines>0</Lines>
  <Paragraphs>0</Paragraphs>
  <TotalTime>0</TotalTime>
  <ScaleCrop>false</ScaleCrop>
  <LinksUpToDate>false</LinksUpToDate>
  <CharactersWithSpaces>584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98C491E7F22244F2862E534B5FFC6CAB_13</vt:lpwstr>
  </property>
</Properties>
</file>