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/>
        </w:rPr>
      </w:pPr>
      <w:bookmarkStart w:id="0" w:name="_Toc202366349"/>
      <w:r>
        <w:rPr>
          <w:rFonts w:hint="eastAsia" w:ascii="宋体" w:hAnsi="宋体" w:eastAsia="宋体"/>
        </w:rPr>
        <w:t>【4】非公司企业法人通过普通程序注销登记提交材料规范</w:t>
      </w:r>
      <w:bookmarkEnd w:id="0"/>
    </w:p>
    <w:p>
      <w:pPr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1.《企业注销登记申请书（普通程序）》。</w:t>
      </w:r>
    </w:p>
    <w:p>
      <w:pPr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2.出资人（主管部门）批准该企业法人注销的文件，或人民法院裁判解散该企业法人的文书，或行政机关责令该企业法人关闭、该企业法人依法被吊销营业执照或被撤销的文件。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ascii="宋体" w:hAnsi="宋体" w:eastAsia="宋体" w:cs="仿宋_GB2312"/>
          <w:szCs w:val="24"/>
        </w:rPr>
        <w:t>3</w:t>
      </w:r>
      <w:r>
        <w:rPr>
          <w:rFonts w:hint="eastAsia" w:ascii="宋体" w:hAnsi="宋体" w:eastAsia="宋体" w:cs="仿宋_GB2312"/>
          <w:szCs w:val="24"/>
        </w:rPr>
        <w:t>.出资人（主管部门）、清算组出具的负责清理债权债务的文件，或经清算组、人民法院确认的清算报告。</w:t>
      </w:r>
    </w:p>
    <w:p>
      <w:pPr>
        <w:spacing w:line="420" w:lineRule="exact"/>
        <w:ind w:firstLine="480" w:firstLineChars="200"/>
        <w:outlineLvl w:val="9"/>
        <w:rPr>
          <w:rFonts w:ascii="黑体" w:hAnsi="黑体" w:eastAsia="黑体"/>
          <w:szCs w:val="24"/>
        </w:rPr>
      </w:pPr>
      <w:r>
        <w:rPr>
          <w:rFonts w:hint="eastAsia" w:ascii="宋体" w:hAnsi="宋体" w:eastAsia="宋体" w:cs="仿宋_GB2312"/>
          <w:szCs w:val="24"/>
        </w:rPr>
        <w:t>4.清税证明材料。登记机关和税务部门已共享清税信息的，无需提交纸质清税证明材料。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5.提交申请材料的人员（经办人）的自然人身份证明复印件。</w:t>
      </w:r>
    </w:p>
    <w:p>
      <w:pPr>
        <w:widowControl/>
        <w:overflowPunct w:val="0"/>
        <w:spacing w:line="420" w:lineRule="exact"/>
        <w:ind w:firstLine="470" w:firstLineChars="196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6.经人民法院裁定宣告破产并终结破产程序后办理注销登记的，提交以下材料：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（1）本规范第1、5项材料；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szCs w:val="24"/>
        </w:rPr>
      </w:pPr>
      <w:r>
        <w:rPr>
          <w:rFonts w:hint="eastAsia" w:ascii="宋体" w:hAnsi="宋体" w:eastAsia="宋体" w:cs="仿宋_GB2312"/>
          <w:szCs w:val="24"/>
        </w:rPr>
        <w:t>（2）人民法院宣告破产的裁定和终结破产程序的裁定。</w:t>
      </w:r>
    </w:p>
    <w:p>
      <w:pPr>
        <w:widowControl/>
        <w:overflowPunct w:val="0"/>
        <w:spacing w:line="420" w:lineRule="exact"/>
        <w:ind w:firstLine="470" w:firstLineChars="196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7.经人民法院裁定强制清算并终结强制清算程序后办理注销登记的，提交以下材料：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（1）本规范第1、5项材料；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（2）人民法院终结强制清算程序的裁定（包括以无法清算或无法全面清算为由作出的裁定）。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8.人民法院指定的清算人、破产管理人申请注销登记的，还应当提交人民法院指定其为清算人、破产管理人的证明文件。</w:t>
      </w:r>
    </w:p>
    <w:p>
      <w:pPr>
        <w:widowControl/>
        <w:overflowPunct w:val="0"/>
        <w:spacing w:line="420" w:lineRule="exact"/>
        <w:ind w:firstLine="470" w:firstLineChars="196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9.法律、行政法规和国务院决定规定注销企业必须报经批准的，提交有关批准文件的复印件。</w:t>
      </w:r>
    </w:p>
    <w:p>
      <w:pPr>
        <w:pStyle w:val="7"/>
        <w:spacing w:line="420" w:lineRule="exact"/>
        <w:outlineLvl w:val="9"/>
      </w:pPr>
    </w:p>
    <w:p>
      <w:pPr>
        <w:pStyle w:val="7"/>
        <w:spacing w:line="420" w:lineRule="exact"/>
        <w:outlineLvl w:val="9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.依照《全民所有制工业企业法》《市场主体登记管理条例》《城镇集体所有制企业条例》《乡村集体所有制企业条例》设立的非公司企业法人，申请普通程序注销登记适用本规范。</w:t>
      </w:r>
    </w:p>
    <w:p>
      <w:pPr>
        <w:pStyle w:val="7"/>
        <w:spacing w:line="420" w:lineRule="exact"/>
        <w:outlineLvl w:val="9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2.已领取纸质版营业执照的缴回营业执照正、副本。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4F8B3D53"/>
    <w:rsid w:val="298505A2"/>
    <w:rsid w:val="2BBA09D7"/>
    <w:rsid w:val="3F8073EA"/>
    <w:rsid w:val="4F8B3D53"/>
    <w:rsid w:val="695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613</Characters>
  <Lines>0</Lines>
  <Paragraphs>0</Paragraphs>
  <TotalTime>1</TotalTime>
  <ScaleCrop>false</ScaleCrop>
  <LinksUpToDate>false</LinksUpToDate>
  <CharactersWithSpaces>613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2026-05-14T09:20:00Z</dcterms:created>
  <dc:creator>Esther</dc:creator>
  <cp:lastModifiedBy>Esther</cp:lastModifiedBy>
  <dcterms:modified xsi:type="dcterms:W3CDTF">2026-05-14T09:21:39Z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6C1E089DD52748D598F182F028226948_13</vt:lpwstr>
  </property>
</Properties>
</file>