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widowControl/>
        <w:overflowPunct w:val="0"/>
        <w:spacing w:line="420" w:lineRule="exact"/>
        <w:outlineLvl w:val="2"/>
        <w:rPr>
          <w:rFonts w:hint="eastAsia" w:hAnsi="宋体" w:cs="宋体"/>
          <w:b/>
          <w:bCs/>
          <w:sz w:val="30"/>
          <w:szCs w:val="32"/>
        </w:rPr>
      </w:pPr>
      <w:bookmarkStart w:id="3" w:name="_GoBack"/>
      <w:bookmarkStart w:id="0" w:name="_Toc202366343"/>
      <w:r>
        <w:rPr>
          <w:rFonts w:hint="eastAsia" w:hAnsi="宋体" w:cs="宋体"/>
          <w:b/>
          <w:bCs/>
          <w:sz w:val="30"/>
          <w:szCs w:val="32"/>
        </w:rPr>
        <w:t>【11】因公司合并（分立）申请设立、变更或注销登记提交材料规范</w:t>
      </w:r>
      <w:bookmarkEnd w:id="0"/>
    </w:p>
    <w:bookmarkEnd w:id="3"/>
    <w:p>
      <w:pPr>
        <w:pStyle w:val="5"/>
        <w:widowControl/>
        <w:overflowPunct w:val="0"/>
        <w:spacing w:line="420" w:lineRule="exact"/>
        <w:ind w:firstLine="480" w:firstLineChars="200"/>
        <w:rPr>
          <w:rFonts w:hint="eastAsia" w:hAnsi="宋体" w:cs="宋体"/>
          <w:szCs w:val="24"/>
        </w:rPr>
      </w:pPr>
      <w:r>
        <w:rPr>
          <w:rFonts w:hint="eastAsia" w:hAnsi="宋体" w:cs="宋体"/>
          <w:szCs w:val="24"/>
        </w:rPr>
        <w:t>因合并（分立）申请设立、变更或注销登记的公司，除按照本规范提交设立、变更或注销登记材料外，还应当提交以下材料：</w:t>
      </w:r>
    </w:p>
    <w:p>
      <w:pPr>
        <w:pStyle w:val="5"/>
        <w:widowControl/>
        <w:overflowPunct w:val="0"/>
        <w:spacing w:line="420" w:lineRule="exact"/>
        <w:ind w:firstLine="480" w:firstLineChars="200"/>
        <w:rPr>
          <w:rFonts w:hint="eastAsia" w:hAnsi="宋体" w:cs="宋体"/>
          <w:szCs w:val="24"/>
        </w:rPr>
      </w:pPr>
      <w:r>
        <w:rPr>
          <w:rFonts w:hint="eastAsia" w:hAnsi="宋体" w:cs="宋体"/>
          <w:szCs w:val="24"/>
        </w:rPr>
        <w:t>1.决议或决定。</w:t>
      </w:r>
      <w:bookmarkStart w:id="1" w:name="_Hlk190343168"/>
    </w:p>
    <w:p>
      <w:pPr>
        <w:pStyle w:val="5"/>
        <w:widowControl/>
        <w:overflowPunct w:val="0"/>
        <w:spacing w:line="420" w:lineRule="exact"/>
        <w:ind w:firstLine="480" w:firstLineChars="200"/>
        <w:rPr>
          <w:rFonts w:hint="eastAsia" w:hAnsi="宋体" w:cs="宋体"/>
          <w:szCs w:val="24"/>
        </w:rPr>
      </w:pPr>
      <w:r>
        <w:rPr>
          <w:rFonts w:hint="eastAsia" w:hAnsi="宋体" w:cs="宋体"/>
          <w:szCs w:val="24"/>
        </w:rPr>
        <w:t>（1）合并的，股东会决议或决定应当包括：合并各方的名称，合并形式，合并后公司的名称，合并后公司的注册资本，合并协议各方债权、债务的承继方案等，合并后对外投资（包括分公司、持有其他公司股权等）的处置情况。</w:t>
      </w:r>
      <w:bookmarkEnd w:id="1"/>
    </w:p>
    <w:p>
      <w:pPr>
        <w:pStyle w:val="5"/>
        <w:widowControl/>
        <w:overflowPunct w:val="0"/>
        <w:spacing w:line="420" w:lineRule="exact"/>
        <w:ind w:firstLine="480" w:firstLineChars="200"/>
        <w:rPr>
          <w:rFonts w:hint="eastAsia" w:hAnsi="宋体" w:cs="宋体"/>
          <w:szCs w:val="24"/>
        </w:rPr>
      </w:pPr>
      <w:r>
        <w:rPr>
          <w:rFonts w:hint="eastAsia" w:hAnsi="宋体" w:cs="宋体"/>
          <w:szCs w:val="24"/>
        </w:rPr>
        <w:t>（2）分立的，股东会决议或决定应当包括：分立形式，分立前后公司的名称，分立后公司的注册资本，分立后原公司债权、债务的承继方案，分立后对外投资（包括分公司、持有其他公司股权的等）的处置情况。</w:t>
      </w:r>
    </w:p>
    <w:p>
      <w:pPr>
        <w:pStyle w:val="9"/>
        <w:numPr>
          <w:ilvl w:val="0"/>
          <w:numId w:val="0"/>
        </w:numPr>
        <w:spacing w:line="420" w:lineRule="exact"/>
        <w:ind w:left="738" w:leftChars="200"/>
        <w:rPr>
          <w:rFonts w:hint="eastAsia" w:cs="宋体"/>
          <w:szCs w:val="24"/>
        </w:rPr>
      </w:pPr>
      <w:r>
        <w:rPr>
          <w:rFonts w:hint="eastAsia" w:cs="宋体"/>
          <w:szCs w:val="24"/>
        </w:rPr>
        <w:t>其中：</w:t>
      </w:r>
    </w:p>
    <w:p>
      <w:pPr>
        <w:pStyle w:val="8"/>
        <w:widowControl/>
        <w:overflowPunct w:val="0"/>
        <w:adjustRightInd w:val="0"/>
        <w:snapToGrid w:val="0"/>
        <w:spacing w:line="420" w:lineRule="exact"/>
        <w:ind w:firstLine="480" w:firstLineChars="200"/>
        <w:contextualSpacing/>
        <w:rPr>
          <w:rFonts w:hint="eastAsia" w:ascii="宋体" w:hAnsi="宋体" w:cs="宋体"/>
          <w:sz w:val="24"/>
          <w:szCs w:val="24"/>
        </w:rPr>
      </w:pPr>
      <w:r>
        <w:rPr>
          <w:rFonts w:hint="eastAsia" w:ascii="宋体" w:hAnsi="宋体" w:cs="宋体"/>
          <w:sz w:val="24"/>
          <w:szCs w:val="24"/>
        </w:rPr>
        <w:t>①有限责任公司提交由代表三分之二以上表决权的股东签署的股东会决议，或全体股东以书面形式一致表示同意的决定文件（由全体股东在决定文件上签名或盖章）；只有一个股东的有限责任公司提交股东签署的书面决定；</w:t>
      </w:r>
    </w:p>
    <w:p>
      <w:pPr>
        <w:pStyle w:val="8"/>
        <w:widowControl/>
        <w:overflowPunct w:val="0"/>
        <w:adjustRightInd w:val="0"/>
        <w:snapToGrid w:val="0"/>
        <w:spacing w:line="420" w:lineRule="exact"/>
        <w:ind w:firstLine="480" w:firstLineChars="200"/>
        <w:contextualSpacing/>
        <w:rPr>
          <w:rFonts w:hint="eastAsia" w:ascii="宋体" w:hAnsi="宋体" w:cs="宋体"/>
          <w:sz w:val="24"/>
          <w:szCs w:val="24"/>
        </w:rPr>
      </w:pPr>
      <w:r>
        <w:rPr>
          <w:rFonts w:hint="eastAsia" w:ascii="宋体" w:hAnsi="宋体" w:cs="宋体"/>
          <w:sz w:val="24"/>
          <w:szCs w:val="24"/>
        </w:rPr>
        <w:t>②股份有限公司提交由会议主持人及出席会议的董事签署的股东会会议记录；</w:t>
      </w:r>
    </w:p>
    <w:p>
      <w:pPr>
        <w:pStyle w:val="8"/>
        <w:widowControl/>
        <w:overflowPunct w:val="0"/>
        <w:adjustRightInd w:val="0"/>
        <w:snapToGrid w:val="0"/>
        <w:spacing w:line="420" w:lineRule="exact"/>
        <w:ind w:firstLine="480" w:firstLineChars="200"/>
        <w:contextualSpacing/>
        <w:rPr>
          <w:rFonts w:hint="eastAsia" w:ascii="宋体" w:hAnsi="宋体" w:cs="宋体"/>
          <w:sz w:val="24"/>
          <w:szCs w:val="24"/>
        </w:rPr>
      </w:pPr>
      <w:r>
        <w:rPr>
          <w:rFonts w:hint="eastAsia" w:ascii="宋体" w:hAnsi="宋体" w:cs="宋体"/>
          <w:sz w:val="24"/>
          <w:szCs w:val="24"/>
        </w:rPr>
        <w:t>③国有独资公司提交国务院、地方人民政府或代表本级人民政府履行出资人职责的机构、部门的批准文件复印件。</w:t>
      </w:r>
    </w:p>
    <w:p>
      <w:pPr>
        <w:pStyle w:val="8"/>
        <w:widowControl/>
        <w:overflowPunct w:val="0"/>
        <w:adjustRightInd w:val="0"/>
        <w:snapToGrid w:val="0"/>
        <w:spacing w:line="420" w:lineRule="exact"/>
        <w:ind w:firstLine="480" w:firstLineChars="200"/>
        <w:rPr>
          <w:rFonts w:hint="eastAsia" w:ascii="宋体" w:hAnsi="宋体" w:cs="宋体"/>
          <w:sz w:val="24"/>
          <w:szCs w:val="24"/>
        </w:rPr>
      </w:pPr>
      <w:r>
        <w:rPr>
          <w:rFonts w:hint="eastAsia" w:ascii="宋体" w:hAnsi="宋体" w:cs="宋体"/>
          <w:sz w:val="24"/>
          <w:szCs w:val="24"/>
        </w:rPr>
        <w:t>（3）根据《公司法》第二百一十九条规定，公司被持有其百分之九十以上（含百分之九十）股份的公司合并的，可以提交董事会决议（无需提交股东会决议）。提交董事会决议的，应当经全体董事的过半数通过。</w:t>
      </w:r>
    </w:p>
    <w:p>
      <w:pPr>
        <w:pStyle w:val="8"/>
        <w:widowControl/>
        <w:overflowPunct w:val="0"/>
        <w:adjustRightInd w:val="0"/>
        <w:snapToGrid w:val="0"/>
        <w:spacing w:line="420" w:lineRule="exact"/>
        <w:ind w:firstLine="480" w:firstLineChars="200"/>
        <w:rPr>
          <w:rFonts w:hint="eastAsia" w:ascii="宋体" w:hAnsi="宋体" w:cs="宋体"/>
          <w:sz w:val="24"/>
          <w:szCs w:val="24"/>
        </w:rPr>
      </w:pPr>
      <w:r>
        <w:rPr>
          <w:rFonts w:hint="eastAsia" w:ascii="宋体" w:hAnsi="宋体" w:cs="宋体"/>
          <w:sz w:val="24"/>
          <w:szCs w:val="24"/>
        </w:rPr>
        <w:t>（4）根据《公司法》第二百一十九条规定，收购方公司为合并支付的价款不超过净资产额的10%的，可以提交股东会决议，也可以提交董事会决议（公司章程另有规定的除外）。提交董事会决议的，应当经全体董事的过半数通过。</w:t>
      </w:r>
    </w:p>
    <w:p>
      <w:pPr>
        <w:pStyle w:val="5"/>
        <w:widowControl/>
        <w:overflowPunct w:val="0"/>
        <w:spacing w:line="420" w:lineRule="exact"/>
        <w:ind w:firstLine="480" w:firstLineChars="200"/>
        <w:rPr>
          <w:rFonts w:hint="eastAsia" w:hAnsi="宋体" w:cs="宋体"/>
          <w:szCs w:val="24"/>
        </w:rPr>
      </w:pPr>
      <w:r>
        <w:rPr>
          <w:rFonts w:hint="eastAsia" w:hAnsi="宋体" w:cs="宋体"/>
          <w:szCs w:val="24"/>
        </w:rPr>
        <w:t>2.合并（分立）公告。公告内容应当包括：合并（分立）各方的名称，合并（分立）形式，合并（分立）前后各公司的注册资本、债权债务的承继情况。通过国家企业信用信息公示系统向社会发布公告的，需提交公告页面截图；仅通过报纸发布公告的，需提交依法刊登公告的报纸样张。</w:t>
      </w:r>
    </w:p>
    <w:p>
      <w:pPr>
        <w:pStyle w:val="5"/>
        <w:widowControl/>
        <w:overflowPunct w:val="0"/>
        <w:spacing w:line="420" w:lineRule="exact"/>
        <w:ind w:firstLine="480" w:firstLineChars="200"/>
        <w:rPr>
          <w:rFonts w:hint="eastAsia" w:hAnsi="宋体" w:cs="宋体"/>
          <w:szCs w:val="24"/>
        </w:rPr>
      </w:pPr>
      <w:r>
        <w:rPr>
          <w:rFonts w:hint="eastAsia" w:hAnsi="宋体" w:cs="宋体"/>
          <w:szCs w:val="24"/>
        </w:rPr>
        <w:t>3.合并（分立）方的营业执照复印件。</w:t>
      </w:r>
    </w:p>
    <w:p>
      <w:pPr>
        <w:pStyle w:val="5"/>
        <w:widowControl/>
        <w:overflowPunct w:val="0"/>
        <w:spacing w:line="420" w:lineRule="exact"/>
        <w:ind w:firstLine="480" w:firstLineChars="200"/>
        <w:rPr>
          <w:rFonts w:hint="eastAsia" w:hAnsi="宋体" w:cs="宋体"/>
          <w:szCs w:val="24"/>
        </w:rPr>
      </w:pPr>
      <w:r>
        <w:rPr>
          <w:rFonts w:hint="eastAsia" w:hAnsi="宋体" w:cs="宋体"/>
          <w:szCs w:val="24"/>
        </w:rPr>
        <w:t>4.提交申请材料的人员（经办人）的自然人身份证明复印件。</w:t>
      </w:r>
    </w:p>
    <w:p>
      <w:pPr>
        <w:pStyle w:val="5"/>
        <w:widowControl/>
        <w:overflowPunct w:val="0"/>
        <w:spacing w:line="420" w:lineRule="exact"/>
        <w:ind w:firstLine="480" w:firstLineChars="200"/>
        <w:rPr>
          <w:rFonts w:hint="eastAsia" w:hAnsi="宋体" w:cs="宋体"/>
          <w:szCs w:val="24"/>
        </w:rPr>
      </w:pPr>
      <w:r>
        <w:rPr>
          <w:rFonts w:hint="eastAsia" w:hAnsi="宋体" w:cs="宋体"/>
          <w:szCs w:val="24"/>
        </w:rPr>
        <w:t>5</w:t>
      </w:r>
      <w:bookmarkStart w:id="2" w:name="_Hlk215431718"/>
      <w:r>
        <w:rPr>
          <w:rFonts w:hint="eastAsia" w:hAnsi="宋体" w:cs="宋体"/>
          <w:szCs w:val="24"/>
        </w:rPr>
        <w:t>.法律、行政法规和国务院决定规定必须报经批准的，或因合并（分立）新设公司、存续公司申请登记的经营范围中有法律、行政法规和国务院决定规定在登记前依法须经批准的项目的，提交有关批准文件或许可证件的复印件。</w:t>
      </w:r>
      <w:bookmarkEnd w:id="2"/>
    </w:p>
    <w:p>
      <w:pPr>
        <w:pStyle w:val="5"/>
        <w:widowControl/>
        <w:overflowPunct w:val="0"/>
        <w:spacing w:line="420" w:lineRule="exact"/>
        <w:ind w:firstLine="480" w:firstLineChars="200"/>
        <w:rPr>
          <w:rFonts w:hint="eastAsia" w:hAnsi="宋体" w:cs="宋体"/>
          <w:szCs w:val="24"/>
        </w:rPr>
      </w:pPr>
      <w:r>
        <w:rPr>
          <w:rFonts w:hint="eastAsia" w:hAnsi="宋体" w:cs="宋体"/>
          <w:szCs w:val="24"/>
        </w:rPr>
        <w:t>6.因合并（分立）办理公司设立、变更登记的，提交载明合并（分立）情况的解散公司的注销证明，或载明分立情况的存续公司的变更证明。</w:t>
      </w:r>
    </w:p>
    <w:p>
      <w:pPr>
        <w:pStyle w:val="10"/>
        <w:spacing w:line="420" w:lineRule="exact"/>
      </w:pPr>
    </w:p>
    <w:p>
      <w:pPr>
        <w:pStyle w:val="10"/>
        <w:spacing w:line="420" w:lineRule="exact"/>
        <w:rPr>
          <w:rFonts w:ascii="宋体" w:hAnsi="宋体" w:eastAsia="宋体"/>
        </w:rPr>
      </w:pPr>
      <w:r>
        <w:rPr>
          <w:rFonts w:hint="eastAsia"/>
        </w:rPr>
        <w:t>注：</w:t>
      </w:r>
      <w:r>
        <w:rPr>
          <w:rFonts w:ascii="宋体" w:hAnsi="宋体" w:eastAsia="宋体"/>
        </w:rPr>
        <w:t>1</w:t>
      </w:r>
      <w:r>
        <w:rPr>
          <w:rFonts w:hint="eastAsia" w:ascii="宋体" w:hAnsi="宋体" w:eastAsia="宋体"/>
        </w:rPr>
        <w:t>.因合并（分立）而解散的公司不进行清算的，注销登记可以不提交清算报告，但是决议或决定中载明解散公司需先行办理清算的除外。</w:t>
      </w:r>
    </w:p>
    <w:p>
      <w:pPr>
        <w:pStyle w:val="10"/>
        <w:spacing w:line="420" w:lineRule="exact"/>
        <w:rPr>
          <w:rFonts w:ascii="宋体" w:hAnsi="宋体" w:eastAsia="宋体"/>
        </w:rPr>
      </w:pPr>
      <w:r>
        <w:rPr>
          <w:rFonts w:hint="eastAsia" w:ascii="宋体" w:hAnsi="宋体" w:eastAsia="宋体"/>
        </w:rPr>
        <w:t>2.因合并（分立）申请设立登记、变更登记、注销登记，应当自合并（分立）公告之日起</w:t>
      </w:r>
      <w:r>
        <w:rPr>
          <w:rFonts w:ascii="宋体" w:hAnsi="宋体" w:eastAsia="宋体"/>
        </w:rPr>
        <w:t>45</w:t>
      </w:r>
      <w:r>
        <w:rPr>
          <w:rFonts w:hint="eastAsia" w:ascii="宋体" w:hAnsi="宋体" w:eastAsia="宋体"/>
        </w:rPr>
        <w:t>日后。</w:t>
      </w:r>
    </w:p>
    <w:p>
      <w:pPr>
        <w:pStyle w:val="10"/>
        <w:spacing w:line="420" w:lineRule="exact"/>
        <w:rPr>
          <w:rFonts w:ascii="宋体" w:hAnsi="宋体" w:eastAsia="宋体"/>
        </w:rPr>
      </w:pPr>
      <w:r>
        <w:rPr>
          <w:rFonts w:hint="eastAsia" w:ascii="宋体" w:hAnsi="宋体" w:eastAsia="宋体"/>
        </w:rPr>
        <w:t>3.已领取纸质版营业执照的，缴回营业执照正、副本。</w:t>
      </w:r>
    </w:p>
    <w:p>
      <w:pPr>
        <w:pStyle w:val="10"/>
        <w:spacing w:line="420" w:lineRule="exact"/>
        <w:rPr>
          <w:rFonts w:hint="eastAsia" w:ascii="宋体" w:hAnsi="宋体" w:eastAsia="宋体"/>
        </w:rPr>
        <w:sectPr>
          <w:pgSz w:w="11906" w:h="16838"/>
          <w:pgMar w:top="1440" w:right="1800" w:bottom="1440" w:left="1800" w:header="851" w:footer="992" w:gutter="0"/>
          <w:cols w:space="720" w:num="1"/>
          <w:docGrid w:type="lines" w:linePitch="312" w:charSpace="0"/>
        </w:sectPr>
      </w:pPr>
      <w:r>
        <w:rPr>
          <w:rFonts w:hint="eastAsia" w:ascii="宋体" w:hAnsi="宋体" w:eastAsia="宋体"/>
        </w:rPr>
        <w:t>4.申请人提交《名称自主申报承诺书》的，登记机关应当收取并归入登记档案。</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3D22D6E"/>
    <w:multiLevelType w:val="multilevel"/>
    <w:tmpl w:val="33D22D6E"/>
    <w:lvl w:ilvl="0" w:tentative="0">
      <w:start w:val="1"/>
      <w:numFmt w:val="bullet"/>
      <w:pStyle w:val="9"/>
      <w:lvlText w:val=""/>
      <w:lvlJc w:val="left"/>
      <w:pPr>
        <w:ind w:left="724"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liODFjYjZhYTZmZDEyZjZlMzhkMzMyNGVjZTRjNTkifQ=="/>
  </w:docVars>
  <w:rsids>
    <w:rsidRoot w:val="029A7DCD"/>
    <w:rsid w:val="029A7DCD"/>
    <w:rsid w:val="08973731"/>
    <w:rsid w:val="0E3270CE"/>
    <w:rsid w:val="13E744B7"/>
    <w:rsid w:val="259B5914"/>
    <w:rsid w:val="26296BB1"/>
    <w:rsid w:val="318A2BFA"/>
    <w:rsid w:val="33BF2903"/>
    <w:rsid w:val="359F0C3E"/>
    <w:rsid w:val="3F2F4DE1"/>
    <w:rsid w:val="40C257BA"/>
    <w:rsid w:val="4D970721"/>
    <w:rsid w:val="57FF75EE"/>
    <w:rsid w:val="5C4C6B7A"/>
    <w:rsid w:val="6AD62431"/>
    <w:rsid w:val="780659D7"/>
    <w:rsid w:val="7FDC1E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Times New Roman"/>
      <w:kern w:val="2"/>
      <w:sz w:val="24"/>
      <w:szCs w:val="22"/>
      <w:lang w:val="en-US" w:eastAsia="zh-CN" w:bidi="ar-SA"/>
    </w:rPr>
  </w:style>
  <w:style w:type="paragraph" w:styleId="3">
    <w:name w:val="heading 3"/>
    <w:basedOn w:val="1"/>
    <w:next w:val="1"/>
    <w:qFormat/>
    <w:uiPriority w:val="9"/>
    <w:pPr>
      <w:widowControl/>
      <w:overflowPunct w:val="0"/>
      <w:adjustRightInd w:val="0"/>
      <w:snapToGrid w:val="0"/>
      <w:spacing w:line="420" w:lineRule="exact"/>
      <w:contextualSpacing/>
      <w:outlineLvl w:val="2"/>
    </w:pPr>
    <w:rPr>
      <w:b/>
      <w:bCs/>
      <w:sz w:val="30"/>
      <w:szCs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样式1"/>
    <w:basedOn w:val="1"/>
    <w:qFormat/>
    <w:uiPriority w:val="0"/>
    <w:pPr>
      <w:ind w:firstLine="602" w:firstLineChars="200"/>
      <w:jc w:val="left"/>
    </w:pPr>
    <w:rPr>
      <w:rFonts w:ascii="仿宋" w:hAnsi="仿宋" w:eastAsia="仿宋"/>
      <w:color w:val="000000"/>
      <w:kern w:val="0"/>
      <w:sz w:val="30"/>
      <w:szCs w:val="30"/>
      <w:lang w:eastAsia="en-US" w:bidi="en-US"/>
    </w:rPr>
  </w:style>
  <w:style w:type="paragraph" w:styleId="4">
    <w:name w:val="annotation text"/>
    <w:basedOn w:val="1"/>
    <w:unhideWhenUsed/>
    <w:qFormat/>
    <w:uiPriority w:val="99"/>
    <w:pPr>
      <w:jc w:val="left"/>
    </w:pPr>
  </w:style>
  <w:style w:type="paragraph" w:styleId="5">
    <w:name w:val="Plain Text"/>
    <w:basedOn w:val="1"/>
    <w:semiHidden/>
    <w:qFormat/>
    <w:uiPriority w:val="99"/>
    <w:rPr>
      <w:rFonts w:ascii="宋体" w:hAnsi="Courier New" w:eastAsia="宋体" w:cs="Courier New"/>
      <w:szCs w:val="21"/>
    </w:rPr>
  </w:style>
  <w:style w:type="paragraph" w:customStyle="1" w:styleId="8">
    <w:name w:val="正文 New"/>
    <w:qFormat/>
    <w:uiPriority w:val="99"/>
    <w:pPr>
      <w:widowControl w:val="0"/>
      <w:jc w:val="both"/>
    </w:pPr>
    <w:rPr>
      <w:rFonts w:ascii="Times New Roman" w:hAnsi="Times New Roman" w:eastAsia="宋体" w:cs="Times New Roman"/>
      <w:kern w:val="2"/>
      <w:sz w:val="21"/>
      <w:lang w:val="en-US" w:eastAsia="zh-CN" w:bidi="ar-SA"/>
    </w:rPr>
  </w:style>
  <w:style w:type="paragraph" w:customStyle="1" w:styleId="9">
    <w:name w:val="圆点标识"/>
    <w:basedOn w:val="8"/>
    <w:qFormat/>
    <w:uiPriority w:val="0"/>
    <w:pPr>
      <w:widowControl/>
      <w:numPr>
        <w:ilvl w:val="0"/>
        <w:numId w:val="1"/>
      </w:numPr>
      <w:tabs>
        <w:tab w:val="left" w:pos="948"/>
      </w:tabs>
      <w:overflowPunct w:val="0"/>
      <w:adjustRightInd w:val="0"/>
      <w:snapToGrid w:val="0"/>
      <w:spacing w:line="400" w:lineRule="exact"/>
      <w:ind w:left="258" w:hanging="258"/>
    </w:pPr>
    <w:rPr>
      <w:rFonts w:ascii="宋体" w:hAnsi="宋体" w:cs="仿宋_GB2312"/>
      <w:sz w:val="24"/>
    </w:rPr>
  </w:style>
  <w:style w:type="paragraph" w:customStyle="1" w:styleId="10">
    <w:name w:val="注释"/>
    <w:basedOn w:val="8"/>
    <w:qFormat/>
    <w:uiPriority w:val="0"/>
    <w:pPr>
      <w:widowControl/>
      <w:tabs>
        <w:tab w:val="left" w:pos="948"/>
      </w:tabs>
      <w:overflowPunct w:val="0"/>
      <w:adjustRightInd w:val="0"/>
      <w:snapToGrid w:val="0"/>
      <w:spacing w:line="400" w:lineRule="exact"/>
      <w:ind w:firstLine="420" w:firstLineChars="200"/>
      <w:contextualSpacing/>
    </w:pPr>
    <w:rPr>
      <w:rFonts w:ascii="黑体" w:hAnsi="黑体" w:eastAsia="黑体" w:cs="仿宋_GB2312"/>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643</Words>
  <Characters>657</Characters>
  <Lines>0</Lines>
  <Paragraphs>0</Paragraphs>
  <TotalTime>0</TotalTime>
  <ScaleCrop>false</ScaleCrop>
  <LinksUpToDate>false</LinksUpToDate>
  <CharactersWithSpaces>657</CharactersWithSpaces>
  <Application>WPS Office_11.1.0.15313_F1E327BC-269C-435d-A152-05C5408002CA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2026-05-14T09:12:00Z</dcterms:created>
  <dc:creator>Esther</dc:creator>
  <cp:lastModifiedBy>Esther</cp:lastModifiedBy>
  <dcterms:modified xsi:type="dcterms:W3CDTF">2026-05-14T09:18:52Z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2052-11.1.0.15313</vt:lpwstr>
  </property>
  <property fmtid="{D5CDD505-2E9C-101B-9397-08002B2CF9AE}" pid="3" name="ICV">
    <vt:lpwstr>252D14B9F90E4BED8EC35CA707103E45_13</vt:lpwstr>
  </property>
</Properties>
</file>