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overflowPunct w:val="0"/>
        <w:adjustRightInd w:val="0"/>
        <w:snapToGrid w:val="0"/>
        <w:spacing w:line="420" w:lineRule="exact"/>
        <w:contextualSpacing/>
        <w:jc w:val="center"/>
        <w:outlineLvl w:val="0"/>
        <w:rPr>
          <w:rFonts w:ascii="黑体" w:hAnsi="黑体" w:eastAsia="黑体" w:cs="仿宋_GB2312"/>
          <w:sz w:val="24"/>
          <w:szCs w:val="24"/>
        </w:rPr>
      </w:pPr>
      <w:r>
        <w:rPr>
          <w:rFonts w:hint="eastAsia" w:ascii="黑体" w:hAnsi="黑体" w:eastAsia="黑体" w:cs="仿宋_GB2312"/>
          <w:sz w:val="36"/>
          <w:szCs w:val="36"/>
        </w:rPr>
        <w:t>说  明</w:t>
      </w:r>
    </w:p>
    <w:p>
      <w:pPr>
        <w:pStyle w:val="4"/>
        <w:widowControl/>
        <w:overflowPunct w:val="0"/>
        <w:adjustRightInd w:val="0"/>
        <w:snapToGrid w:val="0"/>
        <w:spacing w:line="420" w:lineRule="exact"/>
        <w:ind w:firstLine="480" w:firstLineChars="200"/>
        <w:contextualSpacing/>
        <w:rPr>
          <w:rFonts w:ascii="宋体" w:hAnsi="宋体" w:cs="仿宋_GB2312"/>
          <w:sz w:val="24"/>
          <w:szCs w:val="24"/>
        </w:rPr>
      </w:pPr>
    </w:p>
    <w:p>
      <w:pPr>
        <w:pStyle w:val="4"/>
        <w:widowControl/>
        <w:overflowPunct w:val="0"/>
        <w:adjustRightInd w:val="0"/>
        <w:snapToGrid w:val="0"/>
        <w:spacing w:line="420" w:lineRule="exact"/>
        <w:ind w:firstLine="480" w:firstLineChars="200"/>
        <w:contextualSpacing/>
        <w:rPr>
          <w:rFonts w:ascii="宋体" w:hAnsi="宋体" w:cs="仿宋_GB2312"/>
          <w:sz w:val="24"/>
          <w:szCs w:val="24"/>
        </w:rPr>
      </w:pPr>
      <w:r>
        <w:rPr>
          <w:rFonts w:hint="eastAsia" w:ascii="宋体" w:hAnsi="宋体" w:cs="仿宋_GB2312"/>
          <w:sz w:val="24"/>
          <w:szCs w:val="24"/>
        </w:rPr>
        <w:t>1.提交登记申请文书与其他申请材料应当使用A4型白色纸张。依《经营主体登记文书规范》打印生成的，</w:t>
      </w:r>
      <w:bookmarkStart w:id="0" w:name="_Hlk218637987"/>
      <w:r>
        <w:rPr>
          <w:rFonts w:hint="eastAsia" w:ascii="宋体" w:hAnsi="宋体" w:cs="仿宋_GB2312"/>
          <w:sz w:val="24"/>
          <w:szCs w:val="24"/>
        </w:rPr>
        <w:t>应当</w:t>
      </w:r>
      <w:bookmarkEnd w:id="0"/>
      <w:r>
        <w:rPr>
          <w:rFonts w:hint="eastAsia" w:ascii="宋体" w:hAnsi="宋体" w:cs="仿宋_GB2312"/>
          <w:sz w:val="24"/>
          <w:szCs w:val="24"/>
        </w:rPr>
        <w:t>使用黑色或蓝色墨水钢笔或签字笔签名；手工填写的，应当使用黑色或蓝色墨水钢笔或签字笔工整填写、签名。</w:t>
      </w:r>
    </w:p>
    <w:p>
      <w:pPr>
        <w:pStyle w:val="4"/>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2.</w:t>
      </w:r>
      <w:bookmarkStart w:id="1" w:name="_Hlk218638775"/>
      <w:r>
        <w:rPr>
          <w:rFonts w:hint="eastAsia" w:ascii="宋体" w:hAnsi="宋体" w:cs="仿宋_GB2312"/>
          <w:sz w:val="24"/>
          <w:szCs w:val="24"/>
        </w:rPr>
        <w:t>对于现场窗口提交材料的，除</w:t>
      </w:r>
      <w:bookmarkStart w:id="2" w:name="_Hlk183618169"/>
      <w:r>
        <w:rPr>
          <w:rFonts w:hint="eastAsia" w:ascii="宋体" w:hAnsi="宋体" w:cs="仿宋_GB2312"/>
          <w:sz w:val="24"/>
          <w:szCs w:val="24"/>
        </w:rPr>
        <w:t>明确注明要求提交复印件的材料外，其他材料均提交</w:t>
      </w:r>
      <w:bookmarkEnd w:id="2"/>
      <w:r>
        <w:rPr>
          <w:rFonts w:hint="eastAsia" w:ascii="宋体" w:hAnsi="宋体" w:cs="仿宋_GB2312"/>
          <w:sz w:val="24"/>
          <w:szCs w:val="24"/>
        </w:rPr>
        <w:t>原件；明确注明要求提交复印件的，应当由申请人在复印件上注明“与原件一致”并签名或盖章确认，或根据授权委托情况，由登记联络员或登记注册代理人签名确认；应当提交原件，但确无法提交原件的，可以用复印件代替，由所有在原件上签署确认的人员或组织单位在复印件上重新签署确认，并注明“与原件一致”。</w:t>
      </w:r>
      <w:bookmarkEnd w:id="1"/>
    </w:p>
    <w:p>
      <w:pPr>
        <w:pStyle w:val="4"/>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3.通过全程电子化方式申请登记、备案的，主体资格证明、身份证明、有关批准文件或许可证件、章程、决议等文件以及手写签名材料可通过全程电子化登记系统提交原件影像（印）件，或通过登记业务系统规范生成相关材料并使用。</w:t>
      </w:r>
    </w:p>
    <w:p>
      <w:pPr>
        <w:pStyle w:val="4"/>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4</w:t>
      </w:r>
      <w:bookmarkStart w:id="3" w:name="_Hlk183618266"/>
      <w:r>
        <w:rPr>
          <w:rFonts w:hint="eastAsia" w:ascii="宋体" w:hAnsi="宋体" w:cs="仿宋_GB2312"/>
          <w:sz w:val="24"/>
          <w:szCs w:val="24"/>
        </w:rPr>
        <w:t>.申请人通过全程电子化登记系统上传的手写签名申请材料图片或影像（印）件，经申请人确认并提交后，可直接以电子档案方式存储，登记机关可以不再收取原纸质材料。</w:t>
      </w:r>
      <w:bookmarkEnd w:id="3"/>
      <w:r>
        <w:rPr>
          <w:rFonts w:hint="eastAsia" w:ascii="宋体" w:hAnsi="宋体" w:cs="仿宋_GB2312"/>
          <w:sz w:val="24"/>
          <w:szCs w:val="24"/>
        </w:rPr>
        <w:t>登记机关能通过数据共享等手段获取相关人员身份证明、清税信息、有关批准文件或许可证件等文件或数据信息，且可以在线核验、存档的，可以不再收取对应的纸质材料。</w:t>
      </w:r>
    </w:p>
    <w:p>
      <w:pPr>
        <w:pStyle w:val="4"/>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5.关于材料签署，明确要求签署人签名并加盖公章的，应当由法人（组织）的法定代表人、负责人或有权签字人签名并加盖法人（组织）的公章；未明确的，自然人由本人签名，法人（组织）由法定代表人、负责人或有权签字人签名，或盖法人（组织）的公章。</w:t>
      </w:r>
    </w:p>
    <w:p>
      <w:pPr>
        <w:pStyle w:val="4"/>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6.提交材料、公证认证文书为外文的，应当同时提交中文翻译件、外文原件两种文书。翻译单位应当在翻译件上加盖翻译单位公章（翻译专用章）、注明“翻译准确”字样，并附营业执照复印件等主体资格证明文件复印件，同时注明翻译人及联系方式；翻译人为自然人的，应当在翻译件上签名，注明联系方式，并附翻译人员相应翻译资质证书复印件及身份证明复印件。</w:t>
      </w:r>
    </w:p>
    <w:p>
      <w:pPr>
        <w:pStyle w:val="4"/>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7.关于住所（经营场所）使用的相关文件，各省、自治区、直辖市人民政府根据法律法规的规定和本地区管理的实际需要，就住所（经营场所）证明材料作出或授权下级人民政府作出具体规定的，从其规定。</w:t>
      </w:r>
    </w:p>
    <w:p>
      <w:pPr>
        <w:pStyle w:val="4"/>
        <w:widowControl/>
        <w:tabs>
          <w:tab w:val="left" w:pos="948"/>
        </w:tabs>
        <w:overflowPunct w:val="0"/>
        <w:adjustRightInd w:val="0"/>
        <w:snapToGrid w:val="0"/>
        <w:spacing w:line="420" w:lineRule="exact"/>
        <w:ind w:firstLine="480" w:firstLineChars="200"/>
        <w:contextualSpacing/>
        <w:rPr>
          <w:rFonts w:ascii="宋体" w:hAnsi="宋体" w:cs="仿宋_GB2312"/>
          <w:sz w:val="24"/>
          <w:szCs w:val="24"/>
        </w:rPr>
      </w:pPr>
      <w:r>
        <w:rPr>
          <w:rFonts w:hint="eastAsia" w:ascii="宋体" w:hAnsi="宋体" w:cs="仿宋_GB2312"/>
          <w:sz w:val="24"/>
          <w:szCs w:val="24"/>
        </w:rPr>
        <w:t>8.在办理登记、备案事项时，申请人、登记联络员或登记注册代理人等相关人员应当配合登记机关办理实名登记确认。在登记机关现场办理实名登记确认的，还应当提交《实名登记确认表》。具体按照国家市场监督管理总局关于经营主体实名登记确认的相关管理规范执行。</w:t>
      </w:r>
    </w:p>
    <w:p>
      <w:pPr>
        <w:pStyle w:val="4"/>
        <w:widowControl/>
        <w:tabs>
          <w:tab w:val="left" w:pos="948"/>
        </w:tabs>
        <w:overflowPunct w:val="0"/>
        <w:adjustRightInd w:val="0"/>
        <w:snapToGrid w:val="0"/>
        <w:spacing w:line="420" w:lineRule="exact"/>
        <w:ind w:firstLine="480" w:firstLineChars="200"/>
        <w:contextualSpacing/>
        <w:rPr>
          <w:rFonts w:ascii="宋体" w:hAnsi="宋体" w:cs="仿宋_GB2312"/>
          <w:sz w:val="24"/>
          <w:szCs w:val="24"/>
        </w:rPr>
      </w:pPr>
      <w:r>
        <w:rPr>
          <w:rFonts w:hint="eastAsia" w:ascii="宋体" w:hAnsi="宋体" w:cs="仿宋_GB2312"/>
          <w:sz w:val="24"/>
          <w:szCs w:val="24"/>
        </w:rPr>
        <w:t>9.因办理登记、备案事项，需要缴回已领取的纸质版营业执照正、副本的，如经营主体拒不缴回或无法缴回营业执照的，由登记机关通过国家企业信用信息公示系统公告营业执照作废。</w:t>
      </w:r>
    </w:p>
    <w:p>
      <w:pPr>
        <w:pStyle w:val="4"/>
        <w:widowControl/>
        <w:overflowPunct w:val="0"/>
        <w:adjustRightInd w:val="0"/>
        <w:snapToGrid w:val="0"/>
        <w:spacing w:line="420" w:lineRule="exact"/>
        <w:ind w:firstLine="480" w:firstLineChars="200"/>
        <w:contextualSpacing/>
        <w:rPr>
          <w:rFonts w:ascii="宋体" w:hAnsi="宋体" w:cs="仿宋_GB2312"/>
          <w:sz w:val="24"/>
          <w:szCs w:val="24"/>
        </w:rPr>
      </w:pPr>
      <w:r>
        <w:rPr>
          <w:rFonts w:hint="eastAsia" w:ascii="宋体" w:hAnsi="宋体" w:cs="仿宋_GB2312"/>
          <w:sz w:val="24"/>
          <w:szCs w:val="24"/>
        </w:rPr>
        <w:t>10.公司自然人股东、合伙企业自然人合伙人、个人独资企业投资人、农民专业合作社自然人成员、个体工商户经营者因特殊原因丧失民事行为能力的，可以由法定监护人凭人民法院出具的裁定办理相关登记。</w:t>
      </w:r>
    </w:p>
    <w:p>
      <w:pPr>
        <w:pStyle w:val="4"/>
        <w:widowControl/>
        <w:overflowPunct w:val="0"/>
        <w:adjustRightInd w:val="0"/>
        <w:snapToGrid w:val="0"/>
        <w:spacing w:line="420" w:lineRule="exact"/>
        <w:ind w:firstLine="480" w:firstLineChars="200"/>
        <w:contextualSpacing/>
        <w:rPr>
          <w:rFonts w:hint="eastAsia" w:ascii="宋体" w:hAnsi="宋体" w:cs="仿宋_GB2312"/>
          <w:sz w:val="24"/>
          <w:szCs w:val="24"/>
        </w:rPr>
      </w:pPr>
      <w:r>
        <w:rPr>
          <w:rFonts w:hint="eastAsia" w:ascii="宋体" w:hAnsi="宋体" w:cs="仿宋_GB2312"/>
          <w:sz w:val="24"/>
          <w:szCs w:val="24"/>
        </w:rPr>
        <w:t>11.依据原《中外合资经营企业法》《外资企业法》《中外合作经营企业法》等法律设立的外商投资公司、非公司外商投资企业、外商投资公司分公司、非公司外商投资企业分支机构，在2024年12月31日后仍未调整其组织形式、组织机构的，应当按照《外商投资法》规定调整其组织形式、组织机构。</w:t>
      </w:r>
    </w:p>
    <w:p>
      <w:pPr>
        <w:pStyle w:val="4"/>
        <w:widowControl/>
        <w:overflowPunct w:val="0"/>
        <w:adjustRightInd w:val="0"/>
        <w:snapToGrid w:val="0"/>
        <w:spacing w:line="420" w:lineRule="exact"/>
        <w:ind w:firstLine="480" w:firstLineChars="200"/>
        <w:contextualSpacing/>
        <w:rPr>
          <w:rFonts w:hint="eastAsia" w:ascii="宋体" w:hAnsi="宋体" w:eastAsia="宋体" w:cs="仿宋_GB2312"/>
          <w:sz w:val="24"/>
          <w:szCs w:val="24"/>
          <w:lang w:eastAsia="zh-CN"/>
        </w:rPr>
        <w:sectPr>
          <w:pgSz w:w="11906" w:h="16838"/>
          <w:pgMar w:top="1440" w:right="1800" w:bottom="1440" w:left="1800" w:header="851" w:footer="992" w:gutter="0"/>
          <w:cols w:space="720" w:num="1"/>
          <w:docGrid w:type="lines" w:linePitch="312" w:charSpace="0"/>
        </w:sectPr>
      </w:pPr>
      <w:r>
        <w:rPr>
          <w:rFonts w:hint="eastAsia" w:ascii="宋体" w:hAnsi="宋体" w:cs="仿宋_GB2312"/>
          <w:sz w:val="24"/>
          <w:szCs w:val="24"/>
        </w:rPr>
        <w:t>12.受益所有人信息备案，按照《受益所有人信息管理办法</w:t>
      </w:r>
      <w:bookmarkStart w:id="4" w:name="_GoBack"/>
      <w:bookmarkEnd w:id="4"/>
      <w:r>
        <w:rPr>
          <w:rFonts w:hint="eastAsia" w:ascii="宋体" w:hAnsi="宋体" w:cs="仿宋_GB2312"/>
          <w:sz w:val="24"/>
          <w:szCs w:val="24"/>
        </w:rPr>
        <w:t>》规定执行</w:t>
      </w:r>
      <w:r>
        <w:rPr>
          <w:rFonts w:hint="eastAsia" w:ascii="宋体" w:hAnsi="宋体" w:cs="仿宋_GB2312"/>
          <w:sz w:val="24"/>
          <w:szCs w:val="24"/>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iODFjYjZhYTZmZDEyZjZlMzhkMzMyNGVjZTRjNTkifQ=="/>
  </w:docVars>
  <w:rsids>
    <w:rsidRoot w:val="1E3F4CFA"/>
    <w:rsid w:val="1E3F4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2026-05-14T08:31:00Z</dcterms:created>
  <dc:creator>Esther</dc:creator>
  <cp:lastModifiedBy>Esther</cp:lastModifiedBy>
  <dcterms:modified xsi:type="dcterms:W3CDTF">2026-05-14T08:31:47Z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E30ACBE7247142FD81F4A3BC18B130A2_11</vt:lpwstr>
  </property>
</Properties>
</file>