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BD008">
      <w:bookmarkStart w:id="0" w:name="_Toc31904"/>
      <w:bookmarkStart w:id="1" w:name="_Toc55780331"/>
      <w:bookmarkStart w:id="2" w:name="_Toc57971006"/>
      <w:r>
        <w:rPr>
          <w:rFonts w:hint="eastAsia"/>
        </w:rPr>
        <mc:AlternateContent>
          <mc:Choice Requires="wps">
            <w:drawing>
              <wp:anchor distT="0" distB="0" distL="114300" distR="114300" simplePos="0" relativeHeight="251661312" behindDoc="0" locked="0" layoutInCell="1" allowOverlap="1">
                <wp:simplePos x="0" y="0"/>
                <wp:positionH relativeFrom="margin">
                  <wp:posOffset>-294640</wp:posOffset>
                </wp:positionH>
                <wp:positionV relativeFrom="paragraph">
                  <wp:posOffset>433705</wp:posOffset>
                </wp:positionV>
                <wp:extent cx="5819775" cy="22250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19775" cy="2225040"/>
                        </a:xfrm>
                        <a:prstGeom prst="rect">
                          <a:avLst/>
                        </a:prstGeom>
                        <a:noFill/>
                        <a:ln w="6350">
                          <a:noFill/>
                        </a:ln>
                        <a:effectLst/>
                      </wps:spPr>
                      <wps:txbx>
                        <w:txbxContent>
                          <w:p w14:paraId="4A65EFE4">
                            <w:pPr>
                              <w:spacing w:line="840" w:lineRule="exact"/>
                              <w:jc w:val="center"/>
                              <w:rPr>
                                <w:rFonts w:hint="eastAsia" w:ascii="方正小标宋简体" w:hAnsi="方正小标宋简体" w:eastAsia="方正小标宋简体" w:cs="方正小标宋简体"/>
                                <w:b w:val="0"/>
                                <w:bCs/>
                                <w:sz w:val="56"/>
                              </w:rPr>
                            </w:pPr>
                            <w:r>
                              <w:rPr>
                                <w:rFonts w:hint="eastAsia" w:ascii="方正小标宋简体" w:hAnsi="方正小标宋简体" w:eastAsia="方正小标宋简体" w:cs="方正小标宋简体"/>
                                <w:b w:val="0"/>
                                <w:bCs/>
                                <w:sz w:val="56"/>
                              </w:rPr>
                              <w:t>202</w:t>
                            </w:r>
                            <w:r>
                              <w:rPr>
                                <w:rFonts w:hint="eastAsia" w:ascii="方正小标宋简体" w:hAnsi="方正小标宋简体" w:eastAsia="方正小标宋简体" w:cs="方正小标宋简体"/>
                                <w:b w:val="0"/>
                                <w:bCs/>
                                <w:sz w:val="56"/>
                                <w:lang w:val="en-US" w:eastAsia="zh-CN"/>
                              </w:rPr>
                              <w:t>5</w:t>
                            </w:r>
                            <w:r>
                              <w:rPr>
                                <w:rFonts w:hint="eastAsia" w:ascii="方正小标宋简体" w:hAnsi="方正小标宋简体" w:eastAsia="方正小标宋简体" w:cs="方正小标宋简体"/>
                                <w:b w:val="0"/>
                                <w:bCs/>
                                <w:sz w:val="56"/>
                              </w:rPr>
                              <w:t>年</w:t>
                            </w:r>
                          </w:p>
                          <w:p w14:paraId="776058C1">
                            <w:pPr>
                              <w:spacing w:line="840" w:lineRule="exact"/>
                              <w:ind w:left="240" w:leftChars="100" w:right="240" w:rightChars="100"/>
                              <w:jc w:val="center"/>
                              <w:rPr>
                                <w:rFonts w:ascii="华文新魏" w:hAnsi="等线" w:eastAsia="华文新魏"/>
                                <w:b/>
                                <w:sz w:val="56"/>
                              </w:rPr>
                            </w:pPr>
                            <w:r>
                              <w:rPr>
                                <w:rFonts w:hint="eastAsia" w:ascii="方正小标宋简体" w:hAnsi="方正小标宋简体" w:eastAsia="方正小标宋简体" w:cs="方正小标宋简体"/>
                                <w:b w:val="0"/>
                                <w:bCs/>
                                <w:sz w:val="56"/>
                                <w:lang w:eastAsia="zh-CN"/>
                              </w:rPr>
                              <w:t>云浮</w:t>
                            </w:r>
                            <w:r>
                              <w:rPr>
                                <w:rFonts w:hint="eastAsia" w:ascii="方正小标宋简体" w:hAnsi="方正小标宋简体" w:eastAsia="方正小标宋简体" w:cs="方正小标宋简体"/>
                                <w:b w:val="0"/>
                                <w:bCs/>
                                <w:sz w:val="56"/>
                              </w:rPr>
                              <w:t>市人力资源市场工资价位及企业人工成本信息</w:t>
                            </w:r>
                          </w:p>
                          <w:p w14:paraId="0E233C0F">
                            <w:pPr>
                              <w:spacing w:line="840" w:lineRule="exact"/>
                              <w:ind w:left="210" w:right="210"/>
                              <w:jc w:val="center"/>
                              <w:rPr>
                                <w:rFonts w:ascii="华文新魏" w:hAnsi="等线" w:eastAsia="华文新魏"/>
                                <w:b/>
                                <w:sz w:val="56"/>
                              </w:rPr>
                            </w:pPr>
                          </w:p>
                          <w:p w14:paraId="57B5DC51">
                            <w:pPr>
                              <w:spacing w:line="840" w:lineRule="exact"/>
                              <w:ind w:left="210" w:right="210"/>
                              <w:jc w:val="center"/>
                              <w:rPr>
                                <w:rFonts w:ascii="华文新魏" w:hAnsi="等线" w:eastAsia="华文新魏"/>
                                <w:b/>
                                <w:sz w:val="56"/>
                              </w:rPr>
                            </w:pPr>
                          </w:p>
                          <w:p w14:paraId="6ABC73CF">
                            <w:pPr>
                              <w:spacing w:line="840" w:lineRule="exact"/>
                              <w:ind w:left="210" w:right="210"/>
                              <w:jc w:val="center"/>
                              <w:rPr>
                                <w:rFonts w:ascii="华文新魏" w:hAnsi="等线" w:eastAsia="华文新魏"/>
                                <w:b/>
                                <w:sz w:val="56"/>
                              </w:rPr>
                            </w:pPr>
                          </w:p>
                          <w:p w14:paraId="074F35E2">
                            <w:pPr>
                              <w:spacing w:line="840" w:lineRule="exact"/>
                              <w:ind w:left="210" w:right="210"/>
                              <w:jc w:val="center"/>
                              <w:rPr>
                                <w:rFonts w:ascii="华文新魏" w:hAnsi="等线" w:eastAsia="华文新魏"/>
                                <w:b/>
                                <w:sz w:val="56"/>
                              </w:rPr>
                            </w:pPr>
                          </w:p>
                          <w:p w14:paraId="2DB85D7B">
                            <w:pPr>
                              <w:spacing w:line="840" w:lineRule="exact"/>
                              <w:ind w:left="210" w:right="210"/>
                              <w:jc w:val="center"/>
                              <w:rPr>
                                <w:rFonts w:ascii="华文新魏" w:hAnsi="等线" w:eastAsia="华文新魏"/>
                                <w:b/>
                                <w:sz w:val="56"/>
                              </w:rPr>
                            </w:pPr>
                          </w:p>
                          <w:p w14:paraId="181CE05E">
                            <w:pPr>
                              <w:spacing w:line="840" w:lineRule="exact"/>
                              <w:ind w:left="210" w:right="210"/>
                              <w:jc w:val="center"/>
                              <w:rPr>
                                <w:rFonts w:ascii="华文新魏" w:hAnsi="等线" w:eastAsia="华文新魏"/>
                                <w:b/>
                                <w:sz w:val="56"/>
                              </w:rPr>
                            </w:pPr>
                          </w:p>
                          <w:p w14:paraId="08F811FC">
                            <w:pPr>
                              <w:spacing w:line="840" w:lineRule="exact"/>
                              <w:ind w:left="210" w:right="210"/>
                              <w:jc w:val="center"/>
                              <w:rPr>
                                <w:rFonts w:ascii="华文新魏" w:hAnsi="等线" w:eastAsia="华文新魏"/>
                                <w:b/>
                                <w:sz w:val="56"/>
                              </w:rPr>
                            </w:pPr>
                          </w:p>
                          <w:p w14:paraId="6B5ED0DA">
                            <w:pPr>
                              <w:spacing w:line="840" w:lineRule="exact"/>
                              <w:ind w:left="210" w:right="210"/>
                              <w:jc w:val="center"/>
                              <w:rPr>
                                <w:rFonts w:ascii="华文新魏" w:hAnsi="等线" w:eastAsia="华文新魏"/>
                                <w:b/>
                                <w:sz w:val="56"/>
                              </w:rPr>
                            </w:pPr>
                          </w:p>
                          <w:p w14:paraId="19265B4D">
                            <w:pPr>
                              <w:spacing w:line="840" w:lineRule="exact"/>
                              <w:ind w:left="210" w:right="210"/>
                              <w:jc w:val="center"/>
                              <w:rPr>
                                <w:rFonts w:ascii="华文新魏" w:hAnsi="等线" w:eastAsia="华文新魏"/>
                                <w:b/>
                                <w:sz w:val="56"/>
                              </w:rPr>
                            </w:pPr>
                          </w:p>
                          <w:p w14:paraId="087B8288">
                            <w:pPr>
                              <w:spacing w:line="840" w:lineRule="exact"/>
                              <w:ind w:left="210" w:right="210"/>
                              <w:jc w:val="center"/>
                              <w:rPr>
                                <w:rFonts w:ascii="华文新魏" w:hAnsi="等线" w:eastAsia="华文新魏"/>
                                <w:b/>
                                <w:sz w:val="56"/>
                              </w:rPr>
                            </w:pPr>
                          </w:p>
                          <w:p w14:paraId="220DF9F5">
                            <w:pPr>
                              <w:jc w:val="center"/>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lang w:eastAsia="zh-CN"/>
                              </w:rPr>
                              <w:t>云浮</w:t>
                            </w:r>
                            <w:r>
                              <w:rPr>
                                <w:rFonts w:hint="eastAsia" w:ascii="楷体_GB2312" w:hAnsi="楷体_GB2312" w:eastAsia="楷体_GB2312" w:cs="楷体_GB2312"/>
                                <w:b/>
                                <w:sz w:val="30"/>
                                <w:szCs w:val="30"/>
                              </w:rPr>
                              <w:t>市人力资源和社会保障局</w:t>
                            </w:r>
                          </w:p>
                          <w:p w14:paraId="4D874C21">
                            <w:pPr>
                              <w:jc w:val="center"/>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t>202</w:t>
                            </w:r>
                            <w:r>
                              <w:rPr>
                                <w:rFonts w:hint="eastAsia" w:ascii="楷体_GB2312" w:hAnsi="楷体_GB2312" w:eastAsia="楷体_GB2312" w:cs="楷体_GB2312"/>
                                <w:b/>
                                <w:sz w:val="30"/>
                                <w:szCs w:val="30"/>
                                <w:lang w:val="en-US" w:eastAsia="zh-CN"/>
                              </w:rPr>
                              <w:t>5</w:t>
                            </w:r>
                            <w:r>
                              <w:rPr>
                                <w:rFonts w:hint="eastAsia" w:ascii="楷体_GB2312" w:hAnsi="楷体_GB2312" w:eastAsia="楷体_GB2312" w:cs="楷体_GB2312"/>
                                <w:b/>
                                <w:sz w:val="30"/>
                                <w:szCs w:val="30"/>
                              </w:rPr>
                              <w:t>年1</w:t>
                            </w:r>
                            <w:r>
                              <w:rPr>
                                <w:rFonts w:hint="eastAsia" w:ascii="楷体_GB2312" w:hAnsi="楷体_GB2312" w:eastAsia="楷体_GB2312" w:cs="楷体_GB2312"/>
                                <w:b/>
                                <w:sz w:val="30"/>
                                <w:szCs w:val="30"/>
                                <w:lang w:val="en-US" w:eastAsia="zh-CN"/>
                              </w:rPr>
                              <w:t>2</w:t>
                            </w:r>
                            <w:r>
                              <w:rPr>
                                <w:rFonts w:hint="eastAsia" w:ascii="楷体_GB2312" w:hAnsi="楷体_GB2312" w:eastAsia="楷体_GB2312" w:cs="楷体_GB2312"/>
                                <w:b/>
                                <w:sz w:val="30"/>
                                <w:szCs w:val="30"/>
                              </w:rPr>
                              <w:t>月</w:t>
                            </w:r>
                          </w:p>
                          <w:p w14:paraId="6DDBD35A">
                            <w:pPr>
                              <w:spacing w:line="840" w:lineRule="exact"/>
                              <w:ind w:left="210" w:right="210"/>
                              <w:jc w:val="center"/>
                              <w:rPr>
                                <w:rFonts w:hint="eastAsia" w:ascii="华文新魏" w:hAnsi="等线" w:eastAsia="华文新魏"/>
                                <w:b/>
                                <w:sz w:val="56"/>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3.2pt;margin-top:34.15pt;height:175.2pt;width:458.25pt;mso-position-horizontal-relative:margin;z-index:251661312;mso-width-relative:page;mso-height-relative:page;" filled="f" stroked="f" coordsize="21600,21600" o:gfxdata="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TBSOPXAAAACgEAAA8AAAAAAAAAAQAgAAAA&#10;IgAAAGRycy9kb3ducmV2LnhtbFBLAQIUABQAAAAIAIdO4kAC5ZTsRQIAAHUEAAAOAAAAAAAAAAEA&#10;IAAAACYBAABkcnMvZTJvRG9jLnhtbFBLBQYAAAAABgAGAFkBAADdBQAAAAA=&#10;">
                <v:fill on="f" focussize="0,0"/>
                <v:stroke on="f" weight="0.5pt"/>
                <v:imagedata o:title=""/>
                <o:lock v:ext="edit" aspectratio="f"/>
                <v:textbox style="mso-fit-shape-to-text:t;">
                  <w:txbxContent>
                    <w:p w14:paraId="4A65EFE4">
                      <w:pPr>
                        <w:spacing w:line="840" w:lineRule="exact"/>
                        <w:jc w:val="center"/>
                        <w:rPr>
                          <w:rFonts w:hint="eastAsia" w:ascii="方正小标宋简体" w:hAnsi="方正小标宋简体" w:eastAsia="方正小标宋简体" w:cs="方正小标宋简体"/>
                          <w:b w:val="0"/>
                          <w:bCs/>
                          <w:sz w:val="56"/>
                        </w:rPr>
                      </w:pPr>
                      <w:r>
                        <w:rPr>
                          <w:rFonts w:hint="eastAsia" w:ascii="方正小标宋简体" w:hAnsi="方正小标宋简体" w:eastAsia="方正小标宋简体" w:cs="方正小标宋简体"/>
                          <w:b w:val="0"/>
                          <w:bCs/>
                          <w:sz w:val="56"/>
                        </w:rPr>
                        <w:t>202</w:t>
                      </w:r>
                      <w:r>
                        <w:rPr>
                          <w:rFonts w:hint="eastAsia" w:ascii="方正小标宋简体" w:hAnsi="方正小标宋简体" w:eastAsia="方正小标宋简体" w:cs="方正小标宋简体"/>
                          <w:b w:val="0"/>
                          <w:bCs/>
                          <w:sz w:val="56"/>
                          <w:lang w:val="en-US" w:eastAsia="zh-CN"/>
                        </w:rPr>
                        <w:t>5</w:t>
                      </w:r>
                      <w:r>
                        <w:rPr>
                          <w:rFonts w:hint="eastAsia" w:ascii="方正小标宋简体" w:hAnsi="方正小标宋简体" w:eastAsia="方正小标宋简体" w:cs="方正小标宋简体"/>
                          <w:b w:val="0"/>
                          <w:bCs/>
                          <w:sz w:val="56"/>
                        </w:rPr>
                        <w:t>年</w:t>
                      </w:r>
                    </w:p>
                    <w:p w14:paraId="776058C1">
                      <w:pPr>
                        <w:spacing w:line="840" w:lineRule="exact"/>
                        <w:ind w:left="240" w:leftChars="100" w:right="240" w:rightChars="100"/>
                        <w:jc w:val="center"/>
                        <w:rPr>
                          <w:rFonts w:ascii="华文新魏" w:hAnsi="等线" w:eastAsia="华文新魏"/>
                          <w:b/>
                          <w:sz w:val="56"/>
                        </w:rPr>
                      </w:pPr>
                      <w:r>
                        <w:rPr>
                          <w:rFonts w:hint="eastAsia" w:ascii="方正小标宋简体" w:hAnsi="方正小标宋简体" w:eastAsia="方正小标宋简体" w:cs="方正小标宋简体"/>
                          <w:b w:val="0"/>
                          <w:bCs/>
                          <w:sz w:val="56"/>
                          <w:lang w:eastAsia="zh-CN"/>
                        </w:rPr>
                        <w:t>云浮</w:t>
                      </w:r>
                      <w:r>
                        <w:rPr>
                          <w:rFonts w:hint="eastAsia" w:ascii="方正小标宋简体" w:hAnsi="方正小标宋简体" w:eastAsia="方正小标宋简体" w:cs="方正小标宋简体"/>
                          <w:b w:val="0"/>
                          <w:bCs/>
                          <w:sz w:val="56"/>
                        </w:rPr>
                        <w:t>市人力资源市场工资价位及企业人工成本信息</w:t>
                      </w:r>
                    </w:p>
                    <w:p w14:paraId="0E233C0F">
                      <w:pPr>
                        <w:spacing w:line="840" w:lineRule="exact"/>
                        <w:ind w:left="210" w:right="210"/>
                        <w:jc w:val="center"/>
                        <w:rPr>
                          <w:rFonts w:ascii="华文新魏" w:hAnsi="等线" w:eastAsia="华文新魏"/>
                          <w:b/>
                          <w:sz w:val="56"/>
                        </w:rPr>
                      </w:pPr>
                    </w:p>
                    <w:p w14:paraId="57B5DC51">
                      <w:pPr>
                        <w:spacing w:line="840" w:lineRule="exact"/>
                        <w:ind w:left="210" w:right="210"/>
                        <w:jc w:val="center"/>
                        <w:rPr>
                          <w:rFonts w:ascii="华文新魏" w:hAnsi="等线" w:eastAsia="华文新魏"/>
                          <w:b/>
                          <w:sz w:val="56"/>
                        </w:rPr>
                      </w:pPr>
                    </w:p>
                    <w:p w14:paraId="6ABC73CF">
                      <w:pPr>
                        <w:spacing w:line="840" w:lineRule="exact"/>
                        <w:ind w:left="210" w:right="210"/>
                        <w:jc w:val="center"/>
                        <w:rPr>
                          <w:rFonts w:ascii="华文新魏" w:hAnsi="等线" w:eastAsia="华文新魏"/>
                          <w:b/>
                          <w:sz w:val="56"/>
                        </w:rPr>
                      </w:pPr>
                    </w:p>
                    <w:p w14:paraId="074F35E2">
                      <w:pPr>
                        <w:spacing w:line="840" w:lineRule="exact"/>
                        <w:ind w:left="210" w:right="210"/>
                        <w:jc w:val="center"/>
                        <w:rPr>
                          <w:rFonts w:ascii="华文新魏" w:hAnsi="等线" w:eastAsia="华文新魏"/>
                          <w:b/>
                          <w:sz w:val="56"/>
                        </w:rPr>
                      </w:pPr>
                    </w:p>
                    <w:p w14:paraId="2DB85D7B">
                      <w:pPr>
                        <w:spacing w:line="840" w:lineRule="exact"/>
                        <w:ind w:left="210" w:right="210"/>
                        <w:jc w:val="center"/>
                        <w:rPr>
                          <w:rFonts w:ascii="华文新魏" w:hAnsi="等线" w:eastAsia="华文新魏"/>
                          <w:b/>
                          <w:sz w:val="56"/>
                        </w:rPr>
                      </w:pPr>
                    </w:p>
                    <w:p w14:paraId="181CE05E">
                      <w:pPr>
                        <w:spacing w:line="840" w:lineRule="exact"/>
                        <w:ind w:left="210" w:right="210"/>
                        <w:jc w:val="center"/>
                        <w:rPr>
                          <w:rFonts w:ascii="华文新魏" w:hAnsi="等线" w:eastAsia="华文新魏"/>
                          <w:b/>
                          <w:sz w:val="56"/>
                        </w:rPr>
                      </w:pPr>
                    </w:p>
                    <w:p w14:paraId="08F811FC">
                      <w:pPr>
                        <w:spacing w:line="840" w:lineRule="exact"/>
                        <w:ind w:left="210" w:right="210"/>
                        <w:jc w:val="center"/>
                        <w:rPr>
                          <w:rFonts w:ascii="华文新魏" w:hAnsi="等线" w:eastAsia="华文新魏"/>
                          <w:b/>
                          <w:sz w:val="56"/>
                        </w:rPr>
                      </w:pPr>
                    </w:p>
                    <w:p w14:paraId="6B5ED0DA">
                      <w:pPr>
                        <w:spacing w:line="840" w:lineRule="exact"/>
                        <w:ind w:left="210" w:right="210"/>
                        <w:jc w:val="center"/>
                        <w:rPr>
                          <w:rFonts w:ascii="华文新魏" w:hAnsi="等线" w:eastAsia="华文新魏"/>
                          <w:b/>
                          <w:sz w:val="56"/>
                        </w:rPr>
                      </w:pPr>
                    </w:p>
                    <w:p w14:paraId="19265B4D">
                      <w:pPr>
                        <w:spacing w:line="840" w:lineRule="exact"/>
                        <w:ind w:left="210" w:right="210"/>
                        <w:jc w:val="center"/>
                        <w:rPr>
                          <w:rFonts w:ascii="华文新魏" w:hAnsi="等线" w:eastAsia="华文新魏"/>
                          <w:b/>
                          <w:sz w:val="56"/>
                        </w:rPr>
                      </w:pPr>
                    </w:p>
                    <w:p w14:paraId="087B8288">
                      <w:pPr>
                        <w:spacing w:line="840" w:lineRule="exact"/>
                        <w:ind w:left="210" w:right="210"/>
                        <w:jc w:val="center"/>
                        <w:rPr>
                          <w:rFonts w:ascii="华文新魏" w:hAnsi="等线" w:eastAsia="华文新魏"/>
                          <w:b/>
                          <w:sz w:val="56"/>
                        </w:rPr>
                      </w:pPr>
                    </w:p>
                    <w:p w14:paraId="220DF9F5">
                      <w:pPr>
                        <w:jc w:val="center"/>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lang w:eastAsia="zh-CN"/>
                        </w:rPr>
                        <w:t>云浮</w:t>
                      </w:r>
                      <w:r>
                        <w:rPr>
                          <w:rFonts w:hint="eastAsia" w:ascii="楷体_GB2312" w:hAnsi="楷体_GB2312" w:eastAsia="楷体_GB2312" w:cs="楷体_GB2312"/>
                          <w:b/>
                          <w:sz w:val="30"/>
                          <w:szCs w:val="30"/>
                        </w:rPr>
                        <w:t>市人力资源和社会保障局</w:t>
                      </w:r>
                    </w:p>
                    <w:p w14:paraId="4D874C21">
                      <w:pPr>
                        <w:jc w:val="center"/>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t>202</w:t>
                      </w:r>
                      <w:r>
                        <w:rPr>
                          <w:rFonts w:hint="eastAsia" w:ascii="楷体_GB2312" w:hAnsi="楷体_GB2312" w:eastAsia="楷体_GB2312" w:cs="楷体_GB2312"/>
                          <w:b/>
                          <w:sz w:val="30"/>
                          <w:szCs w:val="30"/>
                          <w:lang w:val="en-US" w:eastAsia="zh-CN"/>
                        </w:rPr>
                        <w:t>5</w:t>
                      </w:r>
                      <w:r>
                        <w:rPr>
                          <w:rFonts w:hint="eastAsia" w:ascii="楷体_GB2312" w:hAnsi="楷体_GB2312" w:eastAsia="楷体_GB2312" w:cs="楷体_GB2312"/>
                          <w:b/>
                          <w:sz w:val="30"/>
                          <w:szCs w:val="30"/>
                        </w:rPr>
                        <w:t>年1</w:t>
                      </w:r>
                      <w:r>
                        <w:rPr>
                          <w:rFonts w:hint="eastAsia" w:ascii="楷体_GB2312" w:hAnsi="楷体_GB2312" w:eastAsia="楷体_GB2312" w:cs="楷体_GB2312"/>
                          <w:b/>
                          <w:sz w:val="30"/>
                          <w:szCs w:val="30"/>
                          <w:lang w:val="en-US" w:eastAsia="zh-CN"/>
                        </w:rPr>
                        <w:t>2</w:t>
                      </w:r>
                      <w:r>
                        <w:rPr>
                          <w:rFonts w:hint="eastAsia" w:ascii="楷体_GB2312" w:hAnsi="楷体_GB2312" w:eastAsia="楷体_GB2312" w:cs="楷体_GB2312"/>
                          <w:b/>
                          <w:sz w:val="30"/>
                          <w:szCs w:val="30"/>
                        </w:rPr>
                        <w:t>月</w:t>
                      </w:r>
                    </w:p>
                    <w:p w14:paraId="6DDBD35A">
                      <w:pPr>
                        <w:spacing w:line="840" w:lineRule="exact"/>
                        <w:ind w:left="210" w:right="210"/>
                        <w:jc w:val="center"/>
                        <w:rPr>
                          <w:rFonts w:hint="eastAsia" w:ascii="华文新魏" w:hAnsi="等线" w:eastAsia="华文新魏"/>
                          <w:b/>
                          <w:sz w:val="56"/>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4323080</wp:posOffset>
                </wp:positionV>
                <wp:extent cx="6105525" cy="487680"/>
                <wp:effectExtent l="0" t="0" r="0" b="0"/>
                <wp:wrapNone/>
                <wp:docPr id="15" name="文本框 14"/>
                <wp:cNvGraphicFramePr/>
                <a:graphic xmlns:a="http://schemas.openxmlformats.org/drawingml/2006/main">
                  <a:graphicData uri="http://schemas.microsoft.com/office/word/2010/wordprocessingShape">
                    <wps:wsp>
                      <wps:cNvSpPr txBox="1"/>
                      <wps:spPr>
                        <a:xfrm>
                          <a:off x="889635" y="5130800"/>
                          <a:ext cx="6105525" cy="487680"/>
                        </a:xfrm>
                        <a:prstGeom prst="rect">
                          <a:avLst/>
                        </a:prstGeom>
                        <a:noFill/>
                      </wps:spPr>
                      <wps:txbx>
                        <w:txbxContent>
                          <w:p w14:paraId="530B285A">
                            <w:pPr>
                              <w:pStyle w:val="12"/>
                              <w:keepNext w:val="0"/>
                              <w:keepLines w:val="0"/>
                              <w:pageBreakBefore w:val="0"/>
                              <w:widowControl w:val="0"/>
                              <w:kinsoku/>
                              <w:wordWrap/>
                              <w:overflowPunct/>
                              <w:topLinePunct w:val="0"/>
                              <w:autoSpaceDE/>
                              <w:autoSpaceDN/>
                              <w:bidi w:val="0"/>
                              <w:adjustRightInd/>
                              <w:snapToGrid w:val="0"/>
                              <w:spacing w:line="240" w:lineRule="auto"/>
                              <w:ind w:left="0"/>
                              <w:jc w:val="right"/>
                              <w:textAlignment w:val="auto"/>
                            </w:pPr>
                          </w:p>
                        </w:txbxContent>
                      </wps:txbx>
                      <wps:bodyPr wrap="square">
                        <a:spAutoFit/>
                      </wps:bodyPr>
                    </wps:wsp>
                  </a:graphicData>
                </a:graphic>
              </wp:anchor>
            </w:drawing>
          </mc:Choice>
          <mc:Fallback>
            <w:pict>
              <v:shape id="文本框 14" o:spid="_x0000_s1026" o:spt="202" type="#_x0000_t202" style="position:absolute;left:0pt;margin-left:-19.95pt;margin-top:340.4pt;height:38.4pt;width:480.75pt;z-index:251660288;mso-width-relative:page;mso-height-relative:page;" filled="f" stroked="f" coordsize="21600,21600" o:gfxdata="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cq3kLZAAAACwEAAA8AAAAAAAAAAQAgAAAAIgAAAGRycy9kb3ducmV2Lnht&#10;bFBLAQIUABQAAAAIAIdO4kD4xHcnvwEAAF8DAAAOAAAAAAAAAAEAIAAAACgBAABkcnMvZTJvRG9j&#10;LnhtbFBLBQYAAAAABgAGAFkBAABZBQAAAAA=&#10;">
                <v:fill on="f" focussize="0,0"/>
                <v:stroke on="f"/>
                <v:imagedata o:title=""/>
                <o:lock v:ext="edit" aspectratio="f"/>
                <v:textbox style="mso-fit-shape-to-text:t;">
                  <w:txbxContent>
                    <w:p w14:paraId="530B285A">
                      <w:pPr>
                        <w:pStyle w:val="12"/>
                        <w:keepNext w:val="0"/>
                        <w:keepLines w:val="0"/>
                        <w:pageBreakBefore w:val="0"/>
                        <w:widowControl w:val="0"/>
                        <w:kinsoku/>
                        <w:wordWrap/>
                        <w:overflowPunct/>
                        <w:topLinePunct w:val="0"/>
                        <w:autoSpaceDE/>
                        <w:autoSpaceDN/>
                        <w:bidi w:val="0"/>
                        <w:adjustRightInd/>
                        <w:snapToGrid w:val="0"/>
                        <w:spacing w:line="240" w:lineRule="auto"/>
                        <w:ind w:left="0"/>
                        <w:jc w:val="right"/>
                        <w:textAlignment w:val="auto"/>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429895</wp:posOffset>
                </wp:positionH>
                <wp:positionV relativeFrom="paragraph">
                  <wp:posOffset>2386965</wp:posOffset>
                </wp:positionV>
                <wp:extent cx="5440045" cy="2072640"/>
                <wp:effectExtent l="0" t="0" r="0" b="0"/>
                <wp:wrapNone/>
                <wp:docPr id="13" name="文本框 12"/>
                <wp:cNvGraphicFramePr/>
                <a:graphic xmlns:a="http://schemas.openxmlformats.org/drawingml/2006/main">
                  <a:graphicData uri="http://schemas.microsoft.com/office/word/2010/wordprocessingShape">
                    <wps:wsp>
                      <wps:cNvSpPr txBox="1"/>
                      <wps:spPr>
                        <a:xfrm>
                          <a:off x="1572895" y="3301365"/>
                          <a:ext cx="5440045" cy="2072640"/>
                        </a:xfrm>
                        <a:prstGeom prst="rect">
                          <a:avLst/>
                        </a:prstGeom>
                        <a:noFill/>
                      </wps:spPr>
                      <wps:txbx>
                        <w:txbxContent>
                          <w:p w14:paraId="69E16655">
                            <w:pPr>
                              <w:pStyle w:val="12"/>
                              <w:keepNext w:val="0"/>
                              <w:keepLines w:val="0"/>
                              <w:pageBreakBefore w:val="0"/>
                              <w:widowControl w:val="0"/>
                              <w:kinsoku/>
                              <w:wordWrap/>
                              <w:overflowPunct/>
                              <w:topLinePunct w:val="0"/>
                              <w:autoSpaceDE/>
                              <w:autoSpaceDN/>
                              <w:bidi w:val="0"/>
                              <w:adjustRightInd/>
                              <w:snapToGrid w:val="0"/>
                              <w:spacing w:line="240" w:lineRule="auto"/>
                              <w:ind w:left="0"/>
                              <w:jc w:val="right"/>
                              <w:textAlignment w:val="auto"/>
                            </w:pPr>
                          </w:p>
                        </w:txbxContent>
                      </wps:txbx>
                      <wps:bodyPr wrap="square" rtlCol="0">
                        <a:spAutoFit/>
                      </wps:bodyPr>
                    </wps:wsp>
                  </a:graphicData>
                </a:graphic>
              </wp:anchor>
            </w:drawing>
          </mc:Choice>
          <mc:Fallback>
            <w:pict>
              <v:shape id="文本框 12" o:spid="_x0000_s1026" o:spt="202" type="#_x0000_t202" style="position:absolute;left:0pt;margin-left:33.85pt;margin-top:187.95pt;height:163.2pt;width:428.35pt;z-index:251659264;mso-width-relative:page;mso-height-relative:page;" filled="f" stroked="f" coordsize="21600,21600" o:gfxdata="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ijYJY2QAAAAoBAAAPAAAAAAAAAAEAIAAAACIAAABkcnMv&#10;ZG93bnJldi54bWxQSwECFAAUAAAACACHTuJAhBpF2ckBAABsAwAADgAAAAAAAAABACAAAAAoAQAA&#10;ZHJzL2Uyb0RvYy54bWxQSwUGAAAAAAYABgBZAQAAYwUAAAAA&#10;">
                <v:fill on="f" focussize="0,0"/>
                <v:stroke on="f"/>
                <v:imagedata o:title=""/>
                <o:lock v:ext="edit" aspectratio="f"/>
                <v:textbox style="mso-fit-shape-to-text:t;">
                  <w:txbxContent>
                    <w:p w14:paraId="69E16655">
                      <w:pPr>
                        <w:pStyle w:val="12"/>
                        <w:keepNext w:val="0"/>
                        <w:keepLines w:val="0"/>
                        <w:pageBreakBefore w:val="0"/>
                        <w:widowControl w:val="0"/>
                        <w:kinsoku/>
                        <w:wordWrap/>
                        <w:overflowPunct/>
                        <w:topLinePunct w:val="0"/>
                        <w:autoSpaceDE/>
                        <w:autoSpaceDN/>
                        <w:bidi w:val="0"/>
                        <w:adjustRightInd/>
                        <w:snapToGrid w:val="0"/>
                        <w:spacing w:line="240" w:lineRule="auto"/>
                        <w:ind w:left="0"/>
                        <w:jc w:val="right"/>
                        <w:textAlignment w:val="auto"/>
                      </w:pPr>
                    </w:p>
                  </w:txbxContent>
                </v:textbox>
              </v:shape>
            </w:pict>
          </mc:Fallback>
        </mc:AlternateContent>
      </w:r>
      <w:r>
        <w:drawing>
          <wp:anchor distT="0" distB="0" distL="114300" distR="114300" simplePos="0" relativeHeight="251660288" behindDoc="1" locked="0" layoutInCell="1" allowOverlap="1">
            <wp:simplePos x="0" y="0"/>
            <wp:positionH relativeFrom="column">
              <wp:posOffset>-1170940</wp:posOffset>
            </wp:positionH>
            <wp:positionV relativeFrom="paragraph">
              <wp:posOffset>-939165</wp:posOffset>
            </wp:positionV>
            <wp:extent cx="7626350" cy="10782935"/>
            <wp:effectExtent l="0" t="0" r="6350" b="12065"/>
            <wp:wrapNone/>
            <wp:docPr id="3" name="图片 3"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7"/>
                    <pic:cNvPicPr>
                      <a:picLocks noChangeAspect="1"/>
                    </pic:cNvPicPr>
                  </pic:nvPicPr>
                  <pic:blipFill>
                    <a:blip r:embed="rId8"/>
                    <a:stretch>
                      <a:fillRect/>
                    </a:stretch>
                  </pic:blipFill>
                  <pic:spPr>
                    <a:xfrm>
                      <a:off x="0" y="0"/>
                      <a:ext cx="7626350" cy="10782935"/>
                    </a:xfrm>
                    <a:prstGeom prst="rect">
                      <a:avLst/>
                    </a:prstGeom>
                  </pic:spPr>
                </pic:pic>
              </a:graphicData>
            </a:graphic>
          </wp:anchor>
        </w:drawing>
      </w:r>
    </w:p>
    <w:p w14:paraId="0C7A2648">
      <w:pPr>
        <w:pStyle w:val="2"/>
        <w:ind w:left="1320" w:leftChars="550" w:right="1320" w:rightChars="550"/>
        <w:outlineLvl w:val="9"/>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2"/>
          <w:lang w:val="en-US" w:eastAsia="zh-CN" w:bidi="ar-SA"/>
        </w:rPr>
        <w:id w:val="147476414"/>
        <w15:color w:val="DBDBDB"/>
        <w:docPartObj>
          <w:docPartGallery w:val="Table of Contents"/>
          <w:docPartUnique/>
        </w:docPartObj>
      </w:sdtPr>
      <w:sdtEndPr>
        <w:rPr>
          <w:rFonts w:ascii="Times New Roman" w:hAnsi="Times New Roman" w:eastAsia="宋体" w:cs="Times New Roman"/>
          <w:kern w:val="2"/>
          <w:sz w:val="28"/>
          <w:szCs w:val="24"/>
          <w:lang w:val="en-US" w:eastAsia="zh-CN" w:bidi="ar-SA"/>
        </w:rPr>
      </w:sdtEndPr>
      <w:sdtContent>
        <w:p w14:paraId="19E63DC2">
          <w:pPr>
            <w:spacing w:before="0" w:beforeLines="0" w:after="0" w:afterLines="0" w:line="240" w:lineRule="auto"/>
            <w:ind w:left="0" w:leftChars="0" w:right="0" w:rightChars="0" w:firstLine="0" w:firstLineChars="0"/>
            <w:jc w:val="center"/>
            <w:rPr>
              <w:rFonts w:hint="eastAsia" w:eastAsia="宋体"/>
              <w:b/>
              <w:bCs/>
              <w:sz w:val="44"/>
              <w:szCs w:val="40"/>
              <w:lang w:val="en-US" w:eastAsia="zh-CN"/>
            </w:rPr>
          </w:pPr>
          <w:r>
            <w:rPr>
              <w:rFonts w:ascii="宋体" w:hAnsi="宋体" w:eastAsia="宋体"/>
              <w:b/>
              <w:bCs/>
              <w:sz w:val="36"/>
              <w:szCs w:val="40"/>
            </w:rPr>
            <w:t>目</w:t>
          </w:r>
          <w:r>
            <w:rPr>
              <w:rFonts w:hint="eastAsia" w:ascii="宋体" w:hAnsi="宋体" w:eastAsia="宋体"/>
              <w:b/>
              <w:bCs/>
              <w:sz w:val="36"/>
              <w:szCs w:val="40"/>
              <w:lang w:val="en-US" w:eastAsia="zh-CN"/>
            </w:rPr>
            <w:t xml:space="preserve">  </w:t>
          </w:r>
          <w:r>
            <w:rPr>
              <w:rFonts w:ascii="宋体" w:hAnsi="宋体" w:eastAsia="宋体"/>
              <w:b/>
              <w:bCs/>
              <w:sz w:val="36"/>
              <w:szCs w:val="40"/>
            </w:rPr>
            <w:t>录</w:t>
          </w:r>
        </w:p>
        <w:p w14:paraId="696D963A">
          <w:pPr>
            <w:pStyle w:val="10"/>
            <w:tabs>
              <w:tab w:val="right" w:leader="hyphen" w:pos="8306"/>
            </w:tabs>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TOC \o "1-3" \h \u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_Toc22679 </w:instrText>
          </w:r>
          <w:r>
            <w:rPr>
              <w:rFonts w:hint="default" w:ascii="Times New Roman" w:hAnsi="Times New Roman" w:eastAsia="仿宋_GB2312" w:cs="Times New Roman"/>
              <w:szCs w:val="32"/>
            </w:rPr>
            <w:fldChar w:fldCharType="separate"/>
          </w:r>
          <w:r>
            <w:t>关于202</w:t>
          </w:r>
          <w:r>
            <w:rPr>
              <w:rFonts w:hint="eastAsia"/>
              <w:lang w:val="en-US" w:eastAsia="zh-CN"/>
            </w:rPr>
            <w:t>5</w:t>
          </w:r>
          <w:r>
            <w:t>年</w:t>
          </w:r>
          <w:r>
            <w:rPr>
              <w:rFonts w:hint="eastAsia"/>
              <w:lang w:eastAsia="zh-CN"/>
            </w:rPr>
            <w:t>云浮</w:t>
          </w:r>
          <w:r>
            <w:t>市人力资源市场工资价位及企业人工成本信息的说明</w:t>
          </w:r>
          <w:r>
            <w:tab/>
          </w:r>
          <w:r>
            <w:fldChar w:fldCharType="begin"/>
          </w:r>
          <w:r>
            <w:instrText xml:space="preserve"> PAGEREF _Toc22679 \h </w:instrText>
          </w:r>
          <w:r>
            <w:fldChar w:fldCharType="separate"/>
          </w:r>
          <w:r>
            <w:t>1</w:t>
          </w:r>
          <w:r>
            <w:fldChar w:fldCharType="end"/>
          </w:r>
          <w:r>
            <w:rPr>
              <w:rFonts w:hint="default" w:ascii="Times New Roman" w:hAnsi="Times New Roman" w:eastAsia="仿宋_GB2312" w:cs="Times New Roman"/>
              <w:szCs w:val="32"/>
            </w:rPr>
            <w:fldChar w:fldCharType="end"/>
          </w:r>
        </w:p>
        <w:p w14:paraId="6CA3CEFD">
          <w:pPr>
            <w:pStyle w:val="10"/>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_Toc14974 </w:instrText>
          </w:r>
          <w:r>
            <w:rPr>
              <w:rFonts w:hint="default" w:ascii="Times New Roman" w:hAnsi="Times New Roman" w:eastAsia="仿宋_GB2312" w:cs="Times New Roman"/>
              <w:szCs w:val="32"/>
            </w:rPr>
            <w:fldChar w:fldCharType="separate"/>
          </w:r>
          <w:r>
            <w:t>第一部分  人力资源市场工资价位</w:t>
          </w:r>
          <w:r>
            <w:tab/>
          </w:r>
          <w:r>
            <w:fldChar w:fldCharType="begin"/>
          </w:r>
          <w:r>
            <w:instrText xml:space="preserve"> PAGEREF _Toc14974 \h </w:instrText>
          </w:r>
          <w:r>
            <w:fldChar w:fldCharType="separate"/>
          </w:r>
          <w:r>
            <w:t>6</w:t>
          </w:r>
          <w:r>
            <w:fldChar w:fldCharType="end"/>
          </w:r>
          <w:r>
            <w:rPr>
              <w:rFonts w:hint="default" w:ascii="Times New Roman" w:hAnsi="Times New Roman" w:eastAsia="仿宋_GB2312" w:cs="Times New Roman"/>
              <w:szCs w:val="32"/>
            </w:rPr>
            <w:fldChar w:fldCharType="end"/>
          </w:r>
        </w:p>
        <w:p w14:paraId="351A7265">
          <w:pPr>
            <w:pStyle w:val="11"/>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_Toc2166 </w:instrText>
          </w:r>
          <w:r>
            <w:rPr>
              <w:rFonts w:hint="default" w:ascii="Times New Roman" w:hAnsi="Times New Roman" w:eastAsia="仿宋_GB2312" w:cs="Times New Roman"/>
              <w:szCs w:val="32"/>
            </w:rPr>
            <w:fldChar w:fldCharType="separate"/>
          </w:r>
          <w:r>
            <w:rPr>
              <w:rFonts w:ascii="Times New Roman" w:hAnsi="Times New Roman"/>
            </w:rPr>
            <w:t>一、整体工资价位</w:t>
          </w:r>
          <w:r>
            <w:tab/>
          </w:r>
          <w:r>
            <w:fldChar w:fldCharType="begin"/>
          </w:r>
          <w:r>
            <w:instrText xml:space="preserve"> PAGEREF _Toc2166 \h </w:instrText>
          </w:r>
          <w:r>
            <w:fldChar w:fldCharType="separate"/>
          </w:r>
          <w:r>
            <w:t>6</w:t>
          </w:r>
          <w:r>
            <w:fldChar w:fldCharType="end"/>
          </w:r>
          <w:r>
            <w:rPr>
              <w:rFonts w:hint="default" w:ascii="Times New Roman" w:hAnsi="Times New Roman" w:eastAsia="仿宋_GB2312" w:cs="Times New Roman"/>
              <w:szCs w:val="32"/>
            </w:rPr>
            <w:fldChar w:fldCharType="end"/>
          </w:r>
        </w:p>
        <w:p w14:paraId="194190F6">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_Toc22261 </w:instrText>
          </w:r>
          <w:r>
            <w:rPr>
              <w:rFonts w:hint="default" w:ascii="Times New Roman" w:hAnsi="Times New Roman" w:eastAsia="仿宋_GB2312" w:cs="Times New Roman"/>
              <w:szCs w:val="32"/>
            </w:rPr>
            <w:fldChar w:fldCharType="separate"/>
          </w:r>
          <w:r>
            <w:rPr>
              <w:rFonts w:ascii="Times New Roman" w:hAnsi="Times New Roman"/>
            </w:rPr>
            <w:t>（一）分行业门类的工资价位</w:t>
          </w:r>
          <w:r>
            <w:tab/>
          </w:r>
          <w:r>
            <w:fldChar w:fldCharType="begin"/>
          </w:r>
          <w:r>
            <w:instrText xml:space="preserve"> PAGEREF _Toc22261 \h </w:instrText>
          </w:r>
          <w:r>
            <w:fldChar w:fldCharType="separate"/>
          </w:r>
          <w:r>
            <w:t>6</w:t>
          </w:r>
          <w:r>
            <w:fldChar w:fldCharType="end"/>
          </w:r>
          <w:r>
            <w:rPr>
              <w:rFonts w:hint="default" w:ascii="Times New Roman" w:hAnsi="Times New Roman" w:eastAsia="仿宋_GB2312" w:cs="Times New Roman"/>
              <w:szCs w:val="32"/>
            </w:rPr>
            <w:fldChar w:fldCharType="end"/>
          </w:r>
        </w:p>
        <w:p w14:paraId="6B44BB4A">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_Toc18423 </w:instrText>
          </w:r>
          <w:r>
            <w:rPr>
              <w:rFonts w:hint="default" w:ascii="Times New Roman" w:hAnsi="Times New Roman" w:eastAsia="仿宋_GB2312" w:cs="Times New Roman"/>
              <w:szCs w:val="32"/>
            </w:rPr>
            <w:fldChar w:fldCharType="separate"/>
          </w:r>
          <w:r>
            <w:rPr>
              <w:rFonts w:ascii="Times New Roman" w:hAnsi="Times New Roman"/>
            </w:rPr>
            <w:t>（</w:t>
          </w:r>
          <w:r>
            <w:rPr>
              <w:rFonts w:hint="eastAsia" w:ascii="Times New Roman" w:hAnsi="Times New Roman"/>
            </w:rPr>
            <w:t>二</w:t>
          </w:r>
          <w:r>
            <w:rPr>
              <w:rFonts w:ascii="Times New Roman" w:hAnsi="Times New Roman"/>
            </w:rPr>
            <w:t>）分企业规模的工资价位</w:t>
          </w:r>
          <w:r>
            <w:tab/>
          </w:r>
          <w:r>
            <w:fldChar w:fldCharType="begin"/>
          </w:r>
          <w:r>
            <w:instrText xml:space="preserve"> PAGEREF _Toc18423 \h </w:instrText>
          </w:r>
          <w:r>
            <w:fldChar w:fldCharType="separate"/>
          </w:r>
          <w:r>
            <w:t>6</w:t>
          </w:r>
          <w:r>
            <w:fldChar w:fldCharType="end"/>
          </w:r>
          <w:r>
            <w:rPr>
              <w:rFonts w:hint="default" w:ascii="Times New Roman" w:hAnsi="Times New Roman" w:eastAsia="仿宋_GB2312" w:cs="Times New Roman"/>
              <w:szCs w:val="32"/>
            </w:rPr>
            <w:fldChar w:fldCharType="end"/>
          </w:r>
        </w:p>
        <w:p w14:paraId="1237C9C2">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_Toc3682 </w:instrText>
          </w:r>
          <w:r>
            <w:rPr>
              <w:rFonts w:hint="default" w:ascii="Times New Roman" w:hAnsi="Times New Roman" w:eastAsia="仿宋_GB2312" w:cs="Times New Roman"/>
              <w:szCs w:val="32"/>
            </w:rPr>
            <w:fldChar w:fldCharType="separate"/>
          </w:r>
          <w:r>
            <w:rPr>
              <w:rFonts w:ascii="Times New Roman" w:hAnsi="Times New Roman"/>
            </w:rPr>
            <w:t>（</w:t>
          </w:r>
          <w:r>
            <w:rPr>
              <w:rFonts w:hint="eastAsia" w:ascii="Times New Roman" w:hAnsi="Times New Roman"/>
              <w:lang w:eastAsia="zh-CN"/>
            </w:rPr>
            <w:t>三</w:t>
          </w:r>
          <w:r>
            <w:rPr>
              <w:rFonts w:ascii="Times New Roman" w:hAnsi="Times New Roman"/>
            </w:rPr>
            <w:t>）分岗位等级的工资价位</w:t>
          </w:r>
          <w:r>
            <w:tab/>
          </w:r>
          <w:r>
            <w:fldChar w:fldCharType="begin"/>
          </w:r>
          <w:r>
            <w:instrText xml:space="preserve"> PAGEREF _Toc3682 \h </w:instrText>
          </w:r>
          <w:r>
            <w:fldChar w:fldCharType="separate"/>
          </w:r>
          <w:r>
            <w:t>6</w:t>
          </w:r>
          <w:r>
            <w:fldChar w:fldCharType="end"/>
          </w:r>
          <w:r>
            <w:rPr>
              <w:rFonts w:hint="default" w:ascii="Times New Roman" w:hAnsi="Times New Roman" w:eastAsia="仿宋_GB2312" w:cs="Times New Roman"/>
              <w:szCs w:val="32"/>
            </w:rPr>
            <w:fldChar w:fldCharType="end"/>
          </w:r>
        </w:p>
        <w:p w14:paraId="32BF4627">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_Toc8697 </w:instrText>
          </w:r>
          <w:r>
            <w:rPr>
              <w:rFonts w:hint="default" w:ascii="Times New Roman" w:hAnsi="Times New Roman" w:eastAsia="仿宋_GB2312" w:cs="Times New Roman"/>
              <w:szCs w:val="32"/>
            </w:rPr>
            <w:fldChar w:fldCharType="separate"/>
          </w:r>
          <w:r>
            <w:rPr>
              <w:rFonts w:ascii="Times New Roman" w:hAnsi="Times New Roman"/>
            </w:rPr>
            <w:t>（</w:t>
          </w:r>
          <w:r>
            <w:rPr>
              <w:rFonts w:hint="eastAsia" w:ascii="Times New Roman" w:hAnsi="Times New Roman"/>
              <w:lang w:eastAsia="zh-CN"/>
            </w:rPr>
            <w:t>四</w:t>
          </w:r>
          <w:r>
            <w:rPr>
              <w:rFonts w:ascii="Times New Roman" w:hAnsi="Times New Roman"/>
            </w:rPr>
            <w:t>）分学历的工资价位</w:t>
          </w:r>
          <w:r>
            <w:tab/>
          </w:r>
          <w:r>
            <w:fldChar w:fldCharType="begin"/>
          </w:r>
          <w:r>
            <w:instrText xml:space="preserve"> PAGEREF _Toc8697 \h </w:instrText>
          </w:r>
          <w:r>
            <w:fldChar w:fldCharType="separate"/>
          </w:r>
          <w:r>
            <w:t>7</w:t>
          </w:r>
          <w:r>
            <w:fldChar w:fldCharType="end"/>
          </w:r>
          <w:r>
            <w:rPr>
              <w:rFonts w:hint="default" w:ascii="Times New Roman" w:hAnsi="Times New Roman" w:eastAsia="仿宋_GB2312" w:cs="Times New Roman"/>
              <w:szCs w:val="32"/>
            </w:rPr>
            <w:fldChar w:fldCharType="end"/>
          </w:r>
        </w:p>
        <w:p w14:paraId="6845B981">
          <w:pPr>
            <w:pStyle w:val="11"/>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_Toc22816 </w:instrText>
          </w:r>
          <w:r>
            <w:rPr>
              <w:rFonts w:hint="default" w:ascii="Times New Roman" w:hAnsi="Times New Roman" w:eastAsia="仿宋_GB2312" w:cs="Times New Roman"/>
              <w:szCs w:val="32"/>
            </w:rPr>
            <w:fldChar w:fldCharType="separate"/>
          </w:r>
          <w:r>
            <w:rPr>
              <w:rFonts w:hint="eastAsia"/>
              <w:lang w:eastAsia="zh-CN"/>
            </w:rPr>
            <w:t>二</w:t>
          </w:r>
          <w:r>
            <w:t>、职业工资价位</w:t>
          </w:r>
          <w:r>
            <w:tab/>
          </w:r>
          <w:r>
            <w:fldChar w:fldCharType="begin"/>
          </w:r>
          <w:r>
            <w:instrText xml:space="preserve"> PAGEREF _Toc22816 \h </w:instrText>
          </w:r>
          <w:r>
            <w:fldChar w:fldCharType="separate"/>
          </w:r>
          <w:r>
            <w:t>7</w:t>
          </w:r>
          <w:r>
            <w:fldChar w:fldCharType="end"/>
          </w:r>
          <w:r>
            <w:rPr>
              <w:rFonts w:hint="default" w:ascii="Times New Roman" w:hAnsi="Times New Roman" w:eastAsia="仿宋_GB2312" w:cs="Times New Roman"/>
              <w:szCs w:val="32"/>
            </w:rPr>
            <w:fldChar w:fldCharType="end"/>
          </w:r>
        </w:p>
        <w:p w14:paraId="50E74422">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_Toc10905 </w:instrText>
          </w:r>
          <w:r>
            <w:rPr>
              <w:rFonts w:hint="default" w:ascii="Times New Roman" w:hAnsi="Times New Roman" w:eastAsia="仿宋_GB2312" w:cs="Times New Roman"/>
              <w:szCs w:val="32"/>
            </w:rPr>
            <w:fldChar w:fldCharType="separate"/>
          </w:r>
          <w:r>
            <w:t>（一）职业大类</w:t>
          </w:r>
          <w:r>
            <w:tab/>
          </w:r>
          <w:r>
            <w:fldChar w:fldCharType="begin"/>
          </w:r>
          <w:r>
            <w:instrText xml:space="preserve"> PAGEREF _Toc10905 \h </w:instrText>
          </w:r>
          <w:r>
            <w:fldChar w:fldCharType="separate"/>
          </w:r>
          <w:r>
            <w:t>7</w:t>
          </w:r>
          <w:r>
            <w:fldChar w:fldCharType="end"/>
          </w:r>
          <w:r>
            <w:rPr>
              <w:rFonts w:hint="default" w:ascii="Times New Roman" w:hAnsi="Times New Roman" w:eastAsia="仿宋_GB2312" w:cs="Times New Roman"/>
              <w:szCs w:val="32"/>
            </w:rPr>
            <w:fldChar w:fldCharType="end"/>
          </w:r>
        </w:p>
        <w:p w14:paraId="64CD43DD">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_Toc11093 </w:instrText>
          </w:r>
          <w:r>
            <w:rPr>
              <w:rFonts w:hint="default" w:ascii="Times New Roman" w:hAnsi="Times New Roman" w:eastAsia="仿宋_GB2312" w:cs="Times New Roman"/>
              <w:szCs w:val="32"/>
            </w:rPr>
            <w:fldChar w:fldCharType="separate"/>
          </w:r>
          <w:r>
            <w:rPr>
              <w:rFonts w:hint="eastAsia"/>
            </w:rPr>
            <w:t xml:space="preserve">（二） </w:t>
          </w:r>
          <w:r>
            <w:t>职业中类</w:t>
          </w:r>
          <w:r>
            <w:tab/>
          </w:r>
          <w:r>
            <w:fldChar w:fldCharType="begin"/>
          </w:r>
          <w:r>
            <w:instrText xml:space="preserve"> PAGEREF _Toc11093 \h </w:instrText>
          </w:r>
          <w:r>
            <w:fldChar w:fldCharType="separate"/>
          </w:r>
          <w:r>
            <w:t>7</w:t>
          </w:r>
          <w:r>
            <w:fldChar w:fldCharType="end"/>
          </w:r>
          <w:r>
            <w:rPr>
              <w:rFonts w:hint="default" w:ascii="Times New Roman" w:hAnsi="Times New Roman" w:eastAsia="仿宋_GB2312" w:cs="Times New Roman"/>
              <w:szCs w:val="32"/>
            </w:rPr>
            <w:fldChar w:fldCharType="end"/>
          </w:r>
        </w:p>
        <w:p w14:paraId="7E4C09E4">
          <w:pPr>
            <w:pStyle w:val="10"/>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_Toc31706 </w:instrText>
          </w:r>
          <w:r>
            <w:rPr>
              <w:rFonts w:hint="default" w:ascii="Times New Roman" w:hAnsi="Times New Roman" w:eastAsia="仿宋_GB2312" w:cs="Times New Roman"/>
              <w:szCs w:val="32"/>
            </w:rPr>
            <w:fldChar w:fldCharType="separate"/>
          </w:r>
          <w:r>
            <w:t>第二部分  企业人工成本信息</w:t>
          </w:r>
          <w:r>
            <w:tab/>
          </w:r>
          <w:r>
            <w:fldChar w:fldCharType="begin"/>
          </w:r>
          <w:r>
            <w:instrText xml:space="preserve"> PAGEREF _Toc31706 \h </w:instrText>
          </w:r>
          <w:r>
            <w:fldChar w:fldCharType="separate"/>
          </w:r>
          <w:r>
            <w:t>9</w:t>
          </w:r>
          <w:r>
            <w:fldChar w:fldCharType="end"/>
          </w:r>
          <w:r>
            <w:rPr>
              <w:rFonts w:hint="default" w:ascii="Times New Roman" w:hAnsi="Times New Roman" w:eastAsia="仿宋_GB2312" w:cs="Times New Roman"/>
              <w:szCs w:val="32"/>
            </w:rPr>
            <w:fldChar w:fldCharType="end"/>
          </w:r>
        </w:p>
        <w:p w14:paraId="442D1A51">
          <w:pPr>
            <w:pStyle w:val="11"/>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_Toc15241 </w:instrText>
          </w:r>
          <w:r>
            <w:rPr>
              <w:rFonts w:hint="default" w:ascii="Times New Roman" w:hAnsi="Times New Roman" w:eastAsia="仿宋_GB2312" w:cs="Times New Roman"/>
              <w:szCs w:val="32"/>
            </w:rPr>
            <w:fldChar w:fldCharType="separate"/>
          </w:r>
          <w:r>
            <w:rPr>
              <w:rFonts w:ascii="Times New Roman" w:hAnsi="Times New Roman"/>
            </w:rPr>
            <w:t>一、</w:t>
          </w:r>
          <w:r>
            <w:rPr>
              <w:rFonts w:hint="eastAsia"/>
            </w:rPr>
            <w:t>分行业门类的</w:t>
          </w:r>
          <w:r>
            <w:t>人工成本信息</w:t>
          </w:r>
          <w:r>
            <w:tab/>
          </w:r>
          <w:r>
            <w:fldChar w:fldCharType="begin"/>
          </w:r>
          <w:r>
            <w:instrText xml:space="preserve"> PAGEREF _Toc15241 \h </w:instrText>
          </w:r>
          <w:r>
            <w:fldChar w:fldCharType="separate"/>
          </w:r>
          <w:r>
            <w:t>9</w:t>
          </w:r>
          <w:r>
            <w:fldChar w:fldCharType="end"/>
          </w:r>
          <w:r>
            <w:rPr>
              <w:rFonts w:hint="default" w:ascii="Times New Roman" w:hAnsi="Times New Roman" w:eastAsia="仿宋_GB2312" w:cs="Times New Roman"/>
              <w:szCs w:val="32"/>
            </w:rPr>
            <w:fldChar w:fldCharType="end"/>
          </w:r>
        </w:p>
        <w:p w14:paraId="5974165C">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_Toc11382 </w:instrText>
          </w:r>
          <w:r>
            <w:rPr>
              <w:rFonts w:hint="default" w:ascii="Times New Roman" w:hAnsi="Times New Roman" w:eastAsia="仿宋_GB2312" w:cs="Times New Roman"/>
              <w:szCs w:val="32"/>
            </w:rPr>
            <w:fldChar w:fldCharType="separate"/>
          </w:r>
          <w:r>
            <w:rPr>
              <w:rFonts w:hint="eastAsia"/>
            </w:rPr>
            <w:t>（一）</w:t>
          </w:r>
          <w:r>
            <w:t>人工成本水平</w:t>
          </w:r>
          <w:r>
            <w:tab/>
          </w:r>
          <w:r>
            <w:fldChar w:fldCharType="begin"/>
          </w:r>
          <w:r>
            <w:instrText xml:space="preserve"> PAGEREF _Toc11382 \h </w:instrText>
          </w:r>
          <w:r>
            <w:fldChar w:fldCharType="separate"/>
          </w:r>
          <w:r>
            <w:t>9</w:t>
          </w:r>
          <w:r>
            <w:fldChar w:fldCharType="end"/>
          </w:r>
          <w:r>
            <w:rPr>
              <w:rFonts w:hint="default" w:ascii="Times New Roman" w:hAnsi="Times New Roman" w:eastAsia="仿宋_GB2312" w:cs="Times New Roman"/>
              <w:szCs w:val="32"/>
            </w:rPr>
            <w:fldChar w:fldCharType="end"/>
          </w:r>
        </w:p>
        <w:p w14:paraId="50D38692">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_Toc16052 </w:instrText>
          </w:r>
          <w:r>
            <w:rPr>
              <w:rFonts w:hint="default" w:ascii="Times New Roman" w:hAnsi="Times New Roman" w:eastAsia="仿宋_GB2312" w:cs="Times New Roman"/>
              <w:szCs w:val="32"/>
            </w:rPr>
            <w:fldChar w:fldCharType="separate"/>
          </w:r>
          <w:r>
            <w:rPr>
              <w:rFonts w:hint="eastAsia"/>
            </w:rPr>
            <w:t xml:space="preserve">（二） </w:t>
          </w:r>
          <w:r>
            <w:t>人工成本构成</w:t>
          </w:r>
          <w:r>
            <w:tab/>
          </w:r>
          <w:r>
            <w:fldChar w:fldCharType="begin"/>
          </w:r>
          <w:r>
            <w:instrText xml:space="preserve"> PAGEREF _Toc16052 \h </w:instrText>
          </w:r>
          <w:r>
            <w:fldChar w:fldCharType="separate"/>
          </w:r>
          <w:r>
            <w:t>9</w:t>
          </w:r>
          <w:r>
            <w:fldChar w:fldCharType="end"/>
          </w:r>
          <w:r>
            <w:rPr>
              <w:rFonts w:hint="default" w:ascii="Times New Roman" w:hAnsi="Times New Roman" w:eastAsia="仿宋_GB2312" w:cs="Times New Roman"/>
              <w:szCs w:val="32"/>
            </w:rPr>
            <w:fldChar w:fldCharType="end"/>
          </w:r>
        </w:p>
        <w:p w14:paraId="3FCAB26F">
          <w:pPr>
            <w:pStyle w:val="11"/>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_Toc14871 </w:instrText>
          </w:r>
          <w:r>
            <w:rPr>
              <w:rFonts w:hint="default" w:ascii="Times New Roman" w:hAnsi="Times New Roman" w:eastAsia="仿宋_GB2312" w:cs="Times New Roman"/>
              <w:szCs w:val="32"/>
            </w:rPr>
            <w:fldChar w:fldCharType="separate"/>
          </w:r>
          <w:r>
            <w:t>二、分企业规模的人工成本信息</w:t>
          </w:r>
          <w:r>
            <w:tab/>
          </w:r>
          <w:r>
            <w:fldChar w:fldCharType="begin"/>
          </w:r>
          <w:r>
            <w:instrText xml:space="preserve"> PAGEREF _Toc14871 \h </w:instrText>
          </w:r>
          <w:r>
            <w:fldChar w:fldCharType="separate"/>
          </w:r>
          <w:r>
            <w:t>10</w:t>
          </w:r>
          <w:r>
            <w:fldChar w:fldCharType="end"/>
          </w:r>
          <w:r>
            <w:rPr>
              <w:rFonts w:hint="default" w:ascii="Times New Roman" w:hAnsi="Times New Roman" w:eastAsia="仿宋_GB2312" w:cs="Times New Roman"/>
              <w:szCs w:val="32"/>
            </w:rPr>
            <w:fldChar w:fldCharType="end"/>
          </w:r>
        </w:p>
        <w:p w14:paraId="5ED1EDB9">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_Toc19977 </w:instrText>
          </w:r>
          <w:r>
            <w:rPr>
              <w:rFonts w:hint="default" w:ascii="Times New Roman" w:hAnsi="Times New Roman" w:eastAsia="仿宋_GB2312" w:cs="Times New Roman"/>
              <w:szCs w:val="32"/>
            </w:rPr>
            <w:fldChar w:fldCharType="separate"/>
          </w:r>
          <w:r>
            <w:rPr>
              <w:rFonts w:hint="eastAsia"/>
            </w:rPr>
            <w:t>（一）</w:t>
          </w:r>
          <w:r>
            <w:t>人工成本水平</w:t>
          </w:r>
          <w:r>
            <w:tab/>
          </w:r>
          <w:r>
            <w:fldChar w:fldCharType="begin"/>
          </w:r>
          <w:r>
            <w:instrText xml:space="preserve"> PAGEREF _Toc19977 \h </w:instrText>
          </w:r>
          <w:r>
            <w:fldChar w:fldCharType="separate"/>
          </w:r>
          <w:r>
            <w:t>10</w:t>
          </w:r>
          <w:r>
            <w:fldChar w:fldCharType="end"/>
          </w:r>
          <w:r>
            <w:rPr>
              <w:rFonts w:hint="default" w:ascii="Times New Roman" w:hAnsi="Times New Roman" w:eastAsia="仿宋_GB2312" w:cs="Times New Roman"/>
              <w:szCs w:val="32"/>
            </w:rPr>
            <w:fldChar w:fldCharType="end"/>
          </w:r>
        </w:p>
        <w:p w14:paraId="3B330AAB">
          <w:pPr>
            <w:pStyle w:val="7"/>
            <w:tabs>
              <w:tab w:val="right" w:leader="hyphen" w:pos="8306"/>
            </w:tabs>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_Toc27283 </w:instrText>
          </w:r>
          <w:r>
            <w:rPr>
              <w:rFonts w:hint="default" w:ascii="Times New Roman" w:hAnsi="Times New Roman" w:eastAsia="仿宋_GB2312" w:cs="Times New Roman"/>
              <w:szCs w:val="32"/>
            </w:rPr>
            <w:fldChar w:fldCharType="separate"/>
          </w:r>
          <w:r>
            <w:rPr>
              <w:rFonts w:hint="eastAsia"/>
              <w:lang w:eastAsia="zh-CN"/>
            </w:rPr>
            <w:t>（</w:t>
          </w:r>
          <w:r>
            <w:rPr>
              <w:rFonts w:hint="eastAsia"/>
              <w:lang w:val="en-US" w:eastAsia="zh-CN"/>
            </w:rPr>
            <w:t>二</w:t>
          </w:r>
          <w:r>
            <w:rPr>
              <w:rFonts w:hint="eastAsia"/>
              <w:lang w:eastAsia="zh-CN"/>
            </w:rPr>
            <w:t>）</w:t>
          </w:r>
          <w:r>
            <w:t>人工成本构成</w:t>
          </w:r>
          <w:r>
            <w:tab/>
          </w:r>
          <w:r>
            <w:fldChar w:fldCharType="begin"/>
          </w:r>
          <w:r>
            <w:instrText xml:space="preserve"> PAGEREF _Toc27283 \h </w:instrText>
          </w:r>
          <w:r>
            <w:fldChar w:fldCharType="separate"/>
          </w:r>
          <w:r>
            <w:t>10</w:t>
          </w:r>
          <w:r>
            <w:fldChar w:fldCharType="end"/>
          </w:r>
          <w:r>
            <w:rPr>
              <w:rFonts w:hint="default" w:ascii="Times New Roman" w:hAnsi="Times New Roman" w:eastAsia="仿宋_GB2312" w:cs="Times New Roman"/>
              <w:szCs w:val="32"/>
            </w:rPr>
            <w:fldChar w:fldCharType="end"/>
          </w:r>
        </w:p>
        <w:p w14:paraId="76459E8D">
          <w:pPr>
            <w:spacing w:line="360" w:lineRule="auto"/>
            <w:rPr>
              <w:rFonts w:ascii="Times New Roman" w:hAnsi="Times New Roman" w:eastAsia="宋体" w:cs="Times New Roman"/>
              <w:kern w:val="2"/>
              <w:sz w:val="28"/>
              <w:szCs w:val="24"/>
              <w:lang w:val="en-US" w:eastAsia="zh-CN" w:bidi="ar-SA"/>
            </w:rPr>
          </w:pPr>
          <w:r>
            <w:rPr>
              <w:rFonts w:hint="default" w:ascii="Times New Roman" w:hAnsi="Times New Roman" w:eastAsia="仿宋_GB2312" w:cs="Times New Roman"/>
              <w:szCs w:val="32"/>
            </w:rPr>
            <w:fldChar w:fldCharType="end"/>
          </w:r>
        </w:p>
      </w:sdtContent>
    </w:sdt>
    <w:p w14:paraId="0947B700">
      <w:pPr>
        <w:rPr>
          <w:rFonts w:ascii="Times New Roman" w:hAnsi="Times New Roman" w:eastAsia="宋体" w:cs="Times New Roman"/>
          <w:kern w:val="2"/>
          <w:sz w:val="28"/>
          <w:szCs w:val="24"/>
          <w:lang w:val="en-US" w:eastAsia="zh-CN" w:bidi="ar-SA"/>
        </w:rPr>
        <w:sectPr>
          <w:footerReference r:id="rId5" w:type="default"/>
          <w:pgSz w:w="11906" w:h="16838"/>
          <w:pgMar w:top="1440" w:right="1800" w:bottom="1440" w:left="1800" w:header="851" w:footer="992" w:gutter="0"/>
          <w:pgNumType w:start="1"/>
          <w:cols w:space="425" w:num="1"/>
          <w:docGrid w:type="lines" w:linePitch="312" w:charSpace="0"/>
        </w:sectPr>
      </w:pPr>
    </w:p>
    <w:p w14:paraId="4959D83A">
      <w:pPr>
        <w:pStyle w:val="2"/>
        <w:ind w:left="1320" w:leftChars="550" w:right="1320" w:rightChars="550"/>
      </w:pPr>
      <w:bookmarkStart w:id="3" w:name="_Toc31514"/>
      <w:bookmarkStart w:id="4" w:name="_Toc22679"/>
      <w:bookmarkStart w:id="5" w:name="_Toc25189"/>
      <w:r>
        <w:t>关于202</w:t>
      </w:r>
      <w:r>
        <w:rPr>
          <w:rFonts w:hint="eastAsia"/>
          <w:lang w:val="en-US" w:eastAsia="zh-CN"/>
        </w:rPr>
        <w:t>5</w:t>
      </w:r>
      <w:r>
        <w:t>年</w:t>
      </w:r>
      <w:r>
        <w:rPr>
          <w:rFonts w:hint="eastAsia"/>
          <w:lang w:eastAsia="zh-CN"/>
        </w:rPr>
        <w:t>云</w:t>
      </w:r>
      <w:bookmarkStart w:id="84" w:name="_GoBack"/>
      <w:bookmarkEnd w:id="84"/>
      <w:r>
        <w:rPr>
          <w:rFonts w:hint="eastAsia"/>
          <w:lang w:eastAsia="zh-CN"/>
        </w:rPr>
        <w:t>浮</w:t>
      </w:r>
      <w:r>
        <w:t>市人力资源市场工资价位及企业人工成本信息的说明</w:t>
      </w:r>
      <w:bookmarkEnd w:id="0"/>
      <w:bookmarkEnd w:id="1"/>
      <w:bookmarkEnd w:id="2"/>
      <w:bookmarkEnd w:id="3"/>
      <w:bookmarkEnd w:id="4"/>
      <w:bookmarkEnd w:id="5"/>
    </w:p>
    <w:p w14:paraId="3D759F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rPr>
        <w:t>人力资源市场工资价位是社会主义市场经济条件下国家对企业工资分配进行宏观指导的重要方式，是企业依法自主分配的重要参考标准。企业人工成本信息是反映各行业用人单位在招用劳动力方面的费用支出情况，为企业合理控制人工成本提供参考依据。</w:t>
      </w:r>
      <w:r>
        <w:t>202</w:t>
      </w:r>
      <w:r>
        <w:rPr>
          <w:rFonts w:hint="eastAsia"/>
          <w:lang w:val="en-US" w:eastAsia="zh-CN"/>
        </w:rPr>
        <w:t>5</w:t>
      </w:r>
      <w:r>
        <w:t>年</w:t>
      </w:r>
      <w:r>
        <w:rPr>
          <w:rFonts w:hint="eastAsia"/>
          <w:lang w:eastAsia="zh-CN"/>
        </w:rPr>
        <w:t>云浮</w:t>
      </w:r>
      <w:r>
        <w:t>市人力资源市场工资价位及企业人工成本信息是在对202</w:t>
      </w:r>
      <w:r>
        <w:rPr>
          <w:rFonts w:hint="eastAsia"/>
          <w:lang w:val="en-US" w:eastAsia="zh-CN"/>
        </w:rPr>
        <w:t>4</w:t>
      </w:r>
      <w:r>
        <w:t>年企业职工工资数据和人工成本信息进行筛选、分类、汇总、分析的基础上形成的。现对本次公布的企业薪酬调查数据报告的有关情况作如下说明。</w:t>
      </w:r>
    </w:p>
    <w:p w14:paraId="48904077">
      <w:pPr>
        <w:keepNext w:val="0"/>
        <w:keepLines w:val="0"/>
        <w:pageBreakBefore w:val="0"/>
        <w:widowControl w:val="0"/>
        <w:kinsoku/>
        <w:wordWrap/>
        <w:overflowPunct/>
        <w:topLinePunct w:val="0"/>
        <w:autoSpaceDE/>
        <w:autoSpaceDN/>
        <w:bidi w:val="0"/>
        <w:adjustRightInd/>
        <w:snapToGrid/>
        <w:spacing w:before="240" w:line="500" w:lineRule="exact"/>
        <w:ind w:firstLine="480" w:firstLineChars="200"/>
        <w:textAlignment w:val="auto"/>
        <w:outlineLvl w:val="9"/>
        <w:rPr>
          <w:rFonts w:eastAsia="黑体"/>
        </w:rPr>
      </w:pPr>
      <w:bookmarkStart w:id="6" w:name="_Toc27069"/>
      <w:r>
        <w:rPr>
          <w:rFonts w:eastAsia="黑体"/>
        </w:rPr>
        <w:t>一、调查范围</w:t>
      </w:r>
      <w:bookmarkEnd w:id="6"/>
    </w:p>
    <w:p w14:paraId="199C83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rPr>
      </w:pPr>
      <w:bookmarkStart w:id="7" w:name="_Toc1264"/>
      <w:r>
        <w:rPr>
          <w:rFonts w:hint="eastAsia"/>
        </w:rPr>
        <w:t>本次调查以市为单位抽取样本企业进行分层抽样调查，以行业为分层依据，按照企业人数采用PPS（按规模大小成比例的概率抽样）抽样方法抽取企业样本，并对样本企业的全部职工进行调查，共调查全市18个行业门类的254户企业，涉及劳动者24118名。调查的时期指标为2024年1月1日至12月31日。</w:t>
      </w:r>
    </w:p>
    <w:p w14:paraId="01FA96E4">
      <w:pPr>
        <w:keepNext w:val="0"/>
        <w:keepLines w:val="0"/>
        <w:pageBreakBefore w:val="0"/>
        <w:widowControl w:val="0"/>
        <w:kinsoku/>
        <w:wordWrap/>
        <w:overflowPunct/>
        <w:topLinePunct w:val="0"/>
        <w:autoSpaceDE/>
        <w:autoSpaceDN/>
        <w:bidi w:val="0"/>
        <w:adjustRightInd/>
        <w:snapToGrid/>
        <w:spacing w:before="240" w:line="500" w:lineRule="exact"/>
        <w:ind w:firstLine="480" w:firstLineChars="200"/>
        <w:textAlignment w:val="auto"/>
        <w:outlineLvl w:val="9"/>
        <w:rPr>
          <w:rFonts w:eastAsia="黑体"/>
          <w:highlight w:val="none"/>
        </w:rPr>
      </w:pPr>
      <w:r>
        <w:rPr>
          <w:rFonts w:eastAsia="黑体"/>
          <w:highlight w:val="none"/>
        </w:rPr>
        <w:t>二、调查方法</w:t>
      </w:r>
      <w:bookmarkEnd w:id="7"/>
    </w:p>
    <w:p w14:paraId="26F347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本次调查依托人力资源社会保障部企业工资分配管理综合软件系统，数据采集和审核上报分为5个层级，由企业自主线上填报，县、市、省逐级审核上报至人力资源社会保障部，各级人力资源社会保障部门承担本级审核责任。数据填报、审核设置了</w:t>
      </w:r>
      <w:r>
        <w:rPr>
          <w:rFonts w:hint="eastAsia" w:ascii="仿宋_GB2312"/>
        </w:rPr>
        <w:t>“</w:t>
      </w:r>
      <w:r>
        <w:t>逻辑性</w:t>
      </w:r>
      <w:r>
        <w:rPr>
          <w:rFonts w:hint="eastAsia" w:ascii="仿宋_GB2312"/>
        </w:rPr>
        <w:t>”“</w:t>
      </w:r>
      <w:r>
        <w:t>合理性</w:t>
      </w:r>
      <w:r>
        <w:rPr>
          <w:rFonts w:hint="eastAsia" w:ascii="仿宋_GB2312"/>
        </w:rPr>
        <w:t>”</w:t>
      </w:r>
      <w:r>
        <w:t>两种审核条件，数据分析前对异常值进行了剔除；对样本数量不足、数据质量不佳的职业和岗位进行了删除，在本报告中不予体现。</w:t>
      </w:r>
    </w:p>
    <w:p w14:paraId="19805C16">
      <w:pPr>
        <w:keepNext w:val="0"/>
        <w:keepLines w:val="0"/>
        <w:pageBreakBefore w:val="0"/>
        <w:widowControl w:val="0"/>
        <w:kinsoku/>
        <w:wordWrap/>
        <w:overflowPunct/>
        <w:topLinePunct w:val="0"/>
        <w:autoSpaceDE/>
        <w:autoSpaceDN/>
        <w:bidi w:val="0"/>
        <w:adjustRightInd/>
        <w:snapToGrid/>
        <w:spacing w:before="240" w:line="500" w:lineRule="exact"/>
        <w:ind w:firstLine="480" w:firstLineChars="200"/>
        <w:textAlignment w:val="auto"/>
        <w:outlineLvl w:val="9"/>
        <w:rPr>
          <w:rFonts w:eastAsia="黑体"/>
        </w:rPr>
      </w:pPr>
      <w:bookmarkStart w:id="8" w:name="_Toc20944"/>
      <w:r>
        <w:rPr>
          <w:rFonts w:eastAsia="黑体"/>
        </w:rPr>
        <w:t>三、主要内容</w:t>
      </w:r>
      <w:bookmarkEnd w:id="8"/>
    </w:p>
    <w:p w14:paraId="7AD0FB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highlight w:val="none"/>
        </w:rPr>
      </w:pPr>
      <w:r>
        <w:t>202</w:t>
      </w:r>
      <w:r>
        <w:rPr>
          <w:rFonts w:hint="eastAsia"/>
          <w:lang w:val="en-US" w:eastAsia="zh-CN"/>
        </w:rPr>
        <w:t>5</w:t>
      </w:r>
      <w:r>
        <w:t>年</w:t>
      </w:r>
      <w:r>
        <w:rPr>
          <w:rFonts w:hint="eastAsia"/>
          <w:lang w:eastAsia="zh-CN"/>
        </w:rPr>
        <w:t>云浮</w:t>
      </w:r>
      <w:r>
        <w:t>市人力资源市场工资价位及企业人工成本信息的主体内容分为</w:t>
      </w:r>
      <w:r>
        <w:rPr>
          <w:highlight w:val="none"/>
        </w:rPr>
        <w:t>两大部分，共</w:t>
      </w:r>
      <w:r>
        <w:rPr>
          <w:rFonts w:hint="eastAsia"/>
          <w:highlight w:val="none"/>
          <w:lang w:val="en-US" w:eastAsia="zh-CN"/>
        </w:rPr>
        <w:t>12</w:t>
      </w:r>
      <w:r>
        <w:rPr>
          <w:highlight w:val="none"/>
        </w:rPr>
        <w:t>张表。</w:t>
      </w:r>
    </w:p>
    <w:p w14:paraId="6422B5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highlight w:val="none"/>
        </w:rPr>
      </w:pPr>
      <w:bookmarkStart w:id="9" w:name="_Toc6581"/>
      <w:r>
        <w:rPr>
          <w:highlight w:val="none"/>
        </w:rPr>
        <w:t>第一部分是人力资源市场工资价位，共计</w:t>
      </w:r>
      <w:r>
        <w:rPr>
          <w:rFonts w:hint="eastAsia"/>
          <w:highlight w:val="none"/>
          <w:lang w:val="en-US" w:eastAsia="zh-CN"/>
        </w:rPr>
        <w:t>8</w:t>
      </w:r>
      <w:r>
        <w:rPr>
          <w:highlight w:val="none"/>
        </w:rPr>
        <w:t>张表，包括：</w:t>
      </w:r>
      <w:bookmarkEnd w:id="9"/>
    </w:p>
    <w:p w14:paraId="10CE9C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rPr>
        <w:t>1</w:t>
      </w:r>
      <w:r>
        <w:t>.整体工资价位，共</w:t>
      </w:r>
      <w:r>
        <w:rPr>
          <w:rFonts w:hint="eastAsia"/>
          <w:lang w:val="en-US" w:eastAsia="zh-CN"/>
        </w:rPr>
        <w:t>6</w:t>
      </w:r>
      <w:r>
        <w:t>张表。此部分分别按照</w:t>
      </w:r>
      <w:r>
        <w:rPr>
          <w:rFonts w:hint="eastAsia"/>
        </w:rPr>
        <w:t>行业门类</w:t>
      </w:r>
      <w:r>
        <w:t>、</w:t>
      </w:r>
      <w:r>
        <w:rPr>
          <w:rFonts w:hint="eastAsia"/>
        </w:rPr>
        <w:t>企业规模</w:t>
      </w:r>
      <w:r>
        <w:t>、岗位等级、学历</w:t>
      </w:r>
      <w:r>
        <w:rPr>
          <w:rFonts w:hint="eastAsia"/>
        </w:rPr>
        <w:t>进行分类，提供了不同水平的工资价位。</w:t>
      </w:r>
    </w:p>
    <w:p w14:paraId="0C352D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highlight w:val="none"/>
          <w:lang w:val="en-US" w:eastAsia="zh-CN"/>
        </w:rPr>
      </w:pPr>
      <w:r>
        <w:rPr>
          <w:rFonts w:hint="eastAsia"/>
        </w:rPr>
        <w:t>2</w:t>
      </w:r>
      <w:r>
        <w:t>.</w:t>
      </w:r>
      <w:r>
        <w:rPr>
          <w:rFonts w:hint="eastAsia"/>
          <w:lang w:val="en-US" w:eastAsia="zh-CN"/>
        </w:rPr>
        <w:t>职业工资价位，共2张表。此部分按照职业大</w:t>
      </w:r>
      <w:r>
        <w:rPr>
          <w:rFonts w:hint="eastAsia"/>
          <w:highlight w:val="none"/>
          <w:lang w:val="en-US" w:eastAsia="zh-CN"/>
        </w:rPr>
        <w:t>类、职业中类进行分类，提供了不同水平的工资价位。</w:t>
      </w:r>
    </w:p>
    <w:p w14:paraId="450DEC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highlight w:val="none"/>
        </w:rPr>
      </w:pPr>
      <w:bookmarkStart w:id="10" w:name="_Toc22702"/>
      <w:r>
        <w:rPr>
          <w:highlight w:val="none"/>
        </w:rPr>
        <w:t>第二部分是企业人工成本信息，共计</w:t>
      </w:r>
      <w:r>
        <w:rPr>
          <w:rFonts w:hint="eastAsia"/>
          <w:highlight w:val="none"/>
          <w:lang w:val="en-US" w:eastAsia="zh-CN"/>
        </w:rPr>
        <w:t>4</w:t>
      </w:r>
      <w:r>
        <w:rPr>
          <w:highlight w:val="none"/>
        </w:rPr>
        <w:t>张表，包括：</w:t>
      </w:r>
      <w:bookmarkEnd w:id="10"/>
    </w:p>
    <w:p w14:paraId="698689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rPr>
      </w:pPr>
      <w:r>
        <w:rPr>
          <w:rFonts w:hint="eastAsia"/>
          <w:highlight w:val="none"/>
        </w:rPr>
        <w:t>1</w:t>
      </w:r>
      <w:r>
        <w:rPr>
          <w:highlight w:val="none"/>
        </w:rPr>
        <w:t>.分行业门类的人工成本信息，共</w:t>
      </w:r>
      <w:r>
        <w:rPr>
          <w:rFonts w:hint="eastAsia"/>
          <w:highlight w:val="none"/>
          <w:lang w:val="en-US" w:eastAsia="zh-CN"/>
        </w:rPr>
        <w:t>2</w:t>
      </w:r>
      <w:r>
        <w:rPr>
          <w:highlight w:val="none"/>
        </w:rPr>
        <w:t>张表。此部分按照</w:t>
      </w:r>
      <w:r>
        <w:t>行业门类</w:t>
      </w:r>
      <w:r>
        <w:rPr>
          <w:rFonts w:hint="eastAsia"/>
        </w:rPr>
        <w:t>提供了人均</w:t>
      </w:r>
      <w:r>
        <w:t>人工成本水平、人工成本构成。</w:t>
      </w:r>
    </w:p>
    <w:p w14:paraId="605B07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rPr>
      </w:pPr>
      <w:r>
        <w:t>2.分企业规模的人工成本信息，共</w:t>
      </w:r>
      <w:r>
        <w:rPr>
          <w:rFonts w:hint="eastAsia"/>
          <w:lang w:val="en-US" w:eastAsia="zh-CN"/>
        </w:rPr>
        <w:t>2</w:t>
      </w:r>
      <w:r>
        <w:t>张表。此部分按照企业规模</w:t>
      </w:r>
      <w:r>
        <w:rPr>
          <w:rFonts w:hint="eastAsia"/>
        </w:rPr>
        <w:t>提供了人均</w:t>
      </w:r>
      <w:r>
        <w:t>人工成本水平、人工成本构成。</w:t>
      </w:r>
    </w:p>
    <w:p w14:paraId="37E183E8">
      <w:pPr>
        <w:keepNext w:val="0"/>
        <w:keepLines w:val="0"/>
        <w:pageBreakBefore w:val="0"/>
        <w:widowControl w:val="0"/>
        <w:kinsoku/>
        <w:wordWrap/>
        <w:overflowPunct/>
        <w:topLinePunct w:val="0"/>
        <w:autoSpaceDE/>
        <w:autoSpaceDN/>
        <w:bidi w:val="0"/>
        <w:adjustRightInd/>
        <w:snapToGrid/>
        <w:spacing w:before="240" w:line="500" w:lineRule="exact"/>
        <w:ind w:firstLine="480" w:firstLineChars="200"/>
        <w:textAlignment w:val="auto"/>
        <w:outlineLvl w:val="9"/>
        <w:rPr>
          <w:rFonts w:eastAsia="黑体"/>
        </w:rPr>
      </w:pPr>
      <w:bookmarkStart w:id="11" w:name="_Toc12604"/>
      <w:r>
        <w:rPr>
          <w:rFonts w:eastAsia="黑体"/>
        </w:rPr>
        <w:t>四、统计标准与指标定义</w:t>
      </w:r>
      <w:bookmarkEnd w:id="11"/>
    </w:p>
    <w:p w14:paraId="08388C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此次调查职业或工种的划分完全按照《中华人民共和国职业分类大典》和《劳动力市场职业分类与代码》进行规范，统计标准参照国际劳工局标准并严格按照国际劳工统计标准执行，主要指标解释如下：</w:t>
      </w:r>
    </w:p>
    <w:p w14:paraId="3D9ABB6C">
      <w:pPr>
        <w:keepNext w:val="0"/>
        <w:keepLines w:val="0"/>
        <w:pageBreakBefore w:val="0"/>
        <w:widowControl w:val="0"/>
        <w:kinsoku/>
        <w:wordWrap/>
        <w:overflowPunct/>
        <w:topLinePunct w:val="0"/>
        <w:autoSpaceDE/>
        <w:autoSpaceDN/>
        <w:bidi w:val="0"/>
        <w:adjustRightInd/>
        <w:snapToGrid/>
        <w:spacing w:before="240" w:line="500" w:lineRule="exact"/>
        <w:ind w:firstLine="480" w:firstLineChars="200"/>
        <w:textAlignment w:val="auto"/>
        <w:outlineLvl w:val="9"/>
        <w:rPr>
          <w:rFonts w:eastAsia="楷体"/>
        </w:rPr>
      </w:pPr>
      <w:bookmarkStart w:id="12" w:name="_Toc6869"/>
      <w:r>
        <w:rPr>
          <w:rFonts w:eastAsia="楷体"/>
        </w:rPr>
        <w:t>（一）分位数</w:t>
      </w:r>
      <w:bookmarkEnd w:id="12"/>
    </w:p>
    <w:p w14:paraId="6B786F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rPr>
        <w:t>分位数</w:t>
      </w:r>
      <w:r>
        <w:t>指将通过企业薪酬调查获取的工资价位或人工成本数据按由低到高的顺序排序，处在某个分位上的数据值反映的市场价位水平。</w:t>
      </w:r>
    </w:p>
    <w:p w14:paraId="03D357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lang w:eastAsia="zh-CN"/>
        </w:rPr>
        <w:t>（</w:t>
      </w:r>
      <w:r>
        <w:rPr>
          <w:rFonts w:hint="eastAsia"/>
          <w:lang w:val="en-US" w:eastAsia="zh-CN"/>
        </w:rPr>
        <w:t>1）90分位（90%）</w:t>
      </w:r>
      <w:r>
        <w:t>：将通过企业薪酬调查获取的数据按由低到高的顺序排序，排在后10%位置的数据值，反映市场的高端水平。</w:t>
      </w:r>
    </w:p>
    <w:p w14:paraId="0A2D64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lang w:eastAsia="zh-CN"/>
        </w:rPr>
        <w:t>（</w:t>
      </w:r>
      <w:r>
        <w:rPr>
          <w:rFonts w:hint="eastAsia"/>
          <w:lang w:val="en-US" w:eastAsia="zh-CN"/>
        </w:rPr>
        <w:t>2）75分位（75%）</w:t>
      </w:r>
      <w:r>
        <w:t>：将通过企业薪酬调查获取的数据按由低到高的顺序排序，排在后25%位置的数据值，反映市场的较高端水平。</w:t>
      </w:r>
    </w:p>
    <w:p w14:paraId="1FE91C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lang w:eastAsia="zh-CN"/>
        </w:rPr>
        <w:t>（</w:t>
      </w:r>
      <w:r>
        <w:rPr>
          <w:rFonts w:hint="eastAsia"/>
          <w:lang w:val="en-US" w:eastAsia="zh-CN"/>
        </w:rPr>
        <w:t>3）50分位（50%）</w:t>
      </w:r>
      <w:r>
        <w:t>：将通过企业薪酬调查获取的数据按由低到高的顺序排序，排在50%中间位置的数据值，反映市场的中等水平。</w:t>
      </w:r>
    </w:p>
    <w:p w14:paraId="1D4ECE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lang w:eastAsia="zh-CN"/>
        </w:rPr>
        <w:t>（</w:t>
      </w:r>
      <w:r>
        <w:rPr>
          <w:rFonts w:hint="eastAsia"/>
          <w:lang w:val="en-US" w:eastAsia="zh-CN"/>
        </w:rPr>
        <w:t>4）25分位（25%）</w:t>
      </w:r>
      <w:r>
        <w:t>：将通过企业薪酬调查获取的数据按由低到高的顺序排序，排在前25%位置的数据值，反映市场的较低端水平。</w:t>
      </w:r>
    </w:p>
    <w:p w14:paraId="121B3B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lang w:eastAsia="zh-CN"/>
        </w:rPr>
        <w:t>（</w:t>
      </w:r>
      <w:r>
        <w:rPr>
          <w:rFonts w:hint="eastAsia"/>
          <w:lang w:val="en-US" w:eastAsia="zh-CN"/>
        </w:rPr>
        <w:t>5）10分位（10%）</w:t>
      </w:r>
      <w:r>
        <w:t>：将通过企业薪酬调查获取的数据按由低到高的顺序排序，排在前10%位置的数据值，反映市场的低端水平。</w:t>
      </w:r>
    </w:p>
    <w:p w14:paraId="1022955D">
      <w:pPr>
        <w:keepNext w:val="0"/>
        <w:keepLines w:val="0"/>
        <w:pageBreakBefore w:val="0"/>
        <w:widowControl w:val="0"/>
        <w:kinsoku/>
        <w:wordWrap/>
        <w:overflowPunct/>
        <w:topLinePunct w:val="0"/>
        <w:autoSpaceDE/>
        <w:autoSpaceDN/>
        <w:bidi w:val="0"/>
        <w:adjustRightInd/>
        <w:snapToGrid/>
        <w:spacing w:before="240" w:line="500" w:lineRule="exact"/>
        <w:ind w:firstLine="480" w:firstLineChars="200"/>
        <w:textAlignment w:val="auto"/>
        <w:outlineLvl w:val="9"/>
        <w:rPr>
          <w:rFonts w:eastAsia="楷体"/>
        </w:rPr>
      </w:pPr>
      <w:bookmarkStart w:id="13" w:name="_Toc10542"/>
      <w:r>
        <w:rPr>
          <w:rFonts w:eastAsia="楷体"/>
        </w:rPr>
        <w:t>（二）人力资源市场工资价位</w:t>
      </w:r>
      <w:bookmarkEnd w:id="13"/>
    </w:p>
    <w:p w14:paraId="056AD8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rPr>
        <w:t>工资</w:t>
      </w:r>
      <w:r>
        <w:rPr>
          <w:rFonts w:hint="eastAsia"/>
          <w:lang w:eastAsia="zh-CN"/>
        </w:rPr>
        <w:t>报酬</w:t>
      </w:r>
      <w:r>
        <w:t>指通过企业薪酬调查得出的不同职业不同岗位的劳动者因向企业提供劳动而直接取得</w:t>
      </w:r>
      <w:r>
        <w:rPr>
          <w:rFonts w:hint="eastAsia"/>
          <w:lang w:eastAsia="zh-CN"/>
        </w:rPr>
        <w:t>的各种</w:t>
      </w:r>
      <w:r>
        <w:t>现金形式</w:t>
      </w:r>
      <w:r>
        <w:rPr>
          <w:rFonts w:hint="eastAsia"/>
          <w:lang w:eastAsia="zh-CN"/>
        </w:rPr>
        <w:t>的</w:t>
      </w:r>
      <w:r>
        <w:t>劳动报酬。包括四个二级指标。</w:t>
      </w:r>
    </w:p>
    <w:p w14:paraId="7991B6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1.基本工资（类）：是指按照劳动合同中约定的、与劳动者本人岗位相对应的、发放周期和发放水平相对固定的工资报酬。如标准工资、基础工资、岗位工资、合同工资、底薪等，也包括其</w:t>
      </w:r>
      <w:r>
        <w:rPr>
          <w:rFonts w:hint="eastAsia"/>
          <w:lang w:val="en-US" w:eastAsia="zh-CN"/>
        </w:rPr>
        <w:t>他</w:t>
      </w:r>
      <w:r>
        <w:t>不与绩效考核结果挂钩的工资项目，如工龄工资（津贴）。</w:t>
      </w:r>
    </w:p>
    <w:p w14:paraId="28BBF4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2.绩效工资（类）：是指劳动者根据所在企业的经济效益、集体或本人绩效或实际表现获得的浮动性工资报酬，包括按月度、季度、半年、全年考核发放的奖金、效益工资或奖金性质的绩效工资，还包括销售提成、项目奖金，特别奖励、技术交易奖、酬金、生产奖、节约奖、劳动竞赛奖、年底双薪、全勤奖等工资项目。</w:t>
      </w:r>
    </w:p>
    <w:p w14:paraId="6BAB3E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3.津补贴（类）：是指按照国家或企业规定，为补偿本单位就业人员因特殊或额外的劳动消耗或因其他特殊原因支付的津贴以及为保证其工资不受物价影响而支付的物价补贴，包括艰苦岗位津贴、夜班津贴、倒班津贴、保健津贴、技术性津贴、地区津贴等工资项目；包括过节费、各种交通补贴、各种通信工具补助、无食堂补贴、劳动者不休假的补贴、各种住房租房补贴，还包括企业从福利费用中支付的劳动者个人的各种现金补贴，不包括加班加点工资。</w:t>
      </w:r>
    </w:p>
    <w:p w14:paraId="68E3AB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4.加班加点工资：是指按照国家和本地区有关法规政策，由企业</w:t>
      </w:r>
      <w:r>
        <w:rPr>
          <w:rFonts w:hint="eastAsia"/>
          <w:lang w:eastAsia="zh-CN"/>
        </w:rPr>
        <w:t>向劳动者</w:t>
      </w:r>
      <w:r>
        <w:t>支付的加班工资和加点工资，是调查期内劳动者因超时劳动而获得的劳动报酬。</w:t>
      </w:r>
    </w:p>
    <w:p w14:paraId="7BD179AD">
      <w:pPr>
        <w:keepNext w:val="0"/>
        <w:keepLines w:val="0"/>
        <w:pageBreakBefore w:val="0"/>
        <w:widowControl w:val="0"/>
        <w:kinsoku/>
        <w:wordWrap/>
        <w:overflowPunct/>
        <w:topLinePunct w:val="0"/>
        <w:autoSpaceDE/>
        <w:autoSpaceDN/>
        <w:bidi w:val="0"/>
        <w:adjustRightInd/>
        <w:snapToGrid/>
        <w:spacing w:before="240" w:line="500" w:lineRule="exact"/>
        <w:ind w:firstLine="480" w:firstLineChars="200"/>
        <w:textAlignment w:val="auto"/>
        <w:outlineLvl w:val="9"/>
        <w:rPr>
          <w:rFonts w:eastAsia="楷体"/>
        </w:rPr>
      </w:pPr>
      <w:bookmarkStart w:id="14" w:name="_Toc28138"/>
      <w:r>
        <w:rPr>
          <w:rFonts w:eastAsia="楷体"/>
        </w:rPr>
        <w:t>（三）企业人工成本信息</w:t>
      </w:r>
      <w:bookmarkEnd w:id="14"/>
    </w:p>
    <w:p w14:paraId="1CB2DE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rPr>
        <w:t>企业人工成本</w:t>
      </w:r>
      <w:r>
        <w:t>指企业在生产、经营和提供劳务活动中因使用劳动力而发生的所有直接和间接费用的总和，它反映企业在报告期内因使用各种人力资源所付出的全部成本费用，其范围包括：从业人员劳动报酬、福利费用、教育经费、社会保险费用、劳动保护费用、住房费用和其他人工成本。</w:t>
      </w:r>
    </w:p>
    <w:p w14:paraId="3955F5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1.</w:t>
      </w:r>
      <w:r>
        <w:rPr>
          <w:rFonts w:hint="eastAsia"/>
          <w:lang w:eastAsia="zh-CN"/>
        </w:rPr>
        <w:t>从业人员</w:t>
      </w:r>
      <w:r>
        <w:t>劳动报酬（工资总额）：是指企业在报告期内直接支付给本企业全部就业人员的劳动报酬总额。工资总额包括计时工资、计件工资、奖金、津贴和补贴、加班加点工资、特殊情况下支付的工资，是在岗职工工资总额、劳务派遣人员工资总额和其他就业人员工资总额之和。</w:t>
      </w:r>
    </w:p>
    <w:p w14:paraId="15650E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2.福利费用：是指企业在工资以外实际支付给从业人员个人以及用于集体的福利费用的总称。主要包括企业支付给从业人员的冬季取暖补贴费（也包括企业实际支付给享受集体供暖的从业人员个人的部分）、医疗卫生费、计划生育补贴、生活困难补助、文体宣传费、集体福利设施和集体福利事业补贴费（包括集体、生活福利设施，如职工食堂、托儿所、幼儿园、浴室、理发室、妇女卫生室、医务室等，以及文化福利设施如文化宫、俱乐部、青少年宫、图书室、体育场、游泳池、职工之家、老年人活动中心等）及丧葬抚恤救济费、职工因工负伤赴外地就医路费、物业管理费、上下班交通补贴等。</w:t>
      </w:r>
    </w:p>
    <w:p w14:paraId="149FE5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3.教育经费：是指企业为职工学习先进技术和提高文化水平而支付的费用。包括岗前培训、在职提高培训、转岗培训、派外培训、职业道德等方面的培训费用和企业自办大中专、职业技术院校等培训场所发生的费用以及职业技能鉴定费用。</w:t>
      </w:r>
    </w:p>
    <w:p w14:paraId="7E5221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4.保险费用：是指根据国家法律，由企业承担的各项社会保险费用和补充保险费用，包括养老保险、医疗保险、失业保险、工伤保险、生育保险等费用，也包括企业缴纳的年金（补充养老保险）、补充医疗保险或储蓄性医疗保险。不包括不在岗人员的社会保险费用。</w:t>
      </w:r>
    </w:p>
    <w:p w14:paraId="4D4862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5.劳动保护费用：是指企业为实施安全技术措施、工业卫生等发生的费用，以及用于职工劳动保护用品（如保健用品、清凉用品、工作服等）的费用。不包括劳动保护设备的购置费、维修费以及个人只能在工作现场使用的特殊用品。</w:t>
      </w:r>
    </w:p>
    <w:p w14:paraId="26437F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6.住房费用：是指企业为改善从业人员的居住条件而支付的所有费用。具体包括职工宿舍的折旧费、企业交纳的住房公积金、实际支付给职工的住房补贴（包括为职工租用房屋的租金、租房差价补贴、购房差价补贴等）和按规定为职工提供的住房困难补助及企业住房的维修费和管理费等。</w:t>
      </w:r>
    </w:p>
    <w:p w14:paraId="30A199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7.其他人工成本：是指不包括在以上各项中的其他人工成本项目。包括工会经费，企业因招聘职工而实际花费的职工招聘费、咨询费、外聘人员劳务费，对职工的特殊奖励（如创造发明奖、科技进步奖等），支付实行租赁、承租经营企业的承租人、承包人的风险补偿费等，解除劳动合同或终止劳动合同的补偿费用以及企业因使用劳务派遣人员而发生的管理费用和</w:t>
      </w:r>
      <w:r>
        <w:rPr>
          <w:rFonts w:hint="eastAsia"/>
          <w:lang w:eastAsia="zh-CN"/>
        </w:rPr>
        <w:t>其他</w:t>
      </w:r>
      <w:r>
        <w:t>用工成本等。</w:t>
      </w:r>
    </w:p>
    <w:p w14:paraId="53AEAC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8.人工成本占总成本的比重：是指企业人工成本占企业总成本的比重，用于确定人工费用定额。</w:t>
      </w:r>
    </w:p>
    <w:p w14:paraId="1DF4EC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9.人事费用率：是指调查时期内企业人工成本总额与销售收入总额的比率，反映的是企业生产和销售的总价值中用于支付人工成本部分所占的比例。</w:t>
      </w:r>
    </w:p>
    <w:p w14:paraId="2E142A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t>10.人工成本利润率：是指调查时期内企业利润总额与人工成本总额的比率，反映的是企业单位人工成本取得的经济效益。</w:t>
      </w:r>
    </w:p>
    <w:p w14:paraId="1987CA5D">
      <w:pPr>
        <w:pStyle w:val="2"/>
        <w:spacing w:before="0"/>
      </w:pPr>
      <w:r>
        <w:br w:type="page"/>
      </w:r>
      <w:bookmarkStart w:id="15" w:name="_Toc29135"/>
      <w:bookmarkStart w:id="16" w:name="_Toc14352"/>
      <w:bookmarkStart w:id="17" w:name="_Toc55780332"/>
      <w:bookmarkStart w:id="18" w:name="_Toc14974"/>
      <w:bookmarkStart w:id="19" w:name="_Toc18791"/>
      <w:bookmarkStart w:id="20" w:name="_Toc57971007"/>
      <w:bookmarkStart w:id="21" w:name="_Toc55780333"/>
      <w:r>
        <w:t>第一部分  人力资源市场工资价位</w:t>
      </w:r>
      <w:bookmarkEnd w:id="15"/>
      <w:bookmarkEnd w:id="16"/>
      <w:bookmarkEnd w:id="17"/>
      <w:bookmarkEnd w:id="18"/>
      <w:bookmarkEnd w:id="19"/>
      <w:bookmarkEnd w:id="20"/>
    </w:p>
    <w:p w14:paraId="5D95E7AC">
      <w:pPr>
        <w:pStyle w:val="3"/>
        <w:ind w:firstLine="480"/>
        <w:rPr>
          <w:rFonts w:ascii="Times New Roman" w:hAnsi="Times New Roman"/>
        </w:rPr>
      </w:pPr>
      <w:bookmarkStart w:id="22" w:name="_Toc1641"/>
      <w:bookmarkStart w:id="23" w:name="_Toc17951"/>
      <w:bookmarkStart w:id="24" w:name="_Toc15217"/>
      <w:bookmarkStart w:id="25" w:name="_Toc2166"/>
      <w:r>
        <w:rPr>
          <w:rFonts w:ascii="Times New Roman" w:hAnsi="Times New Roman"/>
        </w:rPr>
        <w:t>一、整体工资价位</w:t>
      </w:r>
      <w:bookmarkEnd w:id="21"/>
      <w:bookmarkEnd w:id="22"/>
      <w:bookmarkEnd w:id="23"/>
      <w:bookmarkEnd w:id="24"/>
      <w:bookmarkEnd w:id="25"/>
    </w:p>
    <w:p w14:paraId="100CED46">
      <w:pPr>
        <w:pStyle w:val="4"/>
        <w:spacing w:before="0"/>
        <w:ind w:firstLine="480"/>
        <w:rPr>
          <w:rFonts w:ascii="Times New Roman" w:hAnsi="Times New Roman"/>
        </w:rPr>
      </w:pPr>
      <w:bookmarkStart w:id="26" w:name="_Toc4272"/>
      <w:bookmarkStart w:id="27" w:name="_Toc55780334"/>
      <w:bookmarkStart w:id="28" w:name="_Toc22261"/>
      <w:bookmarkStart w:id="29" w:name="_Toc10741"/>
      <w:bookmarkStart w:id="30" w:name="_Toc1752"/>
      <w:r>
        <w:rPr>
          <w:rFonts w:ascii="Times New Roman" w:hAnsi="Times New Roman"/>
        </w:rPr>
        <w:t>（一）分行业门类的工资价位</w:t>
      </w:r>
      <w:bookmarkEnd w:id="26"/>
      <w:bookmarkEnd w:id="27"/>
      <w:bookmarkEnd w:id="28"/>
      <w:bookmarkEnd w:id="29"/>
      <w:bookmarkEnd w:id="30"/>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564"/>
        <w:gridCol w:w="825"/>
        <w:gridCol w:w="825"/>
        <w:gridCol w:w="825"/>
        <w:gridCol w:w="825"/>
        <w:gridCol w:w="830"/>
      </w:tblGrid>
      <w:tr w14:paraId="27ED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7AA4FE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FFFFFF"/>
                <w:sz w:val="21"/>
                <w:szCs w:val="21"/>
                <w:u w:val="none"/>
              </w:rPr>
            </w:pPr>
            <w:r>
              <w:rPr>
                <w:rFonts w:ascii="黑体" w:hAnsi="宋体" w:eastAsia="黑体" w:cs="黑体"/>
                <w:i w:val="0"/>
                <w:iCs w:val="0"/>
                <w:color w:val="FFFFFF"/>
                <w:kern w:val="0"/>
                <w:sz w:val="21"/>
                <w:szCs w:val="21"/>
                <w:u w:val="none"/>
                <w:lang w:val="en-US" w:eastAsia="zh-CN" w:bidi="ar"/>
              </w:rPr>
              <w:t>序号</w:t>
            </w:r>
          </w:p>
        </w:tc>
        <w:tc>
          <w:tcPr>
            <w:tcW w:w="2091"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57DA1173">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行业门类</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14:paraId="1E291B3A">
            <w:pPr>
              <w:keepNext w:val="0"/>
              <w:keepLines w:val="0"/>
              <w:widowControl/>
              <w:suppressLineNumbers w:val="0"/>
              <w:spacing w:line="240" w:lineRule="auto"/>
              <w:jc w:val="center"/>
              <w:textAlignment w:val="center"/>
              <w:rPr>
                <w:rFonts w:ascii="黑体" w:hAnsi="宋体" w:eastAsia="黑体" w:cs="黑体"/>
                <w:i w:val="0"/>
                <w:iCs w:val="0"/>
                <w:color w:val="FFFFFF"/>
                <w:kern w:val="0"/>
                <w:sz w:val="21"/>
                <w:szCs w:val="21"/>
                <w:u w:val="none"/>
                <w:lang w:val="en-US" w:eastAsia="zh-CN" w:bidi="ar"/>
              </w:rPr>
            </w:pPr>
            <w:r>
              <w:rPr>
                <w:rFonts w:ascii="黑体" w:hAnsi="宋体" w:eastAsia="黑体" w:cs="黑体"/>
                <w:i w:val="0"/>
                <w:iCs w:val="0"/>
                <w:color w:val="FFFFFF"/>
                <w:kern w:val="0"/>
                <w:sz w:val="21"/>
                <w:szCs w:val="21"/>
                <w:u w:val="none"/>
                <w:lang w:val="en-US" w:eastAsia="zh-CN" w:bidi="ar"/>
              </w:rPr>
              <w:t>工资水平（万元/年）</w:t>
            </w:r>
          </w:p>
        </w:tc>
      </w:tr>
      <w:tr w14:paraId="663B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3F0F273A">
            <w:pPr>
              <w:spacing w:line="240" w:lineRule="auto"/>
              <w:jc w:val="center"/>
              <w:rPr>
                <w:rFonts w:hint="default" w:ascii="Times New Roman" w:hAnsi="Times New Roman" w:eastAsia="宋体" w:cs="Times New Roman"/>
                <w:i w:val="0"/>
                <w:iCs w:val="0"/>
                <w:color w:val="FFFFFF"/>
                <w:sz w:val="21"/>
                <w:szCs w:val="21"/>
                <w:u w:val="none"/>
              </w:rPr>
            </w:pPr>
          </w:p>
        </w:tc>
        <w:tc>
          <w:tcPr>
            <w:tcW w:w="2091"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193A7A09">
            <w:pPr>
              <w:spacing w:line="240" w:lineRule="auto"/>
              <w:jc w:val="center"/>
              <w:rPr>
                <w:rFonts w:hint="eastAsia" w:ascii="黑体" w:hAnsi="宋体" w:eastAsia="黑体" w:cs="黑体"/>
                <w:i w:val="0"/>
                <w:iCs w:val="0"/>
                <w:color w:val="FFFFFF"/>
                <w:sz w:val="21"/>
                <w:szCs w:val="21"/>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3D2FF90C">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3E47939E">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63CF39AD">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50%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6E6DE0D2">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75%</w:t>
            </w:r>
          </w:p>
        </w:tc>
        <w:tc>
          <w:tcPr>
            <w:tcW w:w="487"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6A48EEBC">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90%</w:t>
            </w:r>
          </w:p>
        </w:tc>
      </w:tr>
      <w:tr w14:paraId="3946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9E3D">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33A3">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农、林、牧、渔业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32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5.67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27E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6.73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49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8.02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A93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12.89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94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24.26 </w:t>
            </w:r>
          </w:p>
        </w:tc>
      </w:tr>
      <w:tr w14:paraId="2818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DFE3">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483B">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采矿业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AB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E3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7.08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75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10.52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96C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12.80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590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22.35 </w:t>
            </w:r>
          </w:p>
        </w:tc>
      </w:tr>
      <w:tr w14:paraId="6767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82F7">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C295">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制造业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73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2.79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1B8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5A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5.00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01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6.55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D2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8.70 </w:t>
            </w:r>
          </w:p>
        </w:tc>
      </w:tr>
      <w:tr w14:paraId="71CD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3201">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4327">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电力、热力、燃气及水生产和供应业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5B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3.00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C2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3.92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79B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6.76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A6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10.57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1A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18.95 </w:t>
            </w:r>
          </w:p>
        </w:tc>
      </w:tr>
      <w:tr w14:paraId="3646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FCC4">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9BE0">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建筑业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309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3.00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CED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4.75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A1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6.46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FBC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9.21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4E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13.36 </w:t>
            </w:r>
          </w:p>
        </w:tc>
      </w:tr>
      <w:tr w14:paraId="17B0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2D62">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4FC0">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批发和零售业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71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3.15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69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3.72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AC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34C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6.05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7C2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8.40 </w:t>
            </w:r>
          </w:p>
        </w:tc>
      </w:tr>
      <w:tr w14:paraId="4794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5BAE">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FBF5">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交通运输、仓储和邮政业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24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2.93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19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4.13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F3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5.42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D2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8.91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5A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14.58 </w:t>
            </w:r>
          </w:p>
        </w:tc>
      </w:tr>
      <w:tr w14:paraId="1278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A2EF">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107D">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住宿和餐饮业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1D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3.08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60D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1F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1C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5.90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0C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7.80 </w:t>
            </w:r>
          </w:p>
        </w:tc>
      </w:tr>
      <w:tr w14:paraId="02EE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ECF8">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4034">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信息传输、软件和信息技术服务业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3D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2.81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66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4.37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0E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5.78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5D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11.78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792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22.77 </w:t>
            </w:r>
          </w:p>
        </w:tc>
      </w:tr>
      <w:tr w14:paraId="0AE7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ECC4">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C5E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金融业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527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5.12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BC9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5.77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0F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10.18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AB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15.78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2D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22.17 </w:t>
            </w:r>
          </w:p>
        </w:tc>
      </w:tr>
      <w:tr w14:paraId="7C6B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36D1">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A793">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房地产业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457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69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3.64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E89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5.15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85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7.44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3E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10.61 </w:t>
            </w:r>
          </w:p>
        </w:tc>
      </w:tr>
      <w:tr w14:paraId="3569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9C56">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8727">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租赁和商务服务业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51D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2.74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748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3.66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ED1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4.94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4E2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6.25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06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8.78 </w:t>
            </w:r>
          </w:p>
        </w:tc>
      </w:tr>
      <w:tr w14:paraId="42A4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D290">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2272">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科学研究和技术服务业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3EA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2.50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1F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4.79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303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6.90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71D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9.80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8F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14.85 </w:t>
            </w:r>
          </w:p>
        </w:tc>
      </w:tr>
      <w:tr w14:paraId="31D4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8E06">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8413">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水利、环境和公共设施管理业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64B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2.92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1B5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3.90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BB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8.69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3A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9.27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9E1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11.48 </w:t>
            </w:r>
          </w:p>
        </w:tc>
      </w:tr>
      <w:tr w14:paraId="613C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F9F9">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337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居民服务、修理和其他服务业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363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2.93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FD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3.45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81B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4.62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89D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5.53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31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7.03 </w:t>
            </w:r>
          </w:p>
        </w:tc>
      </w:tr>
      <w:tr w14:paraId="7F27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B304">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650E">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教育</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BA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2.82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69A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45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9F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7.48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D7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10.04 </w:t>
            </w:r>
          </w:p>
        </w:tc>
      </w:tr>
      <w:tr w14:paraId="02DE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D2A9">
            <w:pPr>
              <w:numPr>
                <w:ilvl w:val="0"/>
                <w:numId w:val="1"/>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40EB">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卫生和社会工作</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CE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2.97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73D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A76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9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5.19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22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6.00 </w:t>
            </w:r>
          </w:p>
        </w:tc>
      </w:tr>
    </w:tbl>
    <w:p w14:paraId="6CD0A46F">
      <w:pPr>
        <w:pStyle w:val="4"/>
        <w:ind w:firstLine="480"/>
        <w:rPr>
          <w:rFonts w:ascii="Times New Roman" w:hAnsi="Times New Roman"/>
        </w:rPr>
      </w:pPr>
      <w:bookmarkStart w:id="31" w:name="_Toc15908"/>
      <w:bookmarkStart w:id="32" w:name="_Toc11521"/>
      <w:bookmarkStart w:id="33" w:name="_Toc18423"/>
      <w:bookmarkStart w:id="34" w:name="_Toc15050"/>
      <w:r>
        <w:rPr>
          <w:rFonts w:ascii="Times New Roman" w:hAnsi="Times New Roman"/>
        </w:rPr>
        <w:t>（</w:t>
      </w:r>
      <w:r>
        <w:rPr>
          <w:rFonts w:hint="eastAsia" w:ascii="Times New Roman" w:hAnsi="Times New Roman"/>
        </w:rPr>
        <w:t>二</w:t>
      </w:r>
      <w:r>
        <w:rPr>
          <w:rFonts w:ascii="Times New Roman" w:hAnsi="Times New Roman"/>
        </w:rPr>
        <w:t>）分企业规模的工资价位</w:t>
      </w:r>
      <w:bookmarkEnd w:id="31"/>
      <w:bookmarkEnd w:id="32"/>
      <w:bookmarkEnd w:id="33"/>
      <w:bookmarkEnd w:id="34"/>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564"/>
        <w:gridCol w:w="825"/>
        <w:gridCol w:w="825"/>
        <w:gridCol w:w="825"/>
        <w:gridCol w:w="825"/>
        <w:gridCol w:w="830"/>
      </w:tblGrid>
      <w:tr w14:paraId="46AA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27B940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FFFFFF"/>
                <w:sz w:val="21"/>
                <w:szCs w:val="21"/>
                <w:u w:val="none"/>
              </w:rPr>
            </w:pPr>
            <w:r>
              <w:rPr>
                <w:rFonts w:ascii="黑体" w:hAnsi="宋体" w:eastAsia="黑体" w:cs="黑体"/>
                <w:i w:val="0"/>
                <w:iCs w:val="0"/>
                <w:color w:val="FFFFFF"/>
                <w:kern w:val="0"/>
                <w:sz w:val="21"/>
                <w:szCs w:val="21"/>
                <w:u w:val="none"/>
                <w:lang w:val="en-US" w:eastAsia="zh-CN" w:bidi="ar"/>
              </w:rPr>
              <w:t>序号</w:t>
            </w:r>
          </w:p>
        </w:tc>
        <w:tc>
          <w:tcPr>
            <w:tcW w:w="2091"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1F7A2895">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lang w:eastAsia="zh-CN"/>
              </w:rPr>
            </w:pPr>
            <w:r>
              <w:rPr>
                <w:rFonts w:hint="eastAsia" w:ascii="黑体" w:hAnsi="宋体" w:eastAsia="黑体" w:cs="黑体"/>
                <w:i w:val="0"/>
                <w:iCs w:val="0"/>
                <w:color w:val="FFFFFF"/>
                <w:sz w:val="21"/>
                <w:szCs w:val="21"/>
                <w:u w:val="none"/>
                <w:lang w:eastAsia="zh-CN"/>
              </w:rPr>
              <w:t>企业规模</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14:paraId="53E9164B">
            <w:pPr>
              <w:keepNext w:val="0"/>
              <w:keepLines w:val="0"/>
              <w:widowControl/>
              <w:suppressLineNumbers w:val="0"/>
              <w:spacing w:line="240" w:lineRule="auto"/>
              <w:jc w:val="center"/>
              <w:textAlignment w:val="center"/>
              <w:rPr>
                <w:rFonts w:ascii="黑体" w:hAnsi="宋体" w:eastAsia="黑体" w:cs="黑体"/>
                <w:i w:val="0"/>
                <w:iCs w:val="0"/>
                <w:color w:val="FFFFFF"/>
                <w:kern w:val="0"/>
                <w:sz w:val="21"/>
                <w:szCs w:val="21"/>
                <w:u w:val="none"/>
                <w:lang w:val="en-US" w:eastAsia="zh-CN" w:bidi="ar"/>
              </w:rPr>
            </w:pPr>
            <w:r>
              <w:rPr>
                <w:rFonts w:ascii="黑体" w:hAnsi="宋体" w:eastAsia="黑体" w:cs="黑体"/>
                <w:i w:val="0"/>
                <w:iCs w:val="0"/>
                <w:color w:val="FFFFFF"/>
                <w:kern w:val="0"/>
                <w:sz w:val="21"/>
                <w:szCs w:val="21"/>
                <w:u w:val="none"/>
                <w:lang w:val="en-US" w:eastAsia="zh-CN" w:bidi="ar"/>
              </w:rPr>
              <w:t>工资水平（万元/年）</w:t>
            </w:r>
          </w:p>
        </w:tc>
      </w:tr>
      <w:tr w14:paraId="1F6C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246E6597">
            <w:pPr>
              <w:spacing w:line="240" w:lineRule="auto"/>
              <w:jc w:val="center"/>
              <w:rPr>
                <w:rFonts w:hint="default" w:ascii="Times New Roman" w:hAnsi="Times New Roman" w:eastAsia="宋体" w:cs="Times New Roman"/>
                <w:i w:val="0"/>
                <w:iCs w:val="0"/>
                <w:color w:val="FFFFFF"/>
                <w:sz w:val="21"/>
                <w:szCs w:val="21"/>
                <w:u w:val="none"/>
              </w:rPr>
            </w:pPr>
          </w:p>
        </w:tc>
        <w:tc>
          <w:tcPr>
            <w:tcW w:w="2091"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6653ED18">
            <w:pPr>
              <w:spacing w:line="240" w:lineRule="auto"/>
              <w:jc w:val="center"/>
              <w:rPr>
                <w:rFonts w:hint="eastAsia" w:ascii="黑体" w:hAnsi="宋体" w:eastAsia="黑体" w:cs="黑体"/>
                <w:i w:val="0"/>
                <w:iCs w:val="0"/>
                <w:color w:val="FFFFFF"/>
                <w:sz w:val="21"/>
                <w:szCs w:val="21"/>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5E1CCC35">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2642F61F">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206EF6F3">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50%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317C2A7D">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75%</w:t>
            </w:r>
          </w:p>
        </w:tc>
        <w:tc>
          <w:tcPr>
            <w:tcW w:w="487"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58D1606C">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90%</w:t>
            </w:r>
          </w:p>
        </w:tc>
      </w:tr>
      <w:tr w14:paraId="5E56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3F26">
            <w:pPr>
              <w:numPr>
                <w:ilvl w:val="0"/>
                <w:numId w:val="2"/>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2DE0">
            <w:pPr>
              <w:keepNext w:val="0"/>
              <w:keepLines w:val="0"/>
              <w:widowControl/>
              <w:suppressLineNumbers w:val="0"/>
              <w:spacing w:line="240" w:lineRule="auto"/>
              <w:jc w:val="center"/>
              <w:textAlignment w:val="center"/>
              <w:rPr>
                <w:rFonts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大型企业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41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837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6.53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C8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10.46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D7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13.72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140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18.57 </w:t>
            </w:r>
          </w:p>
        </w:tc>
      </w:tr>
      <w:tr w14:paraId="7FBA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010C">
            <w:pPr>
              <w:numPr>
                <w:ilvl w:val="0"/>
                <w:numId w:val="2"/>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C2A6">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中型企业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04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3.03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D5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4.49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52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6.16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7B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8.58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E7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12.00 </w:t>
            </w:r>
          </w:p>
        </w:tc>
      </w:tr>
      <w:tr w14:paraId="1C5D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B49B">
            <w:pPr>
              <w:numPr>
                <w:ilvl w:val="0"/>
                <w:numId w:val="2"/>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2B5B">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小型企业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84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2.86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3D4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3.76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5E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5.26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2B2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6.92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BD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10.86 </w:t>
            </w:r>
          </w:p>
        </w:tc>
      </w:tr>
      <w:tr w14:paraId="611B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9F6D">
            <w:pPr>
              <w:numPr>
                <w:ilvl w:val="0"/>
                <w:numId w:val="2"/>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bookmarkStart w:id="35" w:name="_Toc28521"/>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6246">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微型企业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75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2.85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240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5AE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4.80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05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6.55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9A7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9.01 </w:t>
            </w:r>
          </w:p>
        </w:tc>
      </w:tr>
      <w:bookmarkEnd w:id="35"/>
    </w:tbl>
    <w:p w14:paraId="48F41544">
      <w:pPr>
        <w:pStyle w:val="4"/>
        <w:ind w:firstLine="480"/>
        <w:rPr>
          <w:rFonts w:ascii="Times New Roman" w:hAnsi="Times New Roman"/>
        </w:rPr>
      </w:pPr>
      <w:bookmarkStart w:id="36" w:name="_Toc17747"/>
      <w:bookmarkStart w:id="37" w:name="_Toc9856"/>
      <w:bookmarkStart w:id="38" w:name="_Toc12174"/>
      <w:bookmarkStart w:id="39" w:name="_Toc3682"/>
      <w:r>
        <w:rPr>
          <w:rFonts w:ascii="Times New Roman" w:hAnsi="Times New Roman"/>
        </w:rPr>
        <w:t>（</w:t>
      </w:r>
      <w:r>
        <w:rPr>
          <w:rFonts w:hint="eastAsia" w:ascii="Times New Roman" w:hAnsi="Times New Roman"/>
          <w:lang w:eastAsia="zh-CN"/>
        </w:rPr>
        <w:t>三</w:t>
      </w:r>
      <w:r>
        <w:rPr>
          <w:rFonts w:ascii="Times New Roman" w:hAnsi="Times New Roman"/>
        </w:rPr>
        <w:t>）分岗位等级的工资价位</w:t>
      </w:r>
      <w:bookmarkEnd w:id="36"/>
      <w:bookmarkEnd w:id="37"/>
      <w:bookmarkEnd w:id="38"/>
      <w:bookmarkEnd w:id="39"/>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564"/>
        <w:gridCol w:w="825"/>
        <w:gridCol w:w="825"/>
        <w:gridCol w:w="825"/>
        <w:gridCol w:w="825"/>
        <w:gridCol w:w="830"/>
      </w:tblGrid>
      <w:tr w14:paraId="4020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7C3DCC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FFFFFF"/>
                <w:sz w:val="21"/>
                <w:szCs w:val="21"/>
                <w:u w:val="none"/>
              </w:rPr>
            </w:pPr>
            <w:r>
              <w:rPr>
                <w:rFonts w:ascii="黑体" w:hAnsi="宋体" w:eastAsia="黑体" w:cs="黑体"/>
                <w:i w:val="0"/>
                <w:iCs w:val="0"/>
                <w:color w:val="FFFFFF"/>
                <w:kern w:val="0"/>
                <w:sz w:val="21"/>
                <w:szCs w:val="21"/>
                <w:u w:val="none"/>
                <w:lang w:val="en-US" w:eastAsia="zh-CN" w:bidi="ar"/>
              </w:rPr>
              <w:t>序号</w:t>
            </w:r>
          </w:p>
        </w:tc>
        <w:tc>
          <w:tcPr>
            <w:tcW w:w="2091"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7B74FFD7">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岗位等级</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14:paraId="176A36DE">
            <w:pPr>
              <w:keepNext w:val="0"/>
              <w:keepLines w:val="0"/>
              <w:widowControl/>
              <w:suppressLineNumbers w:val="0"/>
              <w:spacing w:line="240" w:lineRule="auto"/>
              <w:jc w:val="center"/>
              <w:textAlignment w:val="center"/>
              <w:rPr>
                <w:rFonts w:ascii="黑体" w:hAnsi="宋体" w:eastAsia="黑体" w:cs="黑体"/>
                <w:i w:val="0"/>
                <w:iCs w:val="0"/>
                <w:color w:val="FFFFFF"/>
                <w:kern w:val="0"/>
                <w:sz w:val="21"/>
                <w:szCs w:val="21"/>
                <w:u w:val="none"/>
                <w:lang w:val="en-US" w:eastAsia="zh-CN" w:bidi="ar"/>
              </w:rPr>
            </w:pPr>
            <w:r>
              <w:rPr>
                <w:rFonts w:ascii="黑体" w:hAnsi="宋体" w:eastAsia="黑体" w:cs="黑体"/>
                <w:i w:val="0"/>
                <w:iCs w:val="0"/>
                <w:color w:val="FFFFFF"/>
                <w:kern w:val="0"/>
                <w:sz w:val="21"/>
                <w:szCs w:val="21"/>
                <w:u w:val="none"/>
                <w:lang w:val="en-US" w:eastAsia="zh-CN" w:bidi="ar"/>
              </w:rPr>
              <w:t>工资水平（万元/年）</w:t>
            </w:r>
          </w:p>
        </w:tc>
      </w:tr>
      <w:tr w14:paraId="1F80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41EA979E">
            <w:pPr>
              <w:spacing w:line="240" w:lineRule="auto"/>
              <w:jc w:val="center"/>
              <w:rPr>
                <w:rFonts w:hint="default" w:ascii="Times New Roman" w:hAnsi="Times New Roman" w:eastAsia="宋体" w:cs="Times New Roman"/>
                <w:i w:val="0"/>
                <w:iCs w:val="0"/>
                <w:color w:val="FFFFFF"/>
                <w:sz w:val="21"/>
                <w:szCs w:val="21"/>
                <w:u w:val="none"/>
              </w:rPr>
            </w:pPr>
          </w:p>
        </w:tc>
        <w:tc>
          <w:tcPr>
            <w:tcW w:w="2091"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31341872">
            <w:pPr>
              <w:spacing w:line="240" w:lineRule="auto"/>
              <w:jc w:val="center"/>
              <w:rPr>
                <w:rFonts w:hint="eastAsia" w:ascii="黑体" w:hAnsi="宋体" w:eastAsia="黑体" w:cs="黑体"/>
                <w:i w:val="0"/>
                <w:iCs w:val="0"/>
                <w:color w:val="FFFFFF"/>
                <w:sz w:val="21"/>
                <w:szCs w:val="21"/>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311F6650">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1D53E9B5">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08B2AF24">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50%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11418854">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75%</w:t>
            </w:r>
          </w:p>
        </w:tc>
        <w:tc>
          <w:tcPr>
            <w:tcW w:w="487"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7B81F19D">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90%</w:t>
            </w:r>
          </w:p>
        </w:tc>
      </w:tr>
      <w:tr w14:paraId="25C5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4D84616F">
            <w:pPr>
              <w:numPr>
                <w:ilvl w:val="0"/>
                <w:numId w:val="3"/>
              </w:numPr>
              <w:spacing w:line="240" w:lineRule="auto"/>
              <w:ind w:left="0" w:leftChars="0" w:firstLine="142" w:firstLineChars="0"/>
              <w:jc w:val="center"/>
              <w:rPr>
                <w:rFonts w:hint="eastAsia" w:ascii="Times New Roman" w:hAnsi="Times New Roman" w:eastAsia="宋体" w:cs="Times New Roman"/>
                <w:b/>
                <w:bCs/>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6E1DDEC1">
            <w:pPr>
              <w:keepNext w:val="0"/>
              <w:keepLines w:val="0"/>
              <w:widowControl/>
              <w:suppressLineNumbers w:val="0"/>
              <w:spacing w:line="240" w:lineRule="auto"/>
              <w:jc w:val="center"/>
              <w:textAlignment w:val="center"/>
              <w:rPr>
                <w:rFonts w:ascii="仿宋_GB2312" w:hAnsi="宋体" w:eastAsia="仿宋_GB2312" w:cs="仿宋_GB2312"/>
                <w:b/>
                <w:bCs/>
                <w:i w:val="0"/>
                <w:iCs w:val="0"/>
                <w:color w:val="000000"/>
                <w:kern w:val="2"/>
                <w:sz w:val="22"/>
                <w:szCs w:val="22"/>
                <w:u w:val="none"/>
                <w:lang w:val="en-US" w:eastAsia="zh-CN" w:bidi="ar-SA"/>
              </w:rPr>
            </w:pPr>
            <w:r>
              <w:rPr>
                <w:rFonts w:hint="eastAsia" w:ascii="仿宋_GB2312" w:hAnsi="宋体" w:eastAsia="仿宋_GB2312" w:cs="仿宋_GB2312"/>
                <w:b/>
                <w:bCs/>
                <w:i w:val="0"/>
                <w:iCs w:val="0"/>
                <w:color w:val="000000"/>
                <w:kern w:val="0"/>
                <w:sz w:val="22"/>
                <w:szCs w:val="22"/>
                <w:u w:val="none"/>
                <w:lang w:val="en-US" w:eastAsia="zh-CN" w:bidi="ar"/>
              </w:rPr>
              <w:t>管理岗位等级</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067DC74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3.40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6303A82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4.64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0B96D0F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6.69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7DD9B94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11.11 </w:t>
            </w:r>
          </w:p>
        </w:tc>
        <w:tc>
          <w:tcPr>
            <w:tcW w:w="487"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70B3D28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19.50 </w:t>
            </w:r>
          </w:p>
        </w:tc>
      </w:tr>
      <w:tr w14:paraId="29C2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2B36">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9DCB">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高层管理岗</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3B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5.31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BE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6.70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AAA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F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15.80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D6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25.74 </w:t>
            </w:r>
          </w:p>
        </w:tc>
      </w:tr>
      <w:tr w14:paraId="41D2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4F51">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0D7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中层管理岗</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0B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5.04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C4B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782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9.80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7BD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14.66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399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25.60 </w:t>
            </w:r>
          </w:p>
        </w:tc>
      </w:tr>
      <w:tr w14:paraId="5C12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8B8B">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469B">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基层管理岗</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729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3.55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B9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4.80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7B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6.02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5D1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10.89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E47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17.36 </w:t>
            </w:r>
          </w:p>
        </w:tc>
      </w:tr>
      <w:tr w14:paraId="372D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7F83">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9FAD">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管理类员工岗</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69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2.93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D8F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3.71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CFD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4.96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5D9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6.72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803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9.34 </w:t>
            </w:r>
          </w:p>
        </w:tc>
      </w:tr>
      <w:tr w14:paraId="0B1D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7D784E5A">
            <w:pPr>
              <w:numPr>
                <w:ilvl w:val="0"/>
                <w:numId w:val="3"/>
              </w:numPr>
              <w:spacing w:line="240" w:lineRule="auto"/>
              <w:ind w:left="0" w:leftChars="0" w:firstLine="142" w:firstLineChars="0"/>
              <w:jc w:val="center"/>
              <w:rPr>
                <w:rFonts w:hint="eastAsia" w:ascii="Times New Roman" w:hAnsi="Times New Roman" w:eastAsia="宋体" w:cs="Times New Roman"/>
                <w:b/>
                <w:bCs/>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2A9766F1">
            <w:pPr>
              <w:keepNext w:val="0"/>
              <w:keepLines w:val="0"/>
              <w:widowControl/>
              <w:suppressLineNumbers w:val="0"/>
              <w:spacing w:line="240" w:lineRule="auto"/>
              <w:jc w:val="center"/>
              <w:textAlignment w:val="center"/>
              <w:rPr>
                <w:rFonts w:hint="eastAsia" w:ascii="仿宋_GB2312" w:hAnsi="宋体" w:eastAsia="仿宋_GB2312" w:cs="仿宋_GB2312"/>
                <w:b/>
                <w:bCs/>
                <w:i w:val="0"/>
                <w:iCs w:val="0"/>
                <w:color w:val="auto"/>
                <w:kern w:val="2"/>
                <w:sz w:val="22"/>
                <w:szCs w:val="22"/>
                <w:u w:val="none"/>
                <w:lang w:val="en-US" w:eastAsia="zh-CN" w:bidi="ar-SA"/>
              </w:rPr>
            </w:pPr>
            <w:r>
              <w:rPr>
                <w:rFonts w:hint="eastAsia" w:ascii="仿宋_GB2312" w:hAnsi="宋体" w:eastAsia="仿宋_GB2312" w:cs="仿宋_GB2312"/>
                <w:b/>
                <w:bCs/>
                <w:i w:val="0"/>
                <w:iCs w:val="0"/>
                <w:color w:val="auto"/>
                <w:kern w:val="0"/>
                <w:sz w:val="22"/>
                <w:szCs w:val="22"/>
                <w:u w:val="none"/>
                <w:lang w:val="en-US" w:eastAsia="zh-CN" w:bidi="ar"/>
              </w:rPr>
              <w:t>专业技术职称</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0BF2465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3.51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18076EA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4.80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41060B2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7.08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281B022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10.64 </w:t>
            </w:r>
          </w:p>
        </w:tc>
        <w:tc>
          <w:tcPr>
            <w:tcW w:w="487"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59C7097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13.90 </w:t>
            </w:r>
          </w:p>
        </w:tc>
      </w:tr>
      <w:tr w14:paraId="5FA2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5BBB">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4A2C">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副高级职称</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AA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D81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1B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7.54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47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12.51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E5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19.68 </w:t>
            </w:r>
          </w:p>
        </w:tc>
      </w:tr>
      <w:tr w14:paraId="18AE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2F61">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AF0D">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中级职称</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5D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93A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4.80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56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7.24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BA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11.68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53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17.21 </w:t>
            </w:r>
          </w:p>
        </w:tc>
      </w:tr>
      <w:tr w14:paraId="6111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E1A3">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9F3F">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初级职称</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2E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3.77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ADC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4.26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4D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6.89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27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11.35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B4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14.28 </w:t>
            </w:r>
          </w:p>
        </w:tc>
      </w:tr>
      <w:tr w14:paraId="2458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470116B5">
            <w:pPr>
              <w:numPr>
                <w:ilvl w:val="0"/>
                <w:numId w:val="3"/>
              </w:numPr>
              <w:spacing w:line="240" w:lineRule="auto"/>
              <w:ind w:left="0" w:leftChars="0" w:firstLine="142" w:firstLineChars="0"/>
              <w:jc w:val="center"/>
              <w:rPr>
                <w:rFonts w:hint="eastAsia"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6C10074C">
            <w:pPr>
              <w:keepNext w:val="0"/>
              <w:keepLines w:val="0"/>
              <w:widowControl/>
              <w:suppressLineNumbers w:val="0"/>
              <w:spacing w:line="240" w:lineRule="auto"/>
              <w:jc w:val="center"/>
              <w:textAlignment w:val="center"/>
              <w:rPr>
                <w:rFonts w:hint="eastAsia" w:ascii="仿宋_GB2312" w:hAnsi="宋体" w:eastAsia="仿宋_GB2312" w:cs="仿宋_GB2312"/>
                <w:b/>
                <w:bCs/>
                <w:i w:val="0"/>
                <w:iCs w:val="0"/>
                <w:color w:val="000000"/>
                <w:kern w:val="2"/>
                <w:sz w:val="22"/>
                <w:szCs w:val="22"/>
                <w:u w:val="none"/>
                <w:lang w:val="en-US" w:eastAsia="zh-CN" w:bidi="ar-SA"/>
              </w:rPr>
            </w:pPr>
            <w:r>
              <w:rPr>
                <w:rFonts w:hint="eastAsia" w:ascii="仿宋_GB2312" w:hAnsi="宋体" w:eastAsia="仿宋_GB2312" w:cs="仿宋_GB2312"/>
                <w:b/>
                <w:bCs/>
                <w:i w:val="0"/>
                <w:iCs w:val="0"/>
                <w:color w:val="000000"/>
                <w:kern w:val="0"/>
                <w:sz w:val="22"/>
                <w:szCs w:val="22"/>
                <w:u w:val="none"/>
                <w:lang w:val="en-US" w:eastAsia="zh-CN" w:bidi="ar"/>
              </w:rPr>
              <w:t>职业技能等级</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0CCBB12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2.79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71D93F0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3.58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6E5483A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4.72 </w:t>
            </w:r>
          </w:p>
        </w:tc>
        <w:tc>
          <w:tcPr>
            <w:tcW w:w="4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0B43F06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6.45 </w:t>
            </w:r>
          </w:p>
        </w:tc>
        <w:tc>
          <w:tcPr>
            <w:tcW w:w="487"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1F0716D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8.50 </w:t>
            </w:r>
          </w:p>
        </w:tc>
      </w:tr>
      <w:tr w14:paraId="3538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B1A4">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C10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高级技能及以上</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63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3.11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E2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3.90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0C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8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10.53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A8A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13.14 </w:t>
            </w:r>
          </w:p>
        </w:tc>
      </w:tr>
      <w:tr w14:paraId="446B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7B87">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9994">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中级工/中级技能</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9F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2.88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67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3.87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50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5.32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FC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7.49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21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12.22 </w:t>
            </w:r>
          </w:p>
        </w:tc>
      </w:tr>
      <w:tr w14:paraId="6FA6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72E2">
            <w:pPr>
              <w:numPr>
                <w:ilvl w:val="0"/>
                <w:numId w:val="3"/>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65B9">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初级工/初级技能</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840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2.86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E8C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57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5.13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570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7.26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F4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10.54 </w:t>
            </w:r>
          </w:p>
        </w:tc>
      </w:tr>
    </w:tbl>
    <w:p w14:paraId="26EC7E1B">
      <w:pPr>
        <w:pStyle w:val="4"/>
        <w:ind w:firstLine="480"/>
        <w:rPr>
          <w:rFonts w:ascii="Times New Roman" w:hAnsi="Times New Roman"/>
        </w:rPr>
      </w:pPr>
      <w:bookmarkStart w:id="40" w:name="_Toc8697"/>
      <w:bookmarkStart w:id="41" w:name="_Toc31680"/>
      <w:bookmarkStart w:id="42" w:name="_Toc9803"/>
      <w:bookmarkStart w:id="43" w:name="_Toc7119"/>
      <w:r>
        <w:rPr>
          <w:rFonts w:ascii="Times New Roman" w:hAnsi="Times New Roman"/>
        </w:rPr>
        <w:t>（</w:t>
      </w:r>
      <w:r>
        <w:rPr>
          <w:rFonts w:hint="eastAsia" w:ascii="Times New Roman" w:hAnsi="Times New Roman"/>
          <w:lang w:eastAsia="zh-CN"/>
        </w:rPr>
        <w:t>四</w:t>
      </w:r>
      <w:r>
        <w:rPr>
          <w:rFonts w:ascii="Times New Roman" w:hAnsi="Times New Roman"/>
        </w:rPr>
        <w:t>）分学历的工资价位</w:t>
      </w:r>
      <w:bookmarkEnd w:id="40"/>
      <w:bookmarkEnd w:id="41"/>
      <w:bookmarkEnd w:id="42"/>
      <w:bookmarkEnd w:id="43"/>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564"/>
        <w:gridCol w:w="825"/>
        <w:gridCol w:w="825"/>
        <w:gridCol w:w="825"/>
        <w:gridCol w:w="825"/>
        <w:gridCol w:w="830"/>
      </w:tblGrid>
      <w:tr w14:paraId="5E05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1D0667C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FFFFFF"/>
                <w:sz w:val="21"/>
                <w:szCs w:val="21"/>
                <w:u w:val="none"/>
              </w:rPr>
            </w:pPr>
            <w:r>
              <w:rPr>
                <w:rFonts w:ascii="黑体" w:hAnsi="宋体" w:eastAsia="黑体" w:cs="黑体"/>
                <w:i w:val="0"/>
                <w:iCs w:val="0"/>
                <w:color w:val="FFFFFF"/>
                <w:kern w:val="0"/>
                <w:sz w:val="21"/>
                <w:szCs w:val="21"/>
                <w:u w:val="none"/>
                <w:lang w:val="en-US" w:eastAsia="zh-CN" w:bidi="ar"/>
              </w:rPr>
              <w:t>序号</w:t>
            </w:r>
          </w:p>
        </w:tc>
        <w:tc>
          <w:tcPr>
            <w:tcW w:w="2091"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6C38F1A5">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学历</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14:paraId="740EB35B">
            <w:pPr>
              <w:keepNext w:val="0"/>
              <w:keepLines w:val="0"/>
              <w:widowControl/>
              <w:suppressLineNumbers w:val="0"/>
              <w:spacing w:line="240" w:lineRule="auto"/>
              <w:jc w:val="center"/>
              <w:textAlignment w:val="center"/>
              <w:rPr>
                <w:rFonts w:ascii="黑体" w:hAnsi="宋体" w:eastAsia="黑体" w:cs="黑体"/>
                <w:i w:val="0"/>
                <w:iCs w:val="0"/>
                <w:color w:val="FFFFFF"/>
                <w:kern w:val="0"/>
                <w:sz w:val="21"/>
                <w:szCs w:val="21"/>
                <w:u w:val="none"/>
                <w:lang w:val="en-US" w:eastAsia="zh-CN" w:bidi="ar"/>
              </w:rPr>
            </w:pPr>
            <w:r>
              <w:rPr>
                <w:rFonts w:ascii="黑体" w:hAnsi="宋体" w:eastAsia="黑体" w:cs="黑体"/>
                <w:i w:val="0"/>
                <w:iCs w:val="0"/>
                <w:color w:val="FFFFFF"/>
                <w:kern w:val="0"/>
                <w:sz w:val="21"/>
                <w:szCs w:val="21"/>
                <w:u w:val="none"/>
                <w:lang w:val="en-US" w:eastAsia="zh-CN" w:bidi="ar"/>
              </w:rPr>
              <w:t>工资水平（万元/年）</w:t>
            </w:r>
          </w:p>
        </w:tc>
      </w:tr>
      <w:tr w14:paraId="257A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6812E34F">
            <w:pPr>
              <w:spacing w:line="240" w:lineRule="auto"/>
              <w:jc w:val="center"/>
              <w:rPr>
                <w:rFonts w:hint="default" w:ascii="Times New Roman" w:hAnsi="Times New Roman" w:eastAsia="宋体" w:cs="Times New Roman"/>
                <w:i w:val="0"/>
                <w:iCs w:val="0"/>
                <w:color w:val="FFFFFF"/>
                <w:sz w:val="21"/>
                <w:szCs w:val="21"/>
                <w:u w:val="none"/>
              </w:rPr>
            </w:pPr>
          </w:p>
        </w:tc>
        <w:tc>
          <w:tcPr>
            <w:tcW w:w="2091"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15A7CED4">
            <w:pPr>
              <w:spacing w:line="240" w:lineRule="auto"/>
              <w:jc w:val="center"/>
              <w:rPr>
                <w:rFonts w:hint="eastAsia" w:ascii="黑体" w:hAnsi="宋体" w:eastAsia="黑体" w:cs="黑体"/>
                <w:i w:val="0"/>
                <w:iCs w:val="0"/>
                <w:color w:val="FFFFFF"/>
                <w:sz w:val="21"/>
                <w:szCs w:val="21"/>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4F0FABF8">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6B8E6BF4">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32896683">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50%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2CCAD553">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75%</w:t>
            </w:r>
          </w:p>
        </w:tc>
        <w:tc>
          <w:tcPr>
            <w:tcW w:w="487"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7EFCDE9A">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90%</w:t>
            </w:r>
          </w:p>
        </w:tc>
      </w:tr>
      <w:tr w14:paraId="6047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EC23">
            <w:pPr>
              <w:numPr>
                <w:ilvl w:val="0"/>
                <w:numId w:val="4"/>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0450">
            <w:pPr>
              <w:keepNext w:val="0"/>
              <w:keepLines w:val="0"/>
              <w:widowControl/>
              <w:suppressLineNumbers w:val="0"/>
              <w:spacing w:line="240" w:lineRule="auto"/>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博士研究生</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14E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5.27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27C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6.46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53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10.50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3B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15.80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24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29.47 </w:t>
            </w:r>
          </w:p>
        </w:tc>
      </w:tr>
      <w:tr w14:paraId="553C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7B15">
            <w:pPr>
              <w:numPr>
                <w:ilvl w:val="0"/>
                <w:numId w:val="4"/>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6A05">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硕士研究生</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9B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4.28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984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6.26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A7A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9.20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1F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13.32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97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19.75 </w:t>
            </w:r>
          </w:p>
        </w:tc>
      </w:tr>
      <w:tr w14:paraId="291E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18E5">
            <w:pPr>
              <w:numPr>
                <w:ilvl w:val="0"/>
                <w:numId w:val="4"/>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57F2">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大学本科</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46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r>
              <w:rPr>
                <w:rFonts w:hint="eastAsia" w:cs="Times New Roman"/>
                <w:i w:val="0"/>
                <w:iCs w:val="0"/>
                <w:color w:val="000000"/>
                <w:kern w:val="0"/>
                <w:sz w:val="22"/>
                <w:szCs w:val="22"/>
                <w:u w:val="none"/>
                <w:lang w:val="en-US" w:eastAsia="zh-CN" w:bidi="ar"/>
              </w:rPr>
              <w:t>84</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ED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4.96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B3B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21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12.05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74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18.91 </w:t>
            </w:r>
          </w:p>
        </w:tc>
      </w:tr>
      <w:tr w14:paraId="3621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173C">
            <w:pPr>
              <w:numPr>
                <w:ilvl w:val="0"/>
                <w:numId w:val="4"/>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7741">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大学专科（高职、大专、高技）</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85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r>
              <w:rPr>
                <w:rFonts w:hint="eastAsia" w:cs="Times New Roman"/>
                <w:i w:val="0"/>
                <w:iCs w:val="0"/>
                <w:color w:val="000000"/>
                <w:kern w:val="0"/>
                <w:sz w:val="22"/>
                <w:szCs w:val="22"/>
                <w:u w:val="none"/>
                <w:lang w:val="en-US" w:eastAsia="zh-CN" w:bidi="ar"/>
              </w:rPr>
              <w:t>35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18C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r>
              <w:rPr>
                <w:rFonts w:hint="eastAsia" w:cs="Times New Roman"/>
                <w:i w:val="0"/>
                <w:iCs w:val="0"/>
                <w:color w:val="000000"/>
                <w:kern w:val="0"/>
                <w:sz w:val="22"/>
                <w:szCs w:val="22"/>
                <w:u w:val="none"/>
                <w:lang w:val="en-US" w:eastAsia="zh-CN" w:bidi="ar"/>
              </w:rPr>
              <w:t>32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07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5.82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88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8.21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10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12.37 </w:t>
            </w:r>
          </w:p>
        </w:tc>
      </w:tr>
      <w:tr w14:paraId="61F0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706D">
            <w:pPr>
              <w:numPr>
                <w:ilvl w:val="0"/>
                <w:numId w:val="4"/>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CE0A">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高中、中专或技校</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B49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2.91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08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3.53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DD5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4.86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54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6.34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79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8.70 </w:t>
            </w:r>
          </w:p>
        </w:tc>
      </w:tr>
      <w:tr w14:paraId="41FF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6294">
            <w:pPr>
              <w:numPr>
                <w:ilvl w:val="0"/>
                <w:numId w:val="4"/>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bookmarkStart w:id="44" w:name="_Toc28406"/>
            <w:bookmarkStart w:id="45" w:name="_Toc22572"/>
            <w:bookmarkStart w:id="46" w:name="_Toc31136"/>
            <w:bookmarkStart w:id="47" w:name="_Toc22816"/>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854C">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初中及以下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0C3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2.72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298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3.53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B9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4.56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EEA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6.24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B9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8.20 </w:t>
            </w:r>
          </w:p>
        </w:tc>
      </w:tr>
    </w:tbl>
    <w:p w14:paraId="20017C00">
      <w:pPr>
        <w:pStyle w:val="3"/>
        <w:ind w:firstLine="480"/>
      </w:pPr>
      <w:r>
        <w:rPr>
          <w:rFonts w:hint="eastAsia"/>
          <w:lang w:eastAsia="zh-CN"/>
        </w:rPr>
        <w:t>二</w:t>
      </w:r>
      <w:r>
        <w:t>、职业工资价位</w:t>
      </w:r>
      <w:bookmarkEnd w:id="44"/>
      <w:bookmarkEnd w:id="45"/>
      <w:bookmarkEnd w:id="46"/>
      <w:bookmarkEnd w:id="47"/>
    </w:p>
    <w:p w14:paraId="0844A956">
      <w:pPr>
        <w:pStyle w:val="4"/>
        <w:spacing w:before="0"/>
        <w:ind w:firstLine="480"/>
      </w:pPr>
      <w:bookmarkStart w:id="48" w:name="_Toc32391"/>
      <w:bookmarkStart w:id="49" w:name="_Toc8847"/>
      <w:bookmarkStart w:id="50" w:name="_Toc10905"/>
      <w:bookmarkStart w:id="51" w:name="_Toc14263"/>
      <w:r>
        <w:t>（一）职业大类</w:t>
      </w:r>
      <w:bookmarkEnd w:id="48"/>
      <w:bookmarkEnd w:id="49"/>
      <w:bookmarkEnd w:id="50"/>
      <w:bookmarkEnd w:id="51"/>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564"/>
        <w:gridCol w:w="825"/>
        <w:gridCol w:w="825"/>
        <w:gridCol w:w="825"/>
        <w:gridCol w:w="825"/>
        <w:gridCol w:w="830"/>
      </w:tblGrid>
      <w:tr w14:paraId="1454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4DF3306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FFFFFF"/>
                <w:sz w:val="21"/>
                <w:szCs w:val="21"/>
                <w:u w:val="none"/>
              </w:rPr>
            </w:pPr>
            <w:r>
              <w:rPr>
                <w:rFonts w:ascii="黑体" w:hAnsi="宋体" w:eastAsia="黑体" w:cs="黑体"/>
                <w:i w:val="0"/>
                <w:iCs w:val="0"/>
                <w:color w:val="FFFFFF"/>
                <w:kern w:val="0"/>
                <w:sz w:val="21"/>
                <w:szCs w:val="21"/>
                <w:u w:val="none"/>
                <w:lang w:val="en-US" w:eastAsia="zh-CN" w:bidi="ar"/>
              </w:rPr>
              <w:t>序号</w:t>
            </w:r>
          </w:p>
        </w:tc>
        <w:tc>
          <w:tcPr>
            <w:tcW w:w="2091"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26F5211D">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职业大类</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14:paraId="63EA6608">
            <w:pPr>
              <w:keepNext w:val="0"/>
              <w:keepLines w:val="0"/>
              <w:widowControl/>
              <w:suppressLineNumbers w:val="0"/>
              <w:spacing w:line="240" w:lineRule="auto"/>
              <w:jc w:val="center"/>
              <w:textAlignment w:val="center"/>
              <w:rPr>
                <w:rFonts w:ascii="黑体" w:hAnsi="宋体" w:eastAsia="黑体" w:cs="黑体"/>
                <w:i w:val="0"/>
                <w:iCs w:val="0"/>
                <w:color w:val="FFFFFF"/>
                <w:kern w:val="0"/>
                <w:sz w:val="21"/>
                <w:szCs w:val="21"/>
                <w:u w:val="none"/>
                <w:lang w:val="en-US" w:eastAsia="zh-CN" w:bidi="ar"/>
              </w:rPr>
            </w:pPr>
            <w:r>
              <w:rPr>
                <w:rFonts w:ascii="黑体" w:hAnsi="宋体" w:eastAsia="黑体" w:cs="黑体"/>
                <w:i w:val="0"/>
                <w:iCs w:val="0"/>
                <w:color w:val="FFFFFF"/>
                <w:kern w:val="0"/>
                <w:sz w:val="21"/>
                <w:szCs w:val="21"/>
                <w:u w:val="none"/>
                <w:lang w:val="en-US" w:eastAsia="zh-CN" w:bidi="ar"/>
              </w:rPr>
              <w:t>工资水平（万元/年）</w:t>
            </w:r>
          </w:p>
        </w:tc>
      </w:tr>
      <w:tr w14:paraId="070F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blHeader/>
          <w:jc w:val="center"/>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0CAE44A4">
            <w:pPr>
              <w:spacing w:line="240" w:lineRule="auto"/>
              <w:jc w:val="center"/>
              <w:rPr>
                <w:rFonts w:hint="default" w:ascii="Times New Roman" w:hAnsi="Times New Roman" w:eastAsia="宋体" w:cs="Times New Roman"/>
                <w:i w:val="0"/>
                <w:iCs w:val="0"/>
                <w:color w:val="FFFFFF"/>
                <w:sz w:val="21"/>
                <w:szCs w:val="21"/>
                <w:u w:val="none"/>
              </w:rPr>
            </w:pPr>
          </w:p>
        </w:tc>
        <w:tc>
          <w:tcPr>
            <w:tcW w:w="2091"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0A7D7F5D">
            <w:pPr>
              <w:spacing w:line="240" w:lineRule="auto"/>
              <w:jc w:val="center"/>
              <w:rPr>
                <w:rFonts w:hint="eastAsia" w:ascii="黑体" w:hAnsi="宋体" w:eastAsia="黑体" w:cs="黑体"/>
                <w:i w:val="0"/>
                <w:iCs w:val="0"/>
                <w:color w:val="FFFFFF"/>
                <w:sz w:val="21"/>
                <w:szCs w:val="21"/>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5EF976EC">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6ED060B8">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7B3EFA0D">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50%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5B514183">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75%</w:t>
            </w:r>
          </w:p>
        </w:tc>
        <w:tc>
          <w:tcPr>
            <w:tcW w:w="487"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2B22B404">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90%</w:t>
            </w:r>
          </w:p>
        </w:tc>
      </w:tr>
      <w:tr w14:paraId="6D95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E96F">
            <w:pPr>
              <w:numPr>
                <w:ilvl w:val="0"/>
                <w:numId w:val="5"/>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5B07">
            <w:pPr>
              <w:keepNext w:val="0"/>
              <w:keepLines w:val="0"/>
              <w:widowControl/>
              <w:suppressLineNumbers w:val="0"/>
              <w:spacing w:line="240" w:lineRule="auto"/>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党的机关、国家机关、群众团体和社会组织、企事业单位负责人</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6C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3.70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72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5.76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EF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8.64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64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13.38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31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23.15 </w:t>
            </w:r>
          </w:p>
        </w:tc>
      </w:tr>
      <w:tr w14:paraId="750E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8B9">
            <w:pPr>
              <w:numPr>
                <w:ilvl w:val="0"/>
                <w:numId w:val="5"/>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9E57">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专业技术人员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A22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3.51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BC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4.80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94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7.08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8DC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10.64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DE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13.90 </w:t>
            </w:r>
          </w:p>
        </w:tc>
      </w:tr>
      <w:tr w14:paraId="71DC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2201">
            <w:pPr>
              <w:numPr>
                <w:ilvl w:val="0"/>
                <w:numId w:val="5"/>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6DC3">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办事人员和有关人员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755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3.12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B8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3.86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831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5.16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380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7.11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73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10.20 </w:t>
            </w:r>
          </w:p>
        </w:tc>
      </w:tr>
      <w:tr w14:paraId="586F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B05F">
            <w:pPr>
              <w:numPr>
                <w:ilvl w:val="0"/>
                <w:numId w:val="5"/>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2879">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社会生产服务和生活服务人员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347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2.88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824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3.52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45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4.53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10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6.23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68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8.25 </w:t>
            </w:r>
          </w:p>
        </w:tc>
      </w:tr>
      <w:tr w14:paraId="6140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CA2B">
            <w:pPr>
              <w:numPr>
                <w:ilvl w:val="0"/>
                <w:numId w:val="5"/>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539F">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农、林、牧、渔业生产及辅助人员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D5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2.10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E5B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3.15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6A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5.77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ED5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7.15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D6E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8.38 </w:t>
            </w:r>
          </w:p>
        </w:tc>
      </w:tr>
      <w:tr w14:paraId="616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7E8A">
            <w:pPr>
              <w:numPr>
                <w:ilvl w:val="0"/>
                <w:numId w:val="5"/>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A650">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生产制造及有关人员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E81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2.79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66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EA7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4.89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BE6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6.46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C70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8.50 </w:t>
            </w:r>
          </w:p>
        </w:tc>
      </w:tr>
    </w:tbl>
    <w:p w14:paraId="0DC846A8">
      <w:pPr>
        <w:pStyle w:val="4"/>
        <w:numPr>
          <w:ilvl w:val="0"/>
          <w:numId w:val="6"/>
        </w:numPr>
        <w:ind w:firstLine="480"/>
      </w:pPr>
      <w:bookmarkStart w:id="52" w:name="_Toc20499"/>
      <w:bookmarkStart w:id="53" w:name="_Toc7634"/>
      <w:bookmarkStart w:id="54" w:name="_Toc11093"/>
      <w:bookmarkStart w:id="55" w:name="_Toc11782"/>
      <w:r>
        <w:t>职业中类</w:t>
      </w:r>
      <w:bookmarkEnd w:id="52"/>
      <w:bookmarkEnd w:id="53"/>
      <w:bookmarkEnd w:id="54"/>
      <w:bookmarkEnd w:id="55"/>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564"/>
        <w:gridCol w:w="825"/>
        <w:gridCol w:w="825"/>
        <w:gridCol w:w="825"/>
        <w:gridCol w:w="825"/>
        <w:gridCol w:w="830"/>
      </w:tblGrid>
      <w:tr w14:paraId="4B01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645D65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FFFFFF"/>
                <w:sz w:val="21"/>
                <w:szCs w:val="21"/>
                <w:u w:val="none"/>
              </w:rPr>
            </w:pPr>
            <w:r>
              <w:rPr>
                <w:rFonts w:ascii="黑体" w:hAnsi="宋体" w:eastAsia="黑体" w:cs="黑体"/>
                <w:i w:val="0"/>
                <w:iCs w:val="0"/>
                <w:color w:val="FFFFFF"/>
                <w:kern w:val="0"/>
                <w:sz w:val="21"/>
                <w:szCs w:val="21"/>
                <w:u w:val="none"/>
                <w:lang w:val="en-US" w:eastAsia="zh-CN" w:bidi="ar"/>
              </w:rPr>
              <w:t>序号</w:t>
            </w:r>
          </w:p>
        </w:tc>
        <w:tc>
          <w:tcPr>
            <w:tcW w:w="2091"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70D7486E">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职业中类</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14:paraId="04F15AD1">
            <w:pPr>
              <w:keepNext w:val="0"/>
              <w:keepLines w:val="0"/>
              <w:widowControl/>
              <w:suppressLineNumbers w:val="0"/>
              <w:spacing w:line="240" w:lineRule="auto"/>
              <w:jc w:val="center"/>
              <w:textAlignment w:val="center"/>
              <w:rPr>
                <w:rFonts w:ascii="黑体" w:hAnsi="宋体" w:eastAsia="黑体" w:cs="黑体"/>
                <w:i w:val="0"/>
                <w:iCs w:val="0"/>
                <w:color w:val="FFFFFF"/>
                <w:kern w:val="0"/>
                <w:sz w:val="21"/>
                <w:szCs w:val="21"/>
                <w:u w:val="none"/>
                <w:lang w:val="en-US" w:eastAsia="zh-CN" w:bidi="ar"/>
              </w:rPr>
            </w:pPr>
            <w:r>
              <w:rPr>
                <w:rFonts w:ascii="黑体" w:hAnsi="宋体" w:eastAsia="黑体" w:cs="黑体"/>
                <w:i w:val="0"/>
                <w:iCs w:val="0"/>
                <w:color w:val="FFFFFF"/>
                <w:kern w:val="0"/>
                <w:sz w:val="21"/>
                <w:szCs w:val="21"/>
                <w:u w:val="none"/>
                <w:lang w:val="en-US" w:eastAsia="zh-CN" w:bidi="ar"/>
              </w:rPr>
              <w:t>工资水平（万元/年）</w:t>
            </w:r>
          </w:p>
        </w:tc>
      </w:tr>
      <w:tr w14:paraId="292C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3065AFDC">
            <w:pPr>
              <w:spacing w:line="240" w:lineRule="auto"/>
              <w:jc w:val="center"/>
              <w:rPr>
                <w:rFonts w:hint="default" w:ascii="Times New Roman" w:hAnsi="Times New Roman" w:eastAsia="宋体" w:cs="Times New Roman"/>
                <w:i w:val="0"/>
                <w:iCs w:val="0"/>
                <w:color w:val="FFFFFF"/>
                <w:sz w:val="21"/>
                <w:szCs w:val="21"/>
                <w:u w:val="none"/>
              </w:rPr>
            </w:pPr>
          </w:p>
        </w:tc>
        <w:tc>
          <w:tcPr>
            <w:tcW w:w="2091"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24DE8ABB">
            <w:pPr>
              <w:spacing w:line="240" w:lineRule="auto"/>
              <w:jc w:val="center"/>
              <w:rPr>
                <w:rFonts w:hint="eastAsia" w:ascii="黑体" w:hAnsi="宋体" w:eastAsia="黑体" w:cs="黑体"/>
                <w:i w:val="0"/>
                <w:iCs w:val="0"/>
                <w:color w:val="FFFFFF"/>
                <w:sz w:val="21"/>
                <w:szCs w:val="21"/>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76AE197B">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1740A11E">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7FE83C4E">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50%</w:t>
            </w:r>
          </w:p>
        </w:tc>
        <w:tc>
          <w:tcPr>
            <w:tcW w:w="48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65CEE57D">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75%</w:t>
            </w:r>
          </w:p>
        </w:tc>
        <w:tc>
          <w:tcPr>
            <w:tcW w:w="487"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2E35188A">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90%</w:t>
            </w:r>
          </w:p>
        </w:tc>
      </w:tr>
      <w:tr w14:paraId="6A32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1B70">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ACB6">
            <w:pPr>
              <w:keepNext w:val="0"/>
              <w:keepLines w:val="0"/>
              <w:widowControl/>
              <w:suppressLineNumbers w:val="0"/>
              <w:spacing w:line="240" w:lineRule="auto"/>
              <w:jc w:val="center"/>
              <w:textAlignment w:val="center"/>
              <w:rPr>
                <w:rFonts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企事业单位负责人</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8B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3.70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DB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5.76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55B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8.64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7E7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12.32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BD0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20.68 </w:t>
            </w:r>
          </w:p>
        </w:tc>
      </w:tr>
      <w:tr w14:paraId="36A4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CC4B">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C48E">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工程技术人员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5E0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3.08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04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4.80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388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6.90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3F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9.60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FA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14.49 </w:t>
            </w:r>
          </w:p>
        </w:tc>
      </w:tr>
      <w:tr w14:paraId="3F56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1B3C">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9035">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卫生专业技术人员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B2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3.36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81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4.</w:t>
            </w:r>
            <w:r>
              <w:rPr>
                <w:rFonts w:hint="eastAsia" w:cs="Times New Roman"/>
                <w:i w:val="0"/>
                <w:iCs w:val="0"/>
                <w:color w:val="auto"/>
                <w:kern w:val="0"/>
                <w:sz w:val="22"/>
                <w:szCs w:val="22"/>
                <w:u w:val="none"/>
                <w:lang w:val="en-US" w:eastAsia="zh-CN" w:bidi="ar"/>
              </w:rPr>
              <w:t>32</w:t>
            </w:r>
            <w:r>
              <w:rPr>
                <w:rFonts w:hint="default" w:ascii="Times New Roman" w:hAnsi="Times New Roman" w:eastAsia="宋体" w:cs="Times New Roman"/>
                <w:i w:val="0"/>
                <w:iCs w:val="0"/>
                <w:color w:val="auto"/>
                <w:kern w:val="0"/>
                <w:sz w:val="22"/>
                <w:szCs w:val="22"/>
                <w:u w:val="none"/>
                <w:lang w:val="en-US" w:eastAsia="zh-CN" w:bidi="ar"/>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53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4.85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20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5.19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389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6.72 </w:t>
            </w:r>
          </w:p>
        </w:tc>
      </w:tr>
      <w:tr w14:paraId="013E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BD17">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A663">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经济和金融专业人员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02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33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4.97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7B8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8.61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740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11.63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E1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13.99 </w:t>
            </w:r>
          </w:p>
        </w:tc>
      </w:tr>
      <w:tr w14:paraId="0182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2714">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3685">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教学人员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819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2.77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92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3.00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4F8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77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4.00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7D5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6.78 </w:t>
            </w:r>
          </w:p>
        </w:tc>
      </w:tr>
      <w:tr w14:paraId="16DD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F07F">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B72D">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其他专业技术人员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1B2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3.17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DB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4.99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3A1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6.50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2E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9.09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3F1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11.22 </w:t>
            </w:r>
          </w:p>
        </w:tc>
      </w:tr>
      <w:tr w14:paraId="1454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70B9">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FB46">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行政办事及辅助人员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759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3.22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A9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3.94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4D8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4.97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CBA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6.74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D8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9.57 </w:t>
            </w:r>
          </w:p>
        </w:tc>
      </w:tr>
      <w:tr w14:paraId="74D3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F628">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342B">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安全和消防及辅助人员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F3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2.62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6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3.06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866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3.24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CFB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4.30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F6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5.95 </w:t>
            </w:r>
          </w:p>
        </w:tc>
      </w:tr>
      <w:tr w14:paraId="0514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C9CE">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C0BF">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其他办事人员和有关人员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5E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3.20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69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3.96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64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5.53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DD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7.57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FC1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12.00 </w:t>
            </w:r>
          </w:p>
        </w:tc>
      </w:tr>
      <w:tr w14:paraId="456A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E409">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1982">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批发与零售服务人员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3A6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3.18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30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3.62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590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4.20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B94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5.98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EFA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7.37 </w:t>
            </w:r>
          </w:p>
        </w:tc>
      </w:tr>
      <w:tr w14:paraId="711B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21A7">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BA1C">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交通运输、仓储物流和邮政业服务人员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FA5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2.94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35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4.20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C1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5.60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DB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7.27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82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10.33 </w:t>
            </w:r>
          </w:p>
        </w:tc>
      </w:tr>
      <w:tr w14:paraId="31D7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FC03">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BD3A">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住宿和餐饮服务人员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49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3.17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143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2A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6D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5.92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513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7.80 </w:t>
            </w:r>
          </w:p>
        </w:tc>
      </w:tr>
      <w:tr w14:paraId="1C16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4105">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05A1">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信息传输、软件和信息技术服务人员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1E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2.73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E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2.96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C3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5.05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D2D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9.34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13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18.80 </w:t>
            </w:r>
          </w:p>
        </w:tc>
      </w:tr>
      <w:tr w14:paraId="4E04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30A0">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8D6F">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租赁和商务服务人员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DD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2.63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2A6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3.02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3A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5B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5.90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F7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7.79 </w:t>
            </w:r>
          </w:p>
        </w:tc>
      </w:tr>
      <w:tr w14:paraId="2C70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5BBC">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E1A6">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技术辅助服务人员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55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BBB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5.22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420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7.55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69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7.59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B6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8.86 </w:t>
            </w:r>
          </w:p>
        </w:tc>
      </w:tr>
      <w:tr w14:paraId="4A8D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E71E">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3029">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水利、环境和公共设施管理服务人员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0B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8D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2.47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653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3.25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B7D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4.75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F9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6.26 </w:t>
            </w:r>
          </w:p>
        </w:tc>
      </w:tr>
      <w:tr w14:paraId="5A59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97BB">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5B06">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修理及制作服务人员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4A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2.80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B95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5.06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15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5.69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25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6.08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DB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7.34 </w:t>
            </w:r>
          </w:p>
        </w:tc>
      </w:tr>
      <w:tr w14:paraId="68BF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078A">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62BD">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健康、体育和休闲服务人员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500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2.52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BB2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3.45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195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4.08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F5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6.14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1C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7.05 </w:t>
            </w:r>
          </w:p>
        </w:tc>
      </w:tr>
      <w:tr w14:paraId="4A24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945E">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43BC">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畜牧业生产人员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B90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5.96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79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6.54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CB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7.01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B6D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7.64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5A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9.29 </w:t>
            </w:r>
          </w:p>
        </w:tc>
      </w:tr>
      <w:tr w14:paraId="23FC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0F02">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E714">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农副产品加工人员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F2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5.63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141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6.04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11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6.42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BE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6.84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9EA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8.38 </w:t>
            </w:r>
          </w:p>
        </w:tc>
      </w:tr>
      <w:tr w14:paraId="5087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C521">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A2BB">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纺织品、服装和皮革、毛皮制品加工制作人员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26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4A5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4.08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C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4.45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E9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4.66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B0E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4.76 </w:t>
            </w:r>
          </w:p>
        </w:tc>
      </w:tr>
      <w:tr w14:paraId="5305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5C1">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0DB3">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医药制造人员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83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3.40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137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3.79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82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4.92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938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5.77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62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6.29 </w:t>
            </w:r>
          </w:p>
        </w:tc>
      </w:tr>
      <w:tr w14:paraId="3DF0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6705">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EF43">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橡胶和塑料制品制造人员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5B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2A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5.27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FF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6.48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E6F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7.83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D9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9.42 </w:t>
            </w:r>
          </w:p>
        </w:tc>
      </w:tr>
      <w:tr w14:paraId="61E6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20E0">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003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非金属矿物制品制造人员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DE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3.30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EB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4.08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9A3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5.51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859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6.86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33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8.96 </w:t>
            </w:r>
          </w:p>
        </w:tc>
      </w:tr>
      <w:tr w14:paraId="1372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0653">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A12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采矿人员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2B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7.37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C47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9.33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49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10.37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0A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11.30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BC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12.33 </w:t>
            </w:r>
          </w:p>
        </w:tc>
      </w:tr>
      <w:tr w14:paraId="2287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534F">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D340">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金属冶炼和压延加工人员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75F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2.99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67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3.25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74A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4.32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5B7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5.40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72B3">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7.86 </w:t>
            </w:r>
          </w:p>
        </w:tc>
      </w:tr>
      <w:tr w14:paraId="6397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3D53">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F007">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机械制造基础加工人员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2DB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3.16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FE1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3.84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2D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09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6.50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F9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8.50 </w:t>
            </w:r>
          </w:p>
        </w:tc>
      </w:tr>
      <w:tr w14:paraId="7B3A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8044">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E75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通用设备制造人员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6C8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3.24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EC2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3.96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28A3">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4.59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CE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6.26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97A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6.81 </w:t>
            </w:r>
          </w:p>
        </w:tc>
      </w:tr>
      <w:tr w14:paraId="0DAD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F72A">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20D2">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电气机械和器材制造人员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DE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3.61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2AF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4.34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44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4.73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DD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5.22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67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5.96 </w:t>
            </w:r>
          </w:p>
        </w:tc>
      </w:tr>
      <w:tr w14:paraId="7A03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42D6">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E5D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计算机、通信和其他电子设备制造人员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50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2.29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4B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2.65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B0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3.24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CE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3.75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C27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4.22 </w:t>
            </w:r>
          </w:p>
        </w:tc>
      </w:tr>
      <w:tr w14:paraId="6705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4FD2">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1088">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电力、热力、气体、水生产和输配人员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42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3.24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2B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3.92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EF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4.85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500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6.86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6A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8.90 </w:t>
            </w:r>
          </w:p>
        </w:tc>
      </w:tr>
      <w:tr w14:paraId="425F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F911">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A9DA">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建筑施工人员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941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3.72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22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4.55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74E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6.36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6E2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7.53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DC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9.94 </w:t>
            </w:r>
          </w:p>
        </w:tc>
      </w:tr>
      <w:tr w14:paraId="3E5E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30D3">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9995">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运输设备和通用工程机械操作人员及有关人员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621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4.32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55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6.36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EAA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7.20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AC6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7.92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BE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12.60 </w:t>
            </w:r>
          </w:p>
        </w:tc>
      </w:tr>
      <w:tr w14:paraId="703B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8E99">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16E1">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生产辅助人员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D1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2.76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6A2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3.48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71C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4.84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740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6.50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F9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8.43 </w:t>
            </w:r>
          </w:p>
        </w:tc>
      </w:tr>
      <w:tr w14:paraId="1662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1D17">
            <w:pPr>
              <w:numPr>
                <w:ilvl w:val="0"/>
                <w:numId w:val="7"/>
              </w:numPr>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bookmarkStart w:id="56" w:name="_Toc308"/>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1DD5">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其他生产制造及有关人员</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AB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2.71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10B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3.96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DAF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5.42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8B4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6.32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332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7.94 </w:t>
            </w:r>
          </w:p>
        </w:tc>
      </w:tr>
    </w:tbl>
    <w:p w14:paraId="33E090A5">
      <w:r>
        <w:br w:type="page"/>
      </w:r>
    </w:p>
    <w:p w14:paraId="2600867A">
      <w:pPr>
        <w:pStyle w:val="2"/>
        <w:spacing w:before="0"/>
      </w:pPr>
      <w:bookmarkStart w:id="57" w:name="_Toc26064"/>
      <w:bookmarkStart w:id="58" w:name="_Toc28432"/>
      <w:bookmarkStart w:id="59" w:name="_Toc31706"/>
      <w:r>
        <w:t>第二部分  企业人工成本信息</w:t>
      </w:r>
      <w:bookmarkEnd w:id="56"/>
      <w:bookmarkEnd w:id="57"/>
      <w:bookmarkEnd w:id="58"/>
      <w:bookmarkEnd w:id="59"/>
    </w:p>
    <w:p w14:paraId="303B294B">
      <w:pPr>
        <w:pStyle w:val="3"/>
        <w:ind w:firstLine="480"/>
      </w:pPr>
      <w:bookmarkStart w:id="60" w:name="_Toc19606"/>
      <w:bookmarkStart w:id="61" w:name="_Toc2869"/>
      <w:bookmarkStart w:id="62" w:name="_Toc15241"/>
      <w:bookmarkStart w:id="63" w:name="_Toc16144"/>
      <w:r>
        <w:rPr>
          <w:rFonts w:ascii="Times New Roman" w:hAnsi="Times New Roman"/>
        </w:rPr>
        <w:t>一、</w:t>
      </w:r>
      <w:r>
        <w:rPr>
          <w:rFonts w:hint="eastAsia"/>
        </w:rPr>
        <w:t>分行业门类的</w:t>
      </w:r>
      <w:r>
        <w:t>人工成本信息</w:t>
      </w:r>
      <w:bookmarkEnd w:id="60"/>
      <w:bookmarkEnd w:id="61"/>
      <w:bookmarkEnd w:id="62"/>
      <w:bookmarkEnd w:id="63"/>
    </w:p>
    <w:p w14:paraId="1EE39074">
      <w:pPr>
        <w:pStyle w:val="4"/>
        <w:spacing w:before="0"/>
        <w:ind w:firstLine="480"/>
      </w:pPr>
      <w:bookmarkStart w:id="64" w:name="_Toc11382"/>
      <w:bookmarkStart w:id="65" w:name="_Toc4850"/>
      <w:bookmarkStart w:id="66" w:name="_Toc13609"/>
      <w:bookmarkStart w:id="67" w:name="_Toc7525"/>
      <w:r>
        <w:rPr>
          <w:rFonts w:hint="eastAsia"/>
        </w:rPr>
        <w:t>（一）</w:t>
      </w:r>
      <w:r>
        <w:t>人工成本水平</w:t>
      </w:r>
      <w:bookmarkEnd w:id="64"/>
      <w:bookmarkEnd w:id="65"/>
      <w:bookmarkEnd w:id="66"/>
      <w:bookmarkEnd w:id="67"/>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4"/>
        <w:gridCol w:w="3576"/>
        <w:gridCol w:w="847"/>
        <w:gridCol w:w="847"/>
        <w:gridCol w:w="847"/>
        <w:gridCol w:w="847"/>
        <w:gridCol w:w="861"/>
      </w:tblGrid>
      <w:tr w14:paraId="0DBE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blHeader/>
          <w:jc w:val="center"/>
        </w:trPr>
        <w:tc>
          <w:tcPr>
            <w:tcW w:w="407" w:type="pct"/>
            <w:vMerge w:val="restart"/>
            <w:shd w:val="clear" w:color="auto" w:fill="4F81BD"/>
            <w:vAlign w:val="center"/>
          </w:tcPr>
          <w:p w14:paraId="393E329B">
            <w:pPr>
              <w:keepNext w:val="0"/>
              <w:keepLines w:val="0"/>
              <w:widowControl/>
              <w:suppressLineNumbers w:val="0"/>
              <w:spacing w:line="240" w:lineRule="auto"/>
              <w:jc w:val="center"/>
              <w:textAlignment w:val="center"/>
              <w:rPr>
                <w:rFonts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序号</w:t>
            </w:r>
          </w:p>
        </w:tc>
        <w:tc>
          <w:tcPr>
            <w:tcW w:w="2098" w:type="pct"/>
            <w:vMerge w:val="restart"/>
            <w:shd w:val="clear" w:color="auto" w:fill="4F81BD"/>
            <w:vAlign w:val="center"/>
          </w:tcPr>
          <w:p w14:paraId="3BAB4841">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lang w:eastAsia="zh-CN"/>
              </w:rPr>
            </w:pPr>
            <w:r>
              <w:rPr>
                <w:rFonts w:hint="eastAsia" w:ascii="黑体" w:hAnsi="宋体" w:eastAsia="黑体" w:cs="黑体"/>
                <w:i w:val="0"/>
                <w:iCs w:val="0"/>
                <w:color w:val="FFFFFF"/>
                <w:kern w:val="0"/>
                <w:sz w:val="21"/>
                <w:szCs w:val="21"/>
                <w:u w:val="none"/>
                <w:lang w:val="en-US" w:eastAsia="zh-CN" w:bidi="ar"/>
              </w:rPr>
              <w:t>行业</w:t>
            </w:r>
          </w:p>
        </w:tc>
        <w:tc>
          <w:tcPr>
            <w:tcW w:w="2493" w:type="pct"/>
            <w:gridSpan w:val="5"/>
            <w:shd w:val="clear" w:color="auto" w:fill="4F81BD"/>
            <w:vAlign w:val="center"/>
          </w:tcPr>
          <w:p w14:paraId="72273701">
            <w:pPr>
              <w:keepNext w:val="0"/>
              <w:keepLines w:val="0"/>
              <w:widowControl/>
              <w:suppressLineNumbers w:val="0"/>
              <w:spacing w:line="240" w:lineRule="auto"/>
              <w:jc w:val="center"/>
              <w:textAlignment w:val="center"/>
              <w:rPr>
                <w:rFonts w:hint="eastAsia" w:ascii="黑体" w:hAnsi="宋体" w:eastAsia="黑体" w:cs="黑体"/>
                <w:i w:val="0"/>
                <w:iCs w:val="0"/>
                <w:color w:val="FFFFFF"/>
                <w:kern w:val="0"/>
                <w:sz w:val="21"/>
                <w:szCs w:val="21"/>
                <w:u w:val="none"/>
                <w:lang w:val="en-US" w:eastAsia="zh-CN" w:bidi="ar"/>
              </w:rPr>
            </w:pPr>
            <w:r>
              <w:rPr>
                <w:rFonts w:hint="eastAsia" w:ascii="黑体" w:hAnsi="宋体" w:eastAsia="黑体" w:cs="黑体"/>
                <w:i w:val="0"/>
                <w:iCs w:val="0"/>
                <w:color w:val="FFFFFF"/>
                <w:kern w:val="0"/>
                <w:sz w:val="21"/>
                <w:szCs w:val="21"/>
                <w:u w:val="none"/>
                <w:lang w:val="en-US" w:eastAsia="zh-CN" w:bidi="ar"/>
              </w:rPr>
              <w:t>人均人工成本（万元/年）</w:t>
            </w:r>
          </w:p>
        </w:tc>
      </w:tr>
      <w:tr w14:paraId="4307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07" w:type="pct"/>
            <w:vMerge w:val="continue"/>
            <w:shd w:val="clear" w:color="auto" w:fill="4F81BD"/>
            <w:vAlign w:val="center"/>
          </w:tcPr>
          <w:p w14:paraId="34B3387D">
            <w:pPr>
              <w:spacing w:line="240" w:lineRule="auto"/>
              <w:jc w:val="center"/>
              <w:rPr>
                <w:rFonts w:hint="eastAsia" w:ascii="黑体" w:hAnsi="宋体" w:eastAsia="黑体" w:cs="黑体"/>
                <w:i w:val="0"/>
                <w:iCs w:val="0"/>
                <w:color w:val="FFFFFF"/>
                <w:sz w:val="21"/>
                <w:szCs w:val="21"/>
                <w:u w:val="none"/>
              </w:rPr>
            </w:pPr>
          </w:p>
        </w:tc>
        <w:tc>
          <w:tcPr>
            <w:tcW w:w="2098" w:type="pct"/>
            <w:vMerge w:val="continue"/>
            <w:shd w:val="clear" w:color="auto" w:fill="4F81BD"/>
            <w:vAlign w:val="center"/>
          </w:tcPr>
          <w:p w14:paraId="685D3280">
            <w:pPr>
              <w:spacing w:line="240" w:lineRule="auto"/>
              <w:jc w:val="center"/>
              <w:rPr>
                <w:rFonts w:hint="eastAsia" w:ascii="黑体" w:hAnsi="宋体" w:eastAsia="黑体" w:cs="黑体"/>
                <w:i w:val="0"/>
                <w:iCs w:val="0"/>
                <w:color w:val="FFFFFF"/>
                <w:sz w:val="21"/>
                <w:szCs w:val="21"/>
                <w:u w:val="none"/>
              </w:rPr>
            </w:pPr>
          </w:p>
        </w:tc>
        <w:tc>
          <w:tcPr>
            <w:tcW w:w="497" w:type="pct"/>
            <w:shd w:val="clear" w:color="auto" w:fill="4F81BD"/>
            <w:vAlign w:val="center"/>
          </w:tcPr>
          <w:p w14:paraId="26795A79">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10%</w:t>
            </w:r>
          </w:p>
        </w:tc>
        <w:tc>
          <w:tcPr>
            <w:tcW w:w="497" w:type="pct"/>
            <w:shd w:val="clear" w:color="auto" w:fill="4F81BD"/>
            <w:vAlign w:val="center"/>
          </w:tcPr>
          <w:p w14:paraId="79F75347">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25%</w:t>
            </w:r>
          </w:p>
        </w:tc>
        <w:tc>
          <w:tcPr>
            <w:tcW w:w="497" w:type="pct"/>
            <w:shd w:val="clear" w:color="auto" w:fill="4F81BD"/>
            <w:vAlign w:val="center"/>
          </w:tcPr>
          <w:p w14:paraId="76A7E9DF">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50%</w:t>
            </w:r>
          </w:p>
        </w:tc>
        <w:tc>
          <w:tcPr>
            <w:tcW w:w="497" w:type="pct"/>
            <w:shd w:val="clear" w:color="auto" w:fill="4F81BD"/>
            <w:vAlign w:val="center"/>
          </w:tcPr>
          <w:p w14:paraId="160106D7">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75%</w:t>
            </w:r>
          </w:p>
        </w:tc>
        <w:tc>
          <w:tcPr>
            <w:tcW w:w="505" w:type="pct"/>
            <w:shd w:val="clear" w:color="auto" w:fill="4F81BD"/>
            <w:vAlign w:val="center"/>
          </w:tcPr>
          <w:p w14:paraId="6D05C061">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90%</w:t>
            </w:r>
          </w:p>
        </w:tc>
      </w:tr>
      <w:tr w14:paraId="65E2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07" w:type="pct"/>
            <w:shd w:val="clear" w:color="auto" w:fill="FFFFFF" w:themeFill="background1"/>
            <w:noWrap/>
            <w:vAlign w:val="center"/>
          </w:tcPr>
          <w:p w14:paraId="18A57BF0">
            <w:pPr>
              <w:numPr>
                <w:ilvl w:val="0"/>
                <w:numId w:val="8"/>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8" w:type="pct"/>
            <w:shd w:val="clear" w:color="auto" w:fill="auto"/>
            <w:noWrap/>
            <w:vAlign w:val="center"/>
          </w:tcPr>
          <w:p w14:paraId="78CA6956">
            <w:pPr>
              <w:keepNext w:val="0"/>
              <w:keepLines w:val="0"/>
              <w:widowControl/>
              <w:suppressLineNumbers w:val="0"/>
              <w:spacing w:line="240" w:lineRule="auto"/>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农、林、牧、渔业</w:t>
            </w:r>
          </w:p>
        </w:tc>
        <w:tc>
          <w:tcPr>
            <w:tcW w:w="497" w:type="pct"/>
            <w:shd w:val="clear" w:color="auto" w:fill="auto"/>
            <w:noWrap/>
            <w:vAlign w:val="center"/>
          </w:tcPr>
          <w:p w14:paraId="6EB6067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6.54 </w:t>
            </w:r>
          </w:p>
        </w:tc>
        <w:tc>
          <w:tcPr>
            <w:tcW w:w="497" w:type="pct"/>
            <w:shd w:val="clear" w:color="auto" w:fill="auto"/>
            <w:noWrap/>
            <w:vAlign w:val="center"/>
          </w:tcPr>
          <w:p w14:paraId="2456697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7.77 </w:t>
            </w:r>
          </w:p>
        </w:tc>
        <w:tc>
          <w:tcPr>
            <w:tcW w:w="497" w:type="pct"/>
            <w:shd w:val="clear" w:color="auto" w:fill="auto"/>
            <w:noWrap/>
            <w:vAlign w:val="center"/>
          </w:tcPr>
          <w:p w14:paraId="6B0940D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9.26 </w:t>
            </w:r>
          </w:p>
        </w:tc>
        <w:tc>
          <w:tcPr>
            <w:tcW w:w="497" w:type="pct"/>
            <w:shd w:val="clear" w:color="auto" w:fill="auto"/>
            <w:noWrap/>
            <w:vAlign w:val="center"/>
          </w:tcPr>
          <w:p w14:paraId="603891C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19.59 </w:t>
            </w:r>
          </w:p>
        </w:tc>
        <w:tc>
          <w:tcPr>
            <w:tcW w:w="505" w:type="pct"/>
            <w:shd w:val="clear" w:color="auto" w:fill="auto"/>
            <w:noWrap/>
            <w:vAlign w:val="center"/>
          </w:tcPr>
          <w:p w14:paraId="1A30A58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24.60 </w:t>
            </w:r>
          </w:p>
        </w:tc>
      </w:tr>
      <w:tr w14:paraId="3DB2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07" w:type="pct"/>
            <w:shd w:val="clear" w:color="auto" w:fill="FFFFFF" w:themeFill="background1"/>
            <w:noWrap/>
            <w:vAlign w:val="center"/>
          </w:tcPr>
          <w:p w14:paraId="2F7FF3D1">
            <w:pPr>
              <w:numPr>
                <w:ilvl w:val="0"/>
                <w:numId w:val="8"/>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8" w:type="pct"/>
            <w:shd w:val="clear" w:color="auto" w:fill="auto"/>
            <w:noWrap/>
            <w:vAlign w:val="center"/>
          </w:tcPr>
          <w:p w14:paraId="05221400">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制造业</w:t>
            </w:r>
          </w:p>
        </w:tc>
        <w:tc>
          <w:tcPr>
            <w:tcW w:w="497" w:type="pct"/>
            <w:shd w:val="clear" w:color="auto" w:fill="auto"/>
            <w:noWrap/>
            <w:vAlign w:val="center"/>
          </w:tcPr>
          <w:p w14:paraId="31DA92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3.96 </w:t>
            </w:r>
          </w:p>
        </w:tc>
        <w:tc>
          <w:tcPr>
            <w:tcW w:w="497" w:type="pct"/>
            <w:shd w:val="clear" w:color="auto" w:fill="auto"/>
            <w:noWrap/>
            <w:vAlign w:val="center"/>
          </w:tcPr>
          <w:p w14:paraId="68D58A1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4.58 </w:t>
            </w:r>
          </w:p>
        </w:tc>
        <w:tc>
          <w:tcPr>
            <w:tcW w:w="497" w:type="pct"/>
            <w:shd w:val="clear" w:color="auto" w:fill="auto"/>
            <w:noWrap/>
            <w:vAlign w:val="center"/>
          </w:tcPr>
          <w:p w14:paraId="240835F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5.84 </w:t>
            </w:r>
          </w:p>
        </w:tc>
        <w:tc>
          <w:tcPr>
            <w:tcW w:w="497" w:type="pct"/>
            <w:shd w:val="clear" w:color="auto" w:fill="auto"/>
            <w:noWrap/>
            <w:vAlign w:val="center"/>
          </w:tcPr>
          <w:p w14:paraId="475BF8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7.63 </w:t>
            </w:r>
          </w:p>
        </w:tc>
        <w:tc>
          <w:tcPr>
            <w:tcW w:w="505" w:type="pct"/>
            <w:shd w:val="clear" w:color="auto" w:fill="auto"/>
            <w:noWrap/>
            <w:vAlign w:val="center"/>
          </w:tcPr>
          <w:p w14:paraId="0CFC98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10.39 </w:t>
            </w:r>
          </w:p>
        </w:tc>
      </w:tr>
      <w:tr w14:paraId="4C81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07" w:type="pct"/>
            <w:shd w:val="clear" w:color="auto" w:fill="FFFFFF" w:themeFill="background1"/>
            <w:noWrap/>
            <w:vAlign w:val="center"/>
          </w:tcPr>
          <w:p w14:paraId="25901CE7">
            <w:pPr>
              <w:numPr>
                <w:ilvl w:val="0"/>
                <w:numId w:val="8"/>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8" w:type="pct"/>
            <w:shd w:val="clear" w:color="auto" w:fill="auto"/>
            <w:noWrap/>
            <w:vAlign w:val="center"/>
          </w:tcPr>
          <w:p w14:paraId="002D8CD9">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电力、热力、燃气及水生产和供应业</w:t>
            </w:r>
          </w:p>
        </w:tc>
        <w:tc>
          <w:tcPr>
            <w:tcW w:w="497" w:type="pct"/>
            <w:shd w:val="clear" w:color="auto" w:fill="auto"/>
            <w:noWrap/>
            <w:vAlign w:val="center"/>
          </w:tcPr>
          <w:p w14:paraId="7D170BE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5.68 </w:t>
            </w:r>
          </w:p>
        </w:tc>
        <w:tc>
          <w:tcPr>
            <w:tcW w:w="497" w:type="pct"/>
            <w:shd w:val="clear" w:color="auto" w:fill="auto"/>
            <w:noWrap/>
            <w:vAlign w:val="center"/>
          </w:tcPr>
          <w:p w14:paraId="7E3C888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6.37 </w:t>
            </w:r>
          </w:p>
        </w:tc>
        <w:tc>
          <w:tcPr>
            <w:tcW w:w="497" w:type="pct"/>
            <w:shd w:val="clear" w:color="auto" w:fill="auto"/>
            <w:noWrap/>
            <w:vAlign w:val="center"/>
          </w:tcPr>
          <w:p w14:paraId="627F97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9.12 </w:t>
            </w:r>
          </w:p>
        </w:tc>
        <w:tc>
          <w:tcPr>
            <w:tcW w:w="497" w:type="pct"/>
            <w:shd w:val="clear" w:color="auto" w:fill="auto"/>
            <w:noWrap/>
            <w:vAlign w:val="center"/>
          </w:tcPr>
          <w:p w14:paraId="6C373F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11.96 </w:t>
            </w:r>
          </w:p>
        </w:tc>
        <w:tc>
          <w:tcPr>
            <w:tcW w:w="505" w:type="pct"/>
            <w:shd w:val="clear" w:color="auto" w:fill="auto"/>
            <w:noWrap/>
            <w:vAlign w:val="center"/>
          </w:tcPr>
          <w:p w14:paraId="411D1DF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20.91 </w:t>
            </w:r>
          </w:p>
        </w:tc>
      </w:tr>
      <w:tr w14:paraId="5444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07" w:type="pct"/>
            <w:shd w:val="clear" w:color="auto" w:fill="FFFFFF" w:themeFill="background1"/>
            <w:noWrap/>
            <w:vAlign w:val="center"/>
          </w:tcPr>
          <w:p w14:paraId="3AA7AF25">
            <w:pPr>
              <w:numPr>
                <w:ilvl w:val="0"/>
                <w:numId w:val="8"/>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8" w:type="pct"/>
            <w:shd w:val="clear" w:color="auto" w:fill="auto"/>
            <w:noWrap/>
            <w:vAlign w:val="center"/>
          </w:tcPr>
          <w:p w14:paraId="3D6B4941">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建筑业</w:t>
            </w:r>
          </w:p>
        </w:tc>
        <w:tc>
          <w:tcPr>
            <w:tcW w:w="497" w:type="pct"/>
            <w:shd w:val="clear" w:color="auto" w:fill="auto"/>
            <w:noWrap/>
            <w:vAlign w:val="center"/>
          </w:tcPr>
          <w:p w14:paraId="3E8F5FF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3.68 </w:t>
            </w:r>
          </w:p>
        </w:tc>
        <w:tc>
          <w:tcPr>
            <w:tcW w:w="497" w:type="pct"/>
            <w:shd w:val="clear" w:color="auto" w:fill="auto"/>
            <w:noWrap/>
            <w:vAlign w:val="center"/>
          </w:tcPr>
          <w:p w14:paraId="6F9C678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7.18 </w:t>
            </w:r>
          </w:p>
        </w:tc>
        <w:tc>
          <w:tcPr>
            <w:tcW w:w="497" w:type="pct"/>
            <w:shd w:val="clear" w:color="auto" w:fill="auto"/>
            <w:noWrap/>
            <w:vAlign w:val="center"/>
          </w:tcPr>
          <w:p w14:paraId="1CBF35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8.97 </w:t>
            </w:r>
          </w:p>
        </w:tc>
        <w:tc>
          <w:tcPr>
            <w:tcW w:w="497" w:type="pct"/>
            <w:shd w:val="clear" w:color="auto" w:fill="auto"/>
            <w:noWrap/>
            <w:vAlign w:val="center"/>
          </w:tcPr>
          <w:p w14:paraId="1F0ABC7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14.69 </w:t>
            </w:r>
          </w:p>
        </w:tc>
        <w:tc>
          <w:tcPr>
            <w:tcW w:w="505" w:type="pct"/>
            <w:shd w:val="clear" w:color="auto" w:fill="auto"/>
            <w:noWrap/>
            <w:vAlign w:val="center"/>
          </w:tcPr>
          <w:p w14:paraId="4C56352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19.45 </w:t>
            </w:r>
          </w:p>
        </w:tc>
      </w:tr>
      <w:tr w14:paraId="2678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07" w:type="pct"/>
            <w:shd w:val="clear" w:color="auto" w:fill="FFFFFF" w:themeFill="background1"/>
            <w:noWrap/>
            <w:vAlign w:val="center"/>
          </w:tcPr>
          <w:p w14:paraId="054DBB81">
            <w:pPr>
              <w:numPr>
                <w:ilvl w:val="0"/>
                <w:numId w:val="8"/>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8" w:type="pct"/>
            <w:shd w:val="clear" w:color="auto" w:fill="auto"/>
            <w:noWrap/>
            <w:vAlign w:val="center"/>
          </w:tcPr>
          <w:p w14:paraId="2BADD26C">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批发和零售业</w:t>
            </w:r>
          </w:p>
        </w:tc>
        <w:tc>
          <w:tcPr>
            <w:tcW w:w="497" w:type="pct"/>
            <w:shd w:val="clear" w:color="auto" w:fill="auto"/>
            <w:noWrap/>
            <w:vAlign w:val="center"/>
          </w:tcPr>
          <w:p w14:paraId="1622F0C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3.94 </w:t>
            </w:r>
          </w:p>
        </w:tc>
        <w:tc>
          <w:tcPr>
            <w:tcW w:w="497" w:type="pct"/>
            <w:shd w:val="clear" w:color="auto" w:fill="auto"/>
            <w:noWrap/>
            <w:vAlign w:val="center"/>
          </w:tcPr>
          <w:p w14:paraId="342DB00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4.73 </w:t>
            </w:r>
          </w:p>
        </w:tc>
        <w:tc>
          <w:tcPr>
            <w:tcW w:w="497" w:type="pct"/>
            <w:shd w:val="clear" w:color="auto" w:fill="auto"/>
            <w:noWrap/>
            <w:vAlign w:val="center"/>
          </w:tcPr>
          <w:p w14:paraId="13F6049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7.04 </w:t>
            </w:r>
          </w:p>
        </w:tc>
        <w:tc>
          <w:tcPr>
            <w:tcW w:w="497" w:type="pct"/>
            <w:shd w:val="clear" w:color="auto" w:fill="auto"/>
            <w:noWrap/>
            <w:vAlign w:val="center"/>
          </w:tcPr>
          <w:p w14:paraId="2B259C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8.04 </w:t>
            </w:r>
          </w:p>
        </w:tc>
        <w:tc>
          <w:tcPr>
            <w:tcW w:w="505" w:type="pct"/>
            <w:shd w:val="clear" w:color="auto" w:fill="auto"/>
            <w:noWrap/>
            <w:vAlign w:val="center"/>
          </w:tcPr>
          <w:p w14:paraId="25536E9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9.02 </w:t>
            </w:r>
          </w:p>
        </w:tc>
      </w:tr>
      <w:tr w14:paraId="37D0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07" w:type="pct"/>
            <w:shd w:val="clear" w:color="auto" w:fill="FFFFFF" w:themeFill="background1"/>
            <w:noWrap/>
            <w:vAlign w:val="center"/>
          </w:tcPr>
          <w:p w14:paraId="6AFAD87F">
            <w:pPr>
              <w:numPr>
                <w:ilvl w:val="0"/>
                <w:numId w:val="8"/>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8" w:type="pct"/>
            <w:shd w:val="clear" w:color="auto" w:fill="auto"/>
            <w:noWrap/>
            <w:vAlign w:val="center"/>
          </w:tcPr>
          <w:p w14:paraId="022E2ABF">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交通运输、仓储和邮政业</w:t>
            </w:r>
          </w:p>
        </w:tc>
        <w:tc>
          <w:tcPr>
            <w:tcW w:w="497" w:type="pct"/>
            <w:shd w:val="clear" w:color="auto" w:fill="auto"/>
            <w:noWrap/>
            <w:vAlign w:val="center"/>
          </w:tcPr>
          <w:p w14:paraId="13E2F94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5.36 </w:t>
            </w:r>
          </w:p>
        </w:tc>
        <w:tc>
          <w:tcPr>
            <w:tcW w:w="497" w:type="pct"/>
            <w:shd w:val="clear" w:color="auto" w:fill="auto"/>
            <w:noWrap/>
            <w:vAlign w:val="center"/>
          </w:tcPr>
          <w:p w14:paraId="586746A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5.63 </w:t>
            </w:r>
          </w:p>
        </w:tc>
        <w:tc>
          <w:tcPr>
            <w:tcW w:w="497" w:type="pct"/>
            <w:shd w:val="clear" w:color="auto" w:fill="auto"/>
            <w:noWrap/>
            <w:vAlign w:val="center"/>
          </w:tcPr>
          <w:p w14:paraId="22D99A0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6.96 </w:t>
            </w:r>
          </w:p>
        </w:tc>
        <w:tc>
          <w:tcPr>
            <w:tcW w:w="497" w:type="pct"/>
            <w:shd w:val="clear" w:color="auto" w:fill="auto"/>
            <w:noWrap/>
            <w:vAlign w:val="center"/>
          </w:tcPr>
          <w:p w14:paraId="67E41D7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15.15 </w:t>
            </w:r>
          </w:p>
        </w:tc>
        <w:tc>
          <w:tcPr>
            <w:tcW w:w="505" w:type="pct"/>
            <w:shd w:val="clear" w:color="auto" w:fill="auto"/>
            <w:noWrap/>
            <w:vAlign w:val="center"/>
          </w:tcPr>
          <w:p w14:paraId="7D74EC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16.64 </w:t>
            </w:r>
          </w:p>
        </w:tc>
      </w:tr>
      <w:tr w14:paraId="13D9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07" w:type="pct"/>
            <w:shd w:val="clear" w:color="auto" w:fill="FFFFFF" w:themeFill="background1"/>
            <w:noWrap/>
            <w:vAlign w:val="center"/>
          </w:tcPr>
          <w:p w14:paraId="0AED14F9">
            <w:pPr>
              <w:numPr>
                <w:ilvl w:val="0"/>
                <w:numId w:val="8"/>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8" w:type="pct"/>
            <w:shd w:val="clear" w:color="auto" w:fill="auto"/>
            <w:noWrap/>
            <w:vAlign w:val="center"/>
          </w:tcPr>
          <w:p w14:paraId="7E27CC22">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房地产业</w:t>
            </w:r>
          </w:p>
        </w:tc>
        <w:tc>
          <w:tcPr>
            <w:tcW w:w="497" w:type="pct"/>
            <w:shd w:val="clear" w:color="auto" w:fill="auto"/>
            <w:noWrap/>
            <w:vAlign w:val="center"/>
          </w:tcPr>
          <w:p w14:paraId="6102EED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5.22 </w:t>
            </w:r>
          </w:p>
        </w:tc>
        <w:tc>
          <w:tcPr>
            <w:tcW w:w="497" w:type="pct"/>
            <w:shd w:val="clear" w:color="auto" w:fill="auto"/>
            <w:noWrap/>
            <w:vAlign w:val="center"/>
          </w:tcPr>
          <w:p w14:paraId="07058C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6.14 </w:t>
            </w:r>
          </w:p>
        </w:tc>
        <w:tc>
          <w:tcPr>
            <w:tcW w:w="497" w:type="pct"/>
            <w:shd w:val="clear" w:color="auto" w:fill="auto"/>
            <w:noWrap/>
            <w:vAlign w:val="center"/>
          </w:tcPr>
          <w:p w14:paraId="764EF49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9.80 </w:t>
            </w:r>
          </w:p>
        </w:tc>
        <w:tc>
          <w:tcPr>
            <w:tcW w:w="497" w:type="pct"/>
            <w:shd w:val="clear" w:color="auto" w:fill="auto"/>
            <w:noWrap/>
            <w:vAlign w:val="center"/>
          </w:tcPr>
          <w:p w14:paraId="21B6ED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15.21 </w:t>
            </w:r>
          </w:p>
        </w:tc>
        <w:tc>
          <w:tcPr>
            <w:tcW w:w="505" w:type="pct"/>
            <w:shd w:val="clear" w:color="auto" w:fill="auto"/>
            <w:noWrap/>
            <w:vAlign w:val="center"/>
          </w:tcPr>
          <w:p w14:paraId="15843E0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23.12 </w:t>
            </w:r>
          </w:p>
        </w:tc>
      </w:tr>
      <w:tr w14:paraId="3532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07" w:type="pct"/>
            <w:shd w:val="clear" w:color="auto" w:fill="FFFFFF" w:themeFill="background1"/>
            <w:noWrap/>
            <w:vAlign w:val="center"/>
          </w:tcPr>
          <w:p w14:paraId="77F98939">
            <w:pPr>
              <w:numPr>
                <w:ilvl w:val="0"/>
                <w:numId w:val="8"/>
              </w:numPr>
              <w:spacing w:line="240" w:lineRule="auto"/>
              <w:ind w:left="0" w:leftChars="0" w:firstLine="142" w:firstLineChars="0"/>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98" w:type="pct"/>
            <w:shd w:val="clear" w:color="auto" w:fill="auto"/>
            <w:noWrap/>
            <w:vAlign w:val="center"/>
          </w:tcPr>
          <w:p w14:paraId="101FA52D">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科学研究和技术服务业</w:t>
            </w:r>
          </w:p>
        </w:tc>
        <w:tc>
          <w:tcPr>
            <w:tcW w:w="497" w:type="pct"/>
            <w:shd w:val="clear" w:color="auto" w:fill="auto"/>
            <w:noWrap/>
            <w:vAlign w:val="center"/>
          </w:tcPr>
          <w:p w14:paraId="122B189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3.27 </w:t>
            </w:r>
          </w:p>
        </w:tc>
        <w:tc>
          <w:tcPr>
            <w:tcW w:w="497" w:type="pct"/>
            <w:shd w:val="clear" w:color="auto" w:fill="auto"/>
            <w:noWrap/>
            <w:vAlign w:val="center"/>
          </w:tcPr>
          <w:p w14:paraId="5A647B0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4.96 </w:t>
            </w:r>
          </w:p>
        </w:tc>
        <w:tc>
          <w:tcPr>
            <w:tcW w:w="497" w:type="pct"/>
            <w:shd w:val="clear" w:color="auto" w:fill="auto"/>
            <w:noWrap/>
            <w:vAlign w:val="center"/>
          </w:tcPr>
          <w:p w14:paraId="55A273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7.02 </w:t>
            </w:r>
          </w:p>
        </w:tc>
        <w:tc>
          <w:tcPr>
            <w:tcW w:w="497" w:type="pct"/>
            <w:shd w:val="clear" w:color="auto" w:fill="auto"/>
            <w:noWrap/>
            <w:vAlign w:val="center"/>
          </w:tcPr>
          <w:p w14:paraId="56C134C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8.61 </w:t>
            </w:r>
          </w:p>
        </w:tc>
        <w:tc>
          <w:tcPr>
            <w:tcW w:w="505" w:type="pct"/>
            <w:shd w:val="clear" w:color="auto" w:fill="auto"/>
            <w:noWrap/>
            <w:vAlign w:val="center"/>
          </w:tcPr>
          <w:p w14:paraId="1498EBC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9.05 </w:t>
            </w:r>
          </w:p>
        </w:tc>
      </w:tr>
    </w:tbl>
    <w:p w14:paraId="2F3CA7CC">
      <w:pPr>
        <w:pStyle w:val="4"/>
        <w:numPr>
          <w:ilvl w:val="0"/>
          <w:numId w:val="9"/>
        </w:numPr>
        <w:ind w:firstLine="480"/>
      </w:pPr>
      <w:bookmarkStart w:id="68" w:name="_Toc27400"/>
      <w:bookmarkStart w:id="69" w:name="_Toc16052"/>
      <w:bookmarkStart w:id="70" w:name="_Toc23783"/>
      <w:bookmarkStart w:id="71" w:name="_Toc16470"/>
      <w:r>
        <w:t>人工成本构成</w:t>
      </w:r>
      <w:bookmarkEnd w:id="68"/>
      <w:bookmarkEnd w:id="69"/>
      <w:bookmarkEnd w:id="70"/>
      <w:bookmarkEnd w:id="71"/>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3090"/>
        <w:gridCol w:w="689"/>
        <w:gridCol w:w="665"/>
        <w:gridCol w:w="665"/>
        <w:gridCol w:w="689"/>
        <w:gridCol w:w="665"/>
        <w:gridCol w:w="667"/>
        <w:gridCol w:w="694"/>
      </w:tblGrid>
      <w:tr w14:paraId="6962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10" w:type="pct"/>
            <w:vMerge w:val="restart"/>
            <w:tcBorders>
              <w:top w:val="single" w:color="auto" w:sz="4" w:space="0"/>
              <w:left w:val="single" w:color="auto" w:sz="4" w:space="0"/>
              <w:bottom w:val="single" w:color="auto" w:sz="4" w:space="0"/>
              <w:right w:val="single" w:color="auto" w:sz="4" w:space="0"/>
            </w:tcBorders>
            <w:shd w:val="clear" w:color="auto" w:fill="4F81BD"/>
            <w:vAlign w:val="center"/>
          </w:tcPr>
          <w:p w14:paraId="3C642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序号</w:t>
            </w:r>
          </w:p>
        </w:tc>
        <w:tc>
          <w:tcPr>
            <w:tcW w:w="1813" w:type="pct"/>
            <w:vMerge w:val="restart"/>
            <w:tcBorders>
              <w:top w:val="single" w:color="auto" w:sz="4" w:space="0"/>
              <w:left w:val="single" w:color="auto" w:sz="4" w:space="0"/>
              <w:bottom w:val="single" w:color="auto" w:sz="4" w:space="0"/>
              <w:right w:val="single" w:color="auto" w:sz="4" w:space="0"/>
            </w:tcBorders>
            <w:shd w:val="clear" w:color="auto" w:fill="4F81BD"/>
            <w:vAlign w:val="center"/>
          </w:tcPr>
          <w:p w14:paraId="24B5B1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lang w:eastAsia="zh-CN"/>
              </w:rPr>
            </w:pPr>
            <w:r>
              <w:rPr>
                <w:rFonts w:hint="eastAsia" w:ascii="黑体" w:hAnsi="宋体" w:eastAsia="黑体" w:cs="黑体"/>
                <w:i w:val="0"/>
                <w:iCs w:val="0"/>
                <w:color w:val="FFFFFF"/>
                <w:kern w:val="0"/>
                <w:sz w:val="21"/>
                <w:szCs w:val="21"/>
                <w:u w:val="none"/>
                <w:lang w:val="en-US" w:eastAsia="zh-CN" w:bidi="ar"/>
              </w:rPr>
              <w:t>行业</w:t>
            </w:r>
          </w:p>
        </w:tc>
        <w:tc>
          <w:tcPr>
            <w:tcW w:w="2776" w:type="pct"/>
            <w:gridSpan w:val="7"/>
            <w:tcBorders>
              <w:top w:val="single" w:color="auto" w:sz="4" w:space="0"/>
              <w:left w:val="single" w:color="auto" w:sz="4" w:space="0"/>
              <w:bottom w:val="single" w:color="auto" w:sz="4" w:space="0"/>
              <w:right w:val="single" w:color="auto" w:sz="4" w:space="0"/>
            </w:tcBorders>
            <w:shd w:val="clear" w:color="auto" w:fill="4F81BD"/>
            <w:vAlign w:val="center"/>
          </w:tcPr>
          <w:p w14:paraId="37E583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人工成本构成（%）</w:t>
            </w:r>
          </w:p>
        </w:tc>
      </w:tr>
      <w:tr w14:paraId="3E94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410" w:type="pct"/>
            <w:vMerge w:val="continue"/>
            <w:tcBorders>
              <w:top w:val="single" w:color="auto" w:sz="4" w:space="0"/>
              <w:left w:val="single" w:color="auto" w:sz="4" w:space="0"/>
              <w:bottom w:val="single" w:color="000000" w:sz="4" w:space="0"/>
              <w:right w:val="single" w:color="000000" w:sz="4" w:space="0"/>
            </w:tcBorders>
            <w:shd w:val="clear" w:color="auto" w:fill="4F81BD"/>
            <w:vAlign w:val="center"/>
          </w:tcPr>
          <w:p w14:paraId="21A6C553">
            <w:pPr>
              <w:keepNext w:val="0"/>
              <w:keepLines w:val="0"/>
              <w:pageBreakBefore w:val="0"/>
              <w:kinsoku/>
              <w:wordWrap/>
              <w:overflowPunct/>
              <w:topLinePunct w:val="0"/>
              <w:autoSpaceDE/>
              <w:autoSpaceDN/>
              <w:bidi w:val="0"/>
              <w:adjustRightInd/>
              <w:snapToGrid/>
              <w:spacing w:line="240" w:lineRule="auto"/>
              <w:jc w:val="center"/>
              <w:rPr>
                <w:rFonts w:hint="eastAsia" w:ascii="黑体" w:hAnsi="宋体" w:eastAsia="黑体" w:cs="黑体"/>
                <w:i w:val="0"/>
                <w:iCs w:val="0"/>
                <w:color w:val="FFFFFF"/>
                <w:sz w:val="21"/>
                <w:szCs w:val="21"/>
                <w:u w:val="none"/>
              </w:rPr>
            </w:pPr>
          </w:p>
        </w:tc>
        <w:tc>
          <w:tcPr>
            <w:tcW w:w="1813" w:type="pct"/>
            <w:vMerge w:val="continue"/>
            <w:tcBorders>
              <w:top w:val="single" w:color="auto" w:sz="4" w:space="0"/>
              <w:left w:val="single" w:color="000000" w:sz="4" w:space="0"/>
              <w:bottom w:val="single" w:color="000000" w:sz="4" w:space="0"/>
              <w:right w:val="single" w:color="000000" w:sz="4" w:space="0"/>
            </w:tcBorders>
            <w:shd w:val="clear" w:color="auto" w:fill="4F81BD"/>
            <w:vAlign w:val="center"/>
          </w:tcPr>
          <w:p w14:paraId="5640DDC5">
            <w:pPr>
              <w:keepNext w:val="0"/>
              <w:keepLines w:val="0"/>
              <w:pageBreakBefore w:val="0"/>
              <w:kinsoku/>
              <w:wordWrap/>
              <w:overflowPunct/>
              <w:topLinePunct w:val="0"/>
              <w:autoSpaceDE/>
              <w:autoSpaceDN/>
              <w:bidi w:val="0"/>
              <w:adjustRightInd/>
              <w:snapToGrid/>
              <w:spacing w:line="240" w:lineRule="auto"/>
              <w:jc w:val="center"/>
              <w:rPr>
                <w:rFonts w:hint="eastAsia" w:ascii="黑体" w:hAnsi="宋体" w:eastAsia="黑体" w:cs="黑体"/>
                <w:i w:val="0"/>
                <w:iCs w:val="0"/>
                <w:color w:val="FFFFFF"/>
                <w:sz w:val="21"/>
                <w:szCs w:val="21"/>
                <w:u w:val="none"/>
              </w:rPr>
            </w:pPr>
          </w:p>
        </w:tc>
        <w:tc>
          <w:tcPr>
            <w:tcW w:w="404" w:type="pct"/>
            <w:tcBorders>
              <w:top w:val="single" w:color="auto" w:sz="4" w:space="0"/>
              <w:left w:val="single" w:color="000000" w:sz="4" w:space="0"/>
              <w:bottom w:val="single" w:color="000000" w:sz="4" w:space="0"/>
              <w:right w:val="single" w:color="000000" w:sz="4" w:space="0"/>
            </w:tcBorders>
            <w:shd w:val="clear" w:color="auto" w:fill="4F81BD"/>
            <w:vAlign w:val="center"/>
          </w:tcPr>
          <w:p w14:paraId="22D43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从业人员劳动报酬</w:t>
            </w:r>
          </w:p>
        </w:tc>
        <w:tc>
          <w:tcPr>
            <w:tcW w:w="390" w:type="pct"/>
            <w:tcBorders>
              <w:top w:val="single" w:color="auto" w:sz="4" w:space="0"/>
              <w:left w:val="single" w:color="000000" w:sz="4" w:space="0"/>
              <w:bottom w:val="single" w:color="000000" w:sz="4" w:space="0"/>
              <w:right w:val="single" w:color="000000" w:sz="4" w:space="0"/>
            </w:tcBorders>
            <w:shd w:val="clear" w:color="auto" w:fill="4F81BD"/>
            <w:vAlign w:val="center"/>
          </w:tcPr>
          <w:p w14:paraId="4E2CE5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福利费用</w:t>
            </w:r>
          </w:p>
        </w:tc>
        <w:tc>
          <w:tcPr>
            <w:tcW w:w="390" w:type="pct"/>
            <w:tcBorders>
              <w:top w:val="single" w:color="auto" w:sz="4" w:space="0"/>
              <w:left w:val="single" w:color="000000" w:sz="4" w:space="0"/>
              <w:bottom w:val="single" w:color="000000" w:sz="4" w:space="0"/>
              <w:right w:val="single" w:color="000000" w:sz="4" w:space="0"/>
            </w:tcBorders>
            <w:shd w:val="clear" w:color="auto" w:fill="4F81BD"/>
            <w:vAlign w:val="center"/>
          </w:tcPr>
          <w:p w14:paraId="3C36AF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教育经费</w:t>
            </w:r>
          </w:p>
        </w:tc>
        <w:tc>
          <w:tcPr>
            <w:tcW w:w="404" w:type="pct"/>
            <w:tcBorders>
              <w:top w:val="single" w:color="auto" w:sz="4" w:space="0"/>
              <w:left w:val="single" w:color="000000" w:sz="4" w:space="0"/>
              <w:bottom w:val="single" w:color="000000" w:sz="4" w:space="0"/>
              <w:right w:val="single" w:color="000000" w:sz="4" w:space="0"/>
            </w:tcBorders>
            <w:shd w:val="clear" w:color="auto" w:fill="4F81BD"/>
            <w:vAlign w:val="center"/>
          </w:tcPr>
          <w:p w14:paraId="200C4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保险费用</w:t>
            </w:r>
          </w:p>
        </w:tc>
        <w:tc>
          <w:tcPr>
            <w:tcW w:w="390" w:type="pct"/>
            <w:tcBorders>
              <w:top w:val="single" w:color="auto" w:sz="4" w:space="0"/>
              <w:left w:val="single" w:color="000000" w:sz="4" w:space="0"/>
              <w:bottom w:val="single" w:color="000000" w:sz="4" w:space="0"/>
              <w:right w:val="single" w:color="000000" w:sz="4" w:space="0"/>
            </w:tcBorders>
            <w:shd w:val="clear" w:color="auto" w:fill="4F81BD"/>
            <w:vAlign w:val="center"/>
          </w:tcPr>
          <w:p w14:paraId="18A2ED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劳动保护费用</w:t>
            </w:r>
          </w:p>
        </w:tc>
        <w:tc>
          <w:tcPr>
            <w:tcW w:w="391" w:type="pct"/>
            <w:tcBorders>
              <w:top w:val="single" w:color="auto" w:sz="4" w:space="0"/>
              <w:left w:val="single" w:color="000000" w:sz="4" w:space="0"/>
              <w:bottom w:val="single" w:color="000000" w:sz="4" w:space="0"/>
              <w:right w:val="single" w:color="000000" w:sz="4" w:space="0"/>
            </w:tcBorders>
            <w:shd w:val="clear" w:color="auto" w:fill="4F81BD"/>
            <w:vAlign w:val="center"/>
          </w:tcPr>
          <w:p w14:paraId="6E08F1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住房费用</w:t>
            </w:r>
          </w:p>
        </w:tc>
        <w:tc>
          <w:tcPr>
            <w:tcW w:w="404" w:type="pct"/>
            <w:tcBorders>
              <w:top w:val="single" w:color="auto" w:sz="4" w:space="0"/>
              <w:left w:val="single" w:color="000000" w:sz="4" w:space="0"/>
              <w:bottom w:val="single" w:color="000000" w:sz="4" w:space="0"/>
              <w:right w:val="single" w:color="000000" w:sz="4" w:space="0"/>
            </w:tcBorders>
            <w:shd w:val="clear" w:color="auto" w:fill="4F81BD"/>
            <w:vAlign w:val="center"/>
          </w:tcPr>
          <w:p w14:paraId="0D56E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其他人工成本</w:t>
            </w:r>
          </w:p>
        </w:tc>
      </w:tr>
      <w:tr w14:paraId="3F7C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6557">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A5DF">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农、林、牧、渔业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80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48.26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88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1.16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0E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0.84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16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3.47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98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0.10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E3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1.77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7D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44.40 </w:t>
            </w:r>
          </w:p>
        </w:tc>
      </w:tr>
      <w:tr w14:paraId="28B1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E027">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9BC5">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制造业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06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83.39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5E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3.26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ED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0.19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A8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9.67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5C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0.39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C1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0.97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60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2.13 </w:t>
            </w:r>
          </w:p>
        </w:tc>
      </w:tr>
      <w:tr w14:paraId="3A97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735A">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2960">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电力、热力、燃气及水生产和供应业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68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72.53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0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4.81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4A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0.33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B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10.13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11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0.57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6E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3.76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13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7.87 </w:t>
            </w:r>
          </w:p>
        </w:tc>
      </w:tr>
      <w:tr w14:paraId="56CB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FABF">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9A2C">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建筑业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D1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81.29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7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2.62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9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1.12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3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7.93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BB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0.90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75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3.54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F1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2.60 </w:t>
            </w:r>
          </w:p>
        </w:tc>
      </w:tr>
      <w:tr w14:paraId="3CB9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5B66">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697D">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批发和零售业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2A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79.69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45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1.99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AD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0.32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8A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11.35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54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0.40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C8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3.85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1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2.40 </w:t>
            </w:r>
          </w:p>
        </w:tc>
      </w:tr>
      <w:tr w14:paraId="0D15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94A6">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4AD1">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交通运输、仓储和邮政业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E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77.37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6D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4.46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33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0.50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9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14.79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C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0.23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3C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1.84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DB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0.81 </w:t>
            </w:r>
          </w:p>
        </w:tc>
      </w:tr>
      <w:tr w14:paraId="2E11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66EB">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9DC3">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房地产业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7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78.73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49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4.58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4D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0.34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4D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12.04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B3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0.35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2D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2.68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7F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1.28 </w:t>
            </w:r>
          </w:p>
        </w:tc>
      </w:tr>
      <w:tr w14:paraId="7667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AC4E">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A0C8">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科学研究和技术服务业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7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90.10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41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1.22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2B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0.08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6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6.46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4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0.01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9F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2.09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42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0.04 </w:t>
            </w:r>
          </w:p>
        </w:tc>
      </w:tr>
    </w:tbl>
    <w:p w14:paraId="3DEB7803"/>
    <w:p w14:paraId="536903DF">
      <w:bookmarkStart w:id="72" w:name="_Toc4104"/>
      <w:bookmarkStart w:id="73" w:name="_Toc20337"/>
      <w:r>
        <w:br w:type="page"/>
      </w:r>
    </w:p>
    <w:p w14:paraId="31612D95">
      <w:pPr>
        <w:pStyle w:val="3"/>
        <w:ind w:firstLine="480"/>
      </w:pPr>
      <w:bookmarkStart w:id="74" w:name="_Toc25316"/>
      <w:bookmarkStart w:id="75" w:name="_Toc14871"/>
      <w:r>
        <w:t>二、分企业规模的人工成本信息</w:t>
      </w:r>
      <w:bookmarkEnd w:id="72"/>
      <w:bookmarkEnd w:id="73"/>
      <w:bookmarkEnd w:id="74"/>
      <w:bookmarkEnd w:id="75"/>
    </w:p>
    <w:p w14:paraId="31D36206">
      <w:pPr>
        <w:pStyle w:val="4"/>
        <w:spacing w:before="0"/>
        <w:ind w:firstLine="480"/>
      </w:pPr>
      <w:bookmarkStart w:id="76" w:name="_Toc18823"/>
      <w:bookmarkStart w:id="77" w:name="_Toc19977"/>
      <w:bookmarkStart w:id="78" w:name="_Toc26430"/>
      <w:bookmarkStart w:id="79" w:name="_Toc10448"/>
      <w:r>
        <w:rPr>
          <w:rFonts w:hint="eastAsia"/>
        </w:rPr>
        <w:t>（一）</w:t>
      </w:r>
      <w:r>
        <w:t>人工成本水平</w:t>
      </w:r>
      <w:bookmarkEnd w:id="76"/>
      <w:bookmarkEnd w:id="77"/>
      <w:bookmarkEnd w:id="78"/>
      <w:bookmarkEnd w:id="79"/>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3419"/>
        <w:gridCol w:w="876"/>
        <w:gridCol w:w="876"/>
        <w:gridCol w:w="876"/>
        <w:gridCol w:w="876"/>
        <w:gridCol w:w="880"/>
      </w:tblGrid>
      <w:tr w14:paraId="3423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54AE4091">
            <w:pPr>
              <w:keepNext w:val="0"/>
              <w:keepLines w:val="0"/>
              <w:widowControl/>
              <w:suppressLineNumbers w:val="0"/>
              <w:spacing w:line="240" w:lineRule="auto"/>
              <w:jc w:val="center"/>
              <w:textAlignment w:val="center"/>
              <w:rPr>
                <w:rFonts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序号</w:t>
            </w:r>
          </w:p>
        </w:tc>
        <w:tc>
          <w:tcPr>
            <w:tcW w:w="2006" w:type="pct"/>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14:paraId="1AA81E09">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企业规模</w:t>
            </w:r>
          </w:p>
        </w:tc>
        <w:tc>
          <w:tcPr>
            <w:tcW w:w="2572" w:type="pct"/>
            <w:gridSpan w:val="5"/>
            <w:tcBorders>
              <w:top w:val="single" w:color="000000" w:sz="4" w:space="0"/>
              <w:left w:val="single" w:color="000000" w:sz="4" w:space="0"/>
              <w:bottom w:val="single" w:color="000000" w:sz="4" w:space="0"/>
              <w:right w:val="single" w:color="auto" w:sz="4" w:space="0"/>
            </w:tcBorders>
            <w:shd w:val="clear" w:color="auto" w:fill="4F81BD"/>
            <w:vAlign w:val="center"/>
          </w:tcPr>
          <w:p w14:paraId="472514C1">
            <w:pPr>
              <w:keepNext w:val="0"/>
              <w:keepLines w:val="0"/>
              <w:widowControl/>
              <w:suppressLineNumbers w:val="0"/>
              <w:spacing w:line="240" w:lineRule="auto"/>
              <w:jc w:val="center"/>
              <w:textAlignment w:val="center"/>
              <w:rPr>
                <w:rFonts w:hint="eastAsia" w:ascii="黑体" w:hAnsi="宋体" w:eastAsia="黑体" w:cs="黑体"/>
                <w:i w:val="0"/>
                <w:iCs w:val="0"/>
                <w:color w:val="FFFFFF"/>
                <w:kern w:val="0"/>
                <w:sz w:val="21"/>
                <w:szCs w:val="21"/>
                <w:u w:val="none"/>
                <w:lang w:val="en-US" w:eastAsia="zh-CN" w:bidi="ar"/>
              </w:rPr>
            </w:pPr>
            <w:r>
              <w:rPr>
                <w:rFonts w:hint="eastAsia" w:ascii="黑体" w:hAnsi="宋体" w:eastAsia="黑体" w:cs="黑体"/>
                <w:i w:val="0"/>
                <w:iCs w:val="0"/>
                <w:color w:val="FFFFFF"/>
                <w:kern w:val="0"/>
                <w:sz w:val="21"/>
                <w:szCs w:val="21"/>
                <w:u w:val="none"/>
                <w:lang w:val="en-US" w:eastAsia="zh-CN" w:bidi="ar"/>
              </w:rPr>
              <w:t>人均人工成本（万元/年）</w:t>
            </w:r>
          </w:p>
        </w:tc>
      </w:tr>
      <w:tr w14:paraId="4A5A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2E068F82">
            <w:pPr>
              <w:spacing w:line="240" w:lineRule="auto"/>
              <w:jc w:val="center"/>
              <w:rPr>
                <w:rFonts w:hint="eastAsia" w:ascii="黑体" w:hAnsi="宋体" w:eastAsia="黑体" w:cs="黑体"/>
                <w:i w:val="0"/>
                <w:iCs w:val="0"/>
                <w:color w:val="FFFFFF"/>
                <w:sz w:val="21"/>
                <w:szCs w:val="21"/>
                <w:u w:val="none"/>
              </w:rPr>
            </w:pPr>
          </w:p>
        </w:tc>
        <w:tc>
          <w:tcPr>
            <w:tcW w:w="2006" w:type="pct"/>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14:paraId="253DC52A">
            <w:pPr>
              <w:spacing w:line="240" w:lineRule="auto"/>
              <w:jc w:val="center"/>
              <w:rPr>
                <w:rFonts w:hint="eastAsia" w:ascii="黑体" w:hAnsi="宋体" w:eastAsia="黑体" w:cs="黑体"/>
                <w:i w:val="0"/>
                <w:iCs w:val="0"/>
                <w:color w:val="FFFFFF"/>
                <w:sz w:val="21"/>
                <w:szCs w:val="21"/>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09E5AB3C">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1ADF97FF">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07BB8081">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711B30BF">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4F81BD"/>
            <w:vAlign w:val="center"/>
          </w:tcPr>
          <w:p w14:paraId="66AC0DCA">
            <w:pPr>
              <w:keepNext w:val="0"/>
              <w:keepLines w:val="0"/>
              <w:widowControl/>
              <w:suppressLineNumbers w:val="0"/>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90%</w:t>
            </w:r>
          </w:p>
        </w:tc>
      </w:tr>
      <w:tr w14:paraId="749C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418ED2">
            <w:pPr>
              <w:numPr>
                <w:ilvl w:val="0"/>
                <w:numId w:val="11"/>
              </w:numPr>
              <w:spacing w:line="240" w:lineRule="auto"/>
              <w:ind w:left="0" w:leftChars="0" w:firstLine="142" w:firstLineChars="0"/>
              <w:jc w:val="center"/>
              <w:rPr>
                <w:rFonts w:hint="default" w:ascii="Times New Roman" w:hAnsi="Times New Roman" w:eastAsia="宋体" w:cs="Times New Roman"/>
                <w:i w:val="0"/>
                <w:iCs w:val="0"/>
                <w:color w:val="000000"/>
                <w:sz w:val="22"/>
                <w:szCs w:val="22"/>
                <w:u w:val="none"/>
              </w:rPr>
            </w:pPr>
          </w:p>
        </w:tc>
        <w:tc>
          <w:tcPr>
            <w:tcW w:w="2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6341">
            <w:pPr>
              <w:keepNext w:val="0"/>
              <w:keepLines w:val="0"/>
              <w:widowControl/>
              <w:suppressLineNumbers w:val="0"/>
              <w:spacing w:line="240" w:lineRule="auto"/>
              <w:jc w:val="center"/>
              <w:textAlignment w:val="center"/>
              <w:rPr>
                <w:rFonts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大型企业</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0E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5.79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64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8.59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4CC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13.76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27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19.04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83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24.43 </w:t>
            </w:r>
          </w:p>
        </w:tc>
      </w:tr>
      <w:tr w14:paraId="5F9B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058304">
            <w:pPr>
              <w:numPr>
                <w:ilvl w:val="0"/>
                <w:numId w:val="11"/>
              </w:numPr>
              <w:spacing w:line="240" w:lineRule="auto"/>
              <w:ind w:left="0" w:leftChars="0" w:firstLine="142" w:firstLineChars="0"/>
              <w:jc w:val="center"/>
              <w:rPr>
                <w:rFonts w:hint="default" w:ascii="Times New Roman" w:hAnsi="Times New Roman" w:eastAsia="宋体" w:cs="Times New Roman"/>
                <w:i w:val="0"/>
                <w:iCs w:val="0"/>
                <w:color w:val="000000"/>
                <w:sz w:val="22"/>
                <w:szCs w:val="22"/>
                <w:u w:val="none"/>
              </w:rPr>
            </w:pPr>
          </w:p>
        </w:tc>
        <w:tc>
          <w:tcPr>
            <w:tcW w:w="2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8BC7">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中型企业</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54A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4.83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C0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6.59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340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8.51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A7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10.01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DB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13.27 </w:t>
            </w:r>
          </w:p>
        </w:tc>
      </w:tr>
      <w:tr w14:paraId="7553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136FE2">
            <w:pPr>
              <w:numPr>
                <w:ilvl w:val="0"/>
                <w:numId w:val="11"/>
              </w:numPr>
              <w:spacing w:line="240" w:lineRule="auto"/>
              <w:ind w:left="0" w:leftChars="0" w:firstLine="142" w:firstLineChars="0"/>
              <w:jc w:val="center"/>
              <w:rPr>
                <w:rFonts w:hint="default" w:ascii="Times New Roman" w:hAnsi="Times New Roman" w:eastAsia="宋体" w:cs="Times New Roman"/>
                <w:i w:val="0"/>
                <w:iCs w:val="0"/>
                <w:color w:val="000000"/>
                <w:sz w:val="22"/>
                <w:szCs w:val="22"/>
                <w:u w:val="none"/>
              </w:rPr>
            </w:pPr>
          </w:p>
        </w:tc>
        <w:tc>
          <w:tcPr>
            <w:tcW w:w="2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035E">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小型企业</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9F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4.20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9E1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4.74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A6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6.84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29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8.04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F4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13.11 </w:t>
            </w:r>
          </w:p>
        </w:tc>
      </w:tr>
      <w:tr w14:paraId="4C61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AB8D01">
            <w:pPr>
              <w:numPr>
                <w:ilvl w:val="0"/>
                <w:numId w:val="11"/>
              </w:numPr>
              <w:spacing w:line="240" w:lineRule="auto"/>
              <w:ind w:left="0" w:leftChars="0" w:firstLine="142" w:firstLineChars="0"/>
              <w:jc w:val="center"/>
              <w:rPr>
                <w:rFonts w:hint="default" w:ascii="Times New Roman" w:hAnsi="Times New Roman" w:eastAsia="宋体" w:cs="Times New Roman"/>
                <w:i w:val="0"/>
                <w:iCs w:val="0"/>
                <w:color w:val="000000"/>
                <w:sz w:val="22"/>
                <w:szCs w:val="22"/>
                <w:u w:val="none"/>
              </w:rPr>
            </w:pPr>
          </w:p>
        </w:tc>
        <w:tc>
          <w:tcPr>
            <w:tcW w:w="2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D13B">
            <w:pPr>
              <w:keepNext w:val="0"/>
              <w:keepLines w:val="0"/>
              <w:widowControl/>
              <w:suppressLineNumbers w:val="0"/>
              <w:spacing w:line="240" w:lineRule="auto"/>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微型企业</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5F8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3.78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FE8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4.58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CF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5.85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8E3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9.04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E9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12.06 </w:t>
            </w:r>
          </w:p>
        </w:tc>
      </w:tr>
    </w:tbl>
    <w:p w14:paraId="1A81B211">
      <w:pPr>
        <w:pStyle w:val="4"/>
        <w:spacing w:before="0"/>
        <w:ind w:firstLine="480"/>
      </w:pPr>
      <w:bookmarkStart w:id="80" w:name="_Toc12760"/>
      <w:bookmarkStart w:id="81" w:name="_Toc11615"/>
      <w:bookmarkStart w:id="82" w:name="_Toc27283"/>
      <w:bookmarkStart w:id="83" w:name="_Toc6505"/>
      <w:r>
        <w:rPr>
          <w:rFonts w:hint="eastAsia"/>
          <w:lang w:eastAsia="zh-CN"/>
        </w:rPr>
        <w:t>（</w:t>
      </w:r>
      <w:r>
        <w:rPr>
          <w:rFonts w:hint="eastAsia"/>
          <w:lang w:val="en-US" w:eastAsia="zh-CN"/>
        </w:rPr>
        <w:t>二）</w:t>
      </w:r>
      <w:r>
        <w:rPr>
          <w:rFonts w:hint="eastAsia"/>
        </w:rPr>
        <w:t>人工成本构成</w:t>
      </w:r>
      <w:bookmarkEnd w:id="80"/>
      <w:bookmarkEnd w:id="81"/>
      <w:bookmarkEnd w:id="82"/>
      <w:bookmarkEnd w:id="83"/>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3075"/>
        <w:gridCol w:w="689"/>
        <w:gridCol w:w="665"/>
        <w:gridCol w:w="665"/>
        <w:gridCol w:w="689"/>
        <w:gridCol w:w="665"/>
        <w:gridCol w:w="666"/>
        <w:gridCol w:w="685"/>
      </w:tblGrid>
      <w:tr w14:paraId="5DCF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23" w:type="pct"/>
            <w:vMerge w:val="restart"/>
            <w:tcBorders>
              <w:top w:val="single" w:color="auto" w:sz="4" w:space="0"/>
              <w:left w:val="single" w:color="auto" w:sz="4" w:space="0"/>
              <w:bottom w:val="single" w:color="auto" w:sz="4" w:space="0"/>
              <w:right w:val="single" w:color="auto" w:sz="4" w:space="0"/>
            </w:tcBorders>
            <w:shd w:val="clear" w:color="auto" w:fill="4F81BD"/>
            <w:vAlign w:val="center"/>
          </w:tcPr>
          <w:p w14:paraId="73B1A7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序号</w:t>
            </w:r>
          </w:p>
        </w:tc>
        <w:tc>
          <w:tcPr>
            <w:tcW w:w="1805" w:type="pct"/>
            <w:vMerge w:val="restart"/>
            <w:tcBorders>
              <w:top w:val="single" w:color="auto" w:sz="4" w:space="0"/>
              <w:left w:val="single" w:color="auto" w:sz="4" w:space="0"/>
              <w:bottom w:val="single" w:color="auto" w:sz="4" w:space="0"/>
              <w:right w:val="single" w:color="auto" w:sz="4" w:space="0"/>
            </w:tcBorders>
            <w:shd w:val="clear" w:color="auto" w:fill="4F81BD"/>
            <w:vAlign w:val="center"/>
          </w:tcPr>
          <w:p w14:paraId="661ED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lang w:eastAsia="zh-CN"/>
              </w:rPr>
            </w:pPr>
            <w:r>
              <w:rPr>
                <w:rFonts w:hint="eastAsia" w:ascii="黑体" w:hAnsi="宋体" w:eastAsia="黑体" w:cs="黑体"/>
                <w:i w:val="0"/>
                <w:iCs w:val="0"/>
                <w:color w:val="FFFFFF"/>
                <w:kern w:val="0"/>
                <w:sz w:val="21"/>
                <w:szCs w:val="21"/>
                <w:u w:val="none"/>
                <w:lang w:val="en-US" w:eastAsia="zh-CN" w:bidi="ar"/>
              </w:rPr>
              <w:t>行业</w:t>
            </w:r>
          </w:p>
        </w:tc>
        <w:tc>
          <w:tcPr>
            <w:tcW w:w="2771" w:type="pct"/>
            <w:gridSpan w:val="7"/>
            <w:tcBorders>
              <w:top w:val="single" w:color="auto" w:sz="4" w:space="0"/>
              <w:left w:val="single" w:color="auto" w:sz="4" w:space="0"/>
              <w:bottom w:val="single" w:color="auto" w:sz="4" w:space="0"/>
              <w:right w:val="single" w:color="auto" w:sz="4" w:space="0"/>
            </w:tcBorders>
            <w:shd w:val="clear" w:color="auto" w:fill="4F81BD"/>
            <w:vAlign w:val="center"/>
          </w:tcPr>
          <w:p w14:paraId="3DA703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人工成本构成（%）</w:t>
            </w:r>
          </w:p>
        </w:tc>
      </w:tr>
      <w:tr w14:paraId="5CF9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423" w:type="pct"/>
            <w:vMerge w:val="continue"/>
            <w:tcBorders>
              <w:top w:val="single" w:color="auto" w:sz="4" w:space="0"/>
              <w:left w:val="single" w:color="auto" w:sz="4" w:space="0"/>
              <w:bottom w:val="single" w:color="000000" w:sz="4" w:space="0"/>
              <w:right w:val="single" w:color="000000" w:sz="4" w:space="0"/>
            </w:tcBorders>
            <w:shd w:val="clear" w:color="auto" w:fill="4F81BD"/>
            <w:vAlign w:val="center"/>
          </w:tcPr>
          <w:p w14:paraId="19BBDEED">
            <w:pPr>
              <w:keepNext w:val="0"/>
              <w:keepLines w:val="0"/>
              <w:pageBreakBefore w:val="0"/>
              <w:kinsoku/>
              <w:wordWrap/>
              <w:overflowPunct/>
              <w:topLinePunct w:val="0"/>
              <w:autoSpaceDE/>
              <w:autoSpaceDN/>
              <w:bidi w:val="0"/>
              <w:adjustRightInd/>
              <w:snapToGrid/>
              <w:spacing w:line="240" w:lineRule="auto"/>
              <w:jc w:val="center"/>
              <w:rPr>
                <w:rFonts w:hint="eastAsia" w:ascii="黑体" w:hAnsi="宋体" w:eastAsia="黑体" w:cs="黑体"/>
                <w:i w:val="0"/>
                <w:iCs w:val="0"/>
                <w:color w:val="FFFFFF"/>
                <w:sz w:val="21"/>
                <w:szCs w:val="21"/>
                <w:u w:val="none"/>
              </w:rPr>
            </w:pPr>
          </w:p>
        </w:tc>
        <w:tc>
          <w:tcPr>
            <w:tcW w:w="1805" w:type="pct"/>
            <w:vMerge w:val="continue"/>
            <w:tcBorders>
              <w:top w:val="single" w:color="auto" w:sz="4" w:space="0"/>
              <w:left w:val="single" w:color="000000" w:sz="4" w:space="0"/>
              <w:bottom w:val="single" w:color="000000" w:sz="4" w:space="0"/>
              <w:right w:val="single" w:color="000000" w:sz="4" w:space="0"/>
            </w:tcBorders>
            <w:shd w:val="clear" w:color="auto" w:fill="4F81BD"/>
            <w:vAlign w:val="center"/>
          </w:tcPr>
          <w:p w14:paraId="5FD6408D">
            <w:pPr>
              <w:keepNext w:val="0"/>
              <w:keepLines w:val="0"/>
              <w:pageBreakBefore w:val="0"/>
              <w:kinsoku/>
              <w:wordWrap/>
              <w:overflowPunct/>
              <w:topLinePunct w:val="0"/>
              <w:autoSpaceDE/>
              <w:autoSpaceDN/>
              <w:bidi w:val="0"/>
              <w:adjustRightInd/>
              <w:snapToGrid/>
              <w:spacing w:line="240" w:lineRule="auto"/>
              <w:jc w:val="center"/>
              <w:rPr>
                <w:rFonts w:hint="eastAsia" w:ascii="黑体" w:hAnsi="宋体" w:eastAsia="黑体" w:cs="黑体"/>
                <w:i w:val="0"/>
                <w:iCs w:val="0"/>
                <w:color w:val="FFFFFF"/>
                <w:sz w:val="21"/>
                <w:szCs w:val="21"/>
                <w:u w:val="none"/>
              </w:rPr>
            </w:pPr>
          </w:p>
        </w:tc>
        <w:tc>
          <w:tcPr>
            <w:tcW w:w="404" w:type="pct"/>
            <w:tcBorders>
              <w:top w:val="single" w:color="auto" w:sz="4" w:space="0"/>
              <w:left w:val="single" w:color="000000" w:sz="4" w:space="0"/>
              <w:bottom w:val="single" w:color="000000" w:sz="4" w:space="0"/>
              <w:right w:val="single" w:color="000000" w:sz="4" w:space="0"/>
            </w:tcBorders>
            <w:shd w:val="clear" w:color="auto" w:fill="4F81BD"/>
            <w:vAlign w:val="center"/>
          </w:tcPr>
          <w:p w14:paraId="16778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从业人员劳动报酬</w:t>
            </w:r>
          </w:p>
        </w:tc>
        <w:tc>
          <w:tcPr>
            <w:tcW w:w="390" w:type="pct"/>
            <w:tcBorders>
              <w:top w:val="single" w:color="auto" w:sz="4" w:space="0"/>
              <w:left w:val="single" w:color="000000" w:sz="4" w:space="0"/>
              <w:bottom w:val="single" w:color="000000" w:sz="4" w:space="0"/>
              <w:right w:val="single" w:color="000000" w:sz="4" w:space="0"/>
            </w:tcBorders>
            <w:shd w:val="clear" w:color="auto" w:fill="4F81BD"/>
            <w:vAlign w:val="center"/>
          </w:tcPr>
          <w:p w14:paraId="2EF0F3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福利费用</w:t>
            </w:r>
          </w:p>
        </w:tc>
        <w:tc>
          <w:tcPr>
            <w:tcW w:w="390" w:type="pct"/>
            <w:tcBorders>
              <w:top w:val="single" w:color="auto" w:sz="4" w:space="0"/>
              <w:left w:val="single" w:color="000000" w:sz="4" w:space="0"/>
              <w:bottom w:val="single" w:color="000000" w:sz="4" w:space="0"/>
              <w:right w:val="single" w:color="000000" w:sz="4" w:space="0"/>
            </w:tcBorders>
            <w:shd w:val="clear" w:color="auto" w:fill="4F81BD"/>
            <w:vAlign w:val="center"/>
          </w:tcPr>
          <w:p w14:paraId="5DD69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教育经费</w:t>
            </w:r>
          </w:p>
        </w:tc>
        <w:tc>
          <w:tcPr>
            <w:tcW w:w="404" w:type="pct"/>
            <w:tcBorders>
              <w:top w:val="single" w:color="auto" w:sz="4" w:space="0"/>
              <w:left w:val="single" w:color="000000" w:sz="4" w:space="0"/>
              <w:bottom w:val="single" w:color="000000" w:sz="4" w:space="0"/>
              <w:right w:val="single" w:color="000000" w:sz="4" w:space="0"/>
            </w:tcBorders>
            <w:shd w:val="clear" w:color="auto" w:fill="4F81BD"/>
            <w:vAlign w:val="center"/>
          </w:tcPr>
          <w:p w14:paraId="504D5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保险费用</w:t>
            </w:r>
          </w:p>
        </w:tc>
        <w:tc>
          <w:tcPr>
            <w:tcW w:w="390" w:type="pct"/>
            <w:tcBorders>
              <w:top w:val="single" w:color="auto" w:sz="4" w:space="0"/>
              <w:left w:val="single" w:color="000000" w:sz="4" w:space="0"/>
              <w:bottom w:val="single" w:color="000000" w:sz="4" w:space="0"/>
              <w:right w:val="single" w:color="000000" w:sz="4" w:space="0"/>
            </w:tcBorders>
            <w:shd w:val="clear" w:color="auto" w:fill="4F81BD"/>
            <w:vAlign w:val="center"/>
          </w:tcPr>
          <w:p w14:paraId="15FFB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劳动保护费用</w:t>
            </w:r>
          </w:p>
        </w:tc>
        <w:tc>
          <w:tcPr>
            <w:tcW w:w="391" w:type="pct"/>
            <w:tcBorders>
              <w:top w:val="single" w:color="auto" w:sz="4" w:space="0"/>
              <w:left w:val="single" w:color="000000" w:sz="4" w:space="0"/>
              <w:bottom w:val="single" w:color="000000" w:sz="4" w:space="0"/>
              <w:right w:val="single" w:color="000000" w:sz="4" w:space="0"/>
            </w:tcBorders>
            <w:shd w:val="clear" w:color="auto" w:fill="4F81BD"/>
            <w:vAlign w:val="center"/>
          </w:tcPr>
          <w:p w14:paraId="4CA34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住房费用</w:t>
            </w:r>
          </w:p>
        </w:tc>
        <w:tc>
          <w:tcPr>
            <w:tcW w:w="398" w:type="pct"/>
            <w:tcBorders>
              <w:top w:val="single" w:color="auto" w:sz="4" w:space="0"/>
              <w:left w:val="single" w:color="000000" w:sz="4" w:space="0"/>
              <w:bottom w:val="single" w:color="000000" w:sz="4" w:space="0"/>
              <w:right w:val="single" w:color="000000" w:sz="4" w:space="0"/>
            </w:tcBorders>
            <w:shd w:val="clear" w:color="auto" w:fill="4F81BD"/>
            <w:vAlign w:val="center"/>
          </w:tcPr>
          <w:p w14:paraId="64428F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FFFFFF"/>
                <w:sz w:val="21"/>
                <w:szCs w:val="21"/>
                <w:u w:val="none"/>
              </w:rPr>
            </w:pPr>
            <w:r>
              <w:rPr>
                <w:rFonts w:hint="eastAsia" w:ascii="黑体" w:hAnsi="宋体" w:eastAsia="黑体" w:cs="黑体"/>
                <w:i w:val="0"/>
                <w:iCs w:val="0"/>
                <w:color w:val="FFFFFF"/>
                <w:kern w:val="0"/>
                <w:sz w:val="21"/>
                <w:szCs w:val="21"/>
                <w:u w:val="none"/>
                <w:lang w:val="en-US" w:eastAsia="zh-CN" w:bidi="ar"/>
              </w:rPr>
              <w:t>其他人工成本</w:t>
            </w:r>
          </w:p>
        </w:tc>
      </w:tr>
      <w:tr w14:paraId="46FD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E5CB">
            <w:pPr>
              <w:keepNext w:val="0"/>
              <w:keepLines w:val="0"/>
              <w:pageBreakBefore w:val="0"/>
              <w:numPr>
                <w:ilvl w:val="0"/>
                <w:numId w:val="12"/>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4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大型企业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9C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68.43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73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7.74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F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0.66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CC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10.32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06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0.06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3A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6.28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4F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6.51 </w:t>
            </w:r>
          </w:p>
        </w:tc>
      </w:tr>
      <w:tr w14:paraId="65A4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0DDE">
            <w:pPr>
              <w:keepNext w:val="0"/>
              <w:keepLines w:val="0"/>
              <w:pageBreakBefore w:val="0"/>
              <w:numPr>
                <w:ilvl w:val="0"/>
                <w:numId w:val="12"/>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32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中型企业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B9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81.41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14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3.57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0D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0.76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AF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10.74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74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0.71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2F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1.50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C3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1.31 </w:t>
            </w:r>
          </w:p>
        </w:tc>
      </w:tr>
      <w:tr w14:paraId="5F61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68E5">
            <w:pPr>
              <w:keepNext w:val="0"/>
              <w:keepLines w:val="0"/>
              <w:pageBreakBefore w:val="0"/>
              <w:numPr>
                <w:ilvl w:val="0"/>
                <w:numId w:val="12"/>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63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小型企业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DC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81.26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8A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2.97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7C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0.21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8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10.95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32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0.47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4C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1.96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C9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2.18 </w:t>
            </w:r>
          </w:p>
        </w:tc>
      </w:tr>
      <w:tr w14:paraId="71FA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E655">
            <w:pPr>
              <w:keepNext w:val="0"/>
              <w:keepLines w:val="0"/>
              <w:pageBreakBefore w:val="0"/>
              <w:numPr>
                <w:ilvl w:val="0"/>
                <w:numId w:val="12"/>
              </w:numPr>
              <w:kinsoku/>
              <w:wordWrap/>
              <w:overflowPunct/>
              <w:topLinePunct w:val="0"/>
              <w:autoSpaceDE/>
              <w:autoSpaceDN/>
              <w:bidi w:val="0"/>
              <w:adjustRightInd/>
              <w:snapToGrid/>
              <w:spacing w:line="240" w:lineRule="auto"/>
              <w:ind w:left="0" w:leftChars="0" w:firstLine="142" w:firstLineChars="0"/>
              <w:jc w:val="center"/>
              <w:rPr>
                <w:rFonts w:hint="eastAsia" w:ascii="Times New Roman" w:hAnsi="Times New Roman" w:eastAsia="宋体" w:cs="Times New Roman"/>
                <w:i w:val="0"/>
                <w:iCs w:val="0"/>
                <w:color w:val="000000"/>
                <w:sz w:val="22"/>
                <w:szCs w:val="22"/>
                <w:u w:val="none"/>
              </w:rPr>
            </w:pPr>
          </w:p>
        </w:tc>
        <w:tc>
          <w:tcPr>
            <w:tcW w:w="1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DA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微型企业</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3F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78.43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A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3.74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7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0.51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FC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10.09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EC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0.54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BC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3.35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97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3.34 </w:t>
            </w:r>
          </w:p>
        </w:tc>
      </w:tr>
    </w:tbl>
    <w:p w14:paraId="7CE6A998">
      <w:r>
        <w:br w:type="page"/>
      </w:r>
    </w:p>
    <w:p w14:paraId="7DA96A91">
      <w:r>
        <w:drawing>
          <wp:anchor distT="0" distB="0" distL="114300" distR="114300" simplePos="0" relativeHeight="251662336" behindDoc="1" locked="0" layoutInCell="1" allowOverlap="1">
            <wp:simplePos x="0" y="0"/>
            <wp:positionH relativeFrom="column">
              <wp:posOffset>-1177925</wp:posOffset>
            </wp:positionH>
            <wp:positionV relativeFrom="paragraph">
              <wp:posOffset>-935990</wp:posOffset>
            </wp:positionV>
            <wp:extent cx="7626350" cy="10782935"/>
            <wp:effectExtent l="0" t="0" r="6350" b="12065"/>
            <wp:wrapNone/>
            <wp:docPr id="1" name="图片 1"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7"/>
                    <pic:cNvPicPr>
                      <a:picLocks noChangeAspect="1"/>
                    </pic:cNvPicPr>
                  </pic:nvPicPr>
                  <pic:blipFill>
                    <a:blip r:embed="rId8"/>
                    <a:stretch>
                      <a:fillRect/>
                    </a:stretch>
                  </pic:blipFill>
                  <pic:spPr>
                    <a:xfrm>
                      <a:off x="0" y="0"/>
                      <a:ext cx="7626350" cy="10782935"/>
                    </a:xfrm>
                    <a:prstGeom prst="rect">
                      <a:avLst/>
                    </a:prstGeom>
                  </pic:spPr>
                </pic:pic>
              </a:graphicData>
            </a:graphic>
          </wp:anchor>
        </w:drawing>
      </w:r>
    </w:p>
    <w:p w14:paraId="4CF9ECC0">
      <w:pPr>
        <w:spacing w:line="240" w:lineRule="auto"/>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粗黑简">
    <w:altName w:val="黑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2480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97A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7EFE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D7EFE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896B"/>
    <w:multiLevelType w:val="singleLevel"/>
    <w:tmpl w:val="87AA896B"/>
    <w:lvl w:ilvl="0" w:tentative="0">
      <w:start w:val="1"/>
      <w:numFmt w:val="decimal"/>
      <w:lvlText w:val="%1"/>
      <w:lvlJc w:val="center"/>
      <w:pPr>
        <w:tabs>
          <w:tab w:val="left" w:pos="0"/>
        </w:tabs>
        <w:ind w:left="0" w:leftChars="0" w:firstLine="142" w:firstLineChars="0"/>
      </w:pPr>
      <w:rPr>
        <w:rFonts w:hint="default"/>
      </w:rPr>
    </w:lvl>
  </w:abstractNum>
  <w:abstractNum w:abstractNumId="1">
    <w:nsid w:val="970FE9E7"/>
    <w:multiLevelType w:val="singleLevel"/>
    <w:tmpl w:val="970FE9E7"/>
    <w:lvl w:ilvl="0" w:tentative="0">
      <w:start w:val="1"/>
      <w:numFmt w:val="decimal"/>
      <w:lvlText w:val="%1"/>
      <w:lvlJc w:val="center"/>
      <w:pPr>
        <w:tabs>
          <w:tab w:val="left" w:pos="0"/>
        </w:tabs>
        <w:ind w:left="0" w:leftChars="0" w:firstLine="142" w:firstLineChars="0"/>
      </w:pPr>
      <w:rPr>
        <w:rFonts w:hint="default"/>
      </w:rPr>
    </w:lvl>
  </w:abstractNum>
  <w:abstractNum w:abstractNumId="2">
    <w:nsid w:val="DF9586C4"/>
    <w:multiLevelType w:val="singleLevel"/>
    <w:tmpl w:val="DF9586C4"/>
    <w:lvl w:ilvl="0" w:tentative="0">
      <w:start w:val="1"/>
      <w:numFmt w:val="decimal"/>
      <w:lvlText w:val="%1"/>
      <w:lvlJc w:val="center"/>
      <w:pPr>
        <w:tabs>
          <w:tab w:val="left" w:pos="0"/>
        </w:tabs>
        <w:ind w:left="0" w:leftChars="0" w:firstLine="142" w:firstLineChars="0"/>
      </w:pPr>
      <w:rPr>
        <w:rFonts w:hint="default"/>
      </w:rPr>
    </w:lvl>
  </w:abstractNum>
  <w:abstractNum w:abstractNumId="3">
    <w:nsid w:val="E061BA1B"/>
    <w:multiLevelType w:val="singleLevel"/>
    <w:tmpl w:val="E061BA1B"/>
    <w:lvl w:ilvl="0" w:tentative="0">
      <w:start w:val="2"/>
      <w:numFmt w:val="chineseCounting"/>
      <w:suff w:val="nothing"/>
      <w:lvlText w:val="（%1）"/>
      <w:lvlJc w:val="left"/>
      <w:rPr>
        <w:rFonts w:hint="eastAsia"/>
      </w:rPr>
    </w:lvl>
  </w:abstractNum>
  <w:abstractNum w:abstractNumId="4">
    <w:nsid w:val="E85DAA66"/>
    <w:multiLevelType w:val="singleLevel"/>
    <w:tmpl w:val="E85DAA66"/>
    <w:lvl w:ilvl="0" w:tentative="0">
      <w:start w:val="1"/>
      <w:numFmt w:val="decimal"/>
      <w:lvlText w:val="%1"/>
      <w:lvlJc w:val="center"/>
      <w:pPr>
        <w:tabs>
          <w:tab w:val="left" w:pos="0"/>
        </w:tabs>
        <w:ind w:left="0" w:leftChars="0" w:firstLine="142" w:firstLineChars="0"/>
      </w:pPr>
      <w:rPr>
        <w:rFonts w:hint="default"/>
      </w:rPr>
    </w:lvl>
  </w:abstractNum>
  <w:abstractNum w:abstractNumId="5">
    <w:nsid w:val="F0ECBB6F"/>
    <w:multiLevelType w:val="singleLevel"/>
    <w:tmpl w:val="F0ECBB6F"/>
    <w:lvl w:ilvl="0" w:tentative="0">
      <w:start w:val="1"/>
      <w:numFmt w:val="decimal"/>
      <w:lvlText w:val="%1"/>
      <w:lvlJc w:val="center"/>
      <w:pPr>
        <w:tabs>
          <w:tab w:val="left" w:pos="0"/>
        </w:tabs>
        <w:ind w:left="0" w:leftChars="0" w:firstLine="142" w:firstLineChars="0"/>
      </w:pPr>
      <w:rPr>
        <w:rFonts w:hint="default"/>
      </w:rPr>
    </w:lvl>
  </w:abstractNum>
  <w:abstractNum w:abstractNumId="6">
    <w:nsid w:val="0AAE208A"/>
    <w:multiLevelType w:val="singleLevel"/>
    <w:tmpl w:val="0AAE208A"/>
    <w:lvl w:ilvl="0" w:tentative="0">
      <w:start w:val="1"/>
      <w:numFmt w:val="decimal"/>
      <w:lvlText w:val="%1"/>
      <w:lvlJc w:val="center"/>
      <w:pPr>
        <w:tabs>
          <w:tab w:val="left" w:pos="0"/>
        </w:tabs>
        <w:ind w:left="0" w:leftChars="0" w:firstLine="142" w:firstLineChars="0"/>
      </w:pPr>
      <w:rPr>
        <w:rFonts w:hint="default"/>
      </w:rPr>
    </w:lvl>
  </w:abstractNum>
  <w:abstractNum w:abstractNumId="7">
    <w:nsid w:val="1BDE40F1"/>
    <w:multiLevelType w:val="singleLevel"/>
    <w:tmpl w:val="1BDE40F1"/>
    <w:lvl w:ilvl="0" w:tentative="0">
      <w:start w:val="1"/>
      <w:numFmt w:val="decimal"/>
      <w:lvlText w:val="%1"/>
      <w:lvlJc w:val="center"/>
      <w:pPr>
        <w:tabs>
          <w:tab w:val="left" w:pos="0"/>
        </w:tabs>
        <w:ind w:left="0" w:leftChars="0" w:firstLine="142" w:firstLineChars="0"/>
      </w:pPr>
      <w:rPr>
        <w:rFonts w:hint="default"/>
      </w:rPr>
    </w:lvl>
  </w:abstractNum>
  <w:abstractNum w:abstractNumId="8">
    <w:nsid w:val="296315A6"/>
    <w:multiLevelType w:val="singleLevel"/>
    <w:tmpl w:val="296315A6"/>
    <w:lvl w:ilvl="0" w:tentative="0">
      <w:start w:val="1"/>
      <w:numFmt w:val="decimal"/>
      <w:lvlText w:val="%1"/>
      <w:lvlJc w:val="center"/>
      <w:pPr>
        <w:tabs>
          <w:tab w:val="left" w:pos="0"/>
        </w:tabs>
        <w:ind w:left="0" w:leftChars="0" w:firstLine="142" w:firstLineChars="0"/>
      </w:pPr>
      <w:rPr>
        <w:rFonts w:hint="default"/>
      </w:rPr>
    </w:lvl>
  </w:abstractNum>
  <w:abstractNum w:abstractNumId="9">
    <w:nsid w:val="63239476"/>
    <w:multiLevelType w:val="singleLevel"/>
    <w:tmpl w:val="63239476"/>
    <w:lvl w:ilvl="0" w:tentative="0">
      <w:start w:val="2"/>
      <w:numFmt w:val="chineseCounting"/>
      <w:suff w:val="nothing"/>
      <w:lvlText w:val="（%1）"/>
      <w:lvlJc w:val="left"/>
      <w:rPr>
        <w:rFonts w:hint="eastAsia"/>
      </w:rPr>
    </w:lvl>
  </w:abstractNum>
  <w:abstractNum w:abstractNumId="10">
    <w:nsid w:val="63F527E9"/>
    <w:multiLevelType w:val="singleLevel"/>
    <w:tmpl w:val="63F527E9"/>
    <w:lvl w:ilvl="0" w:tentative="0">
      <w:start w:val="1"/>
      <w:numFmt w:val="decimal"/>
      <w:lvlText w:val="%1"/>
      <w:lvlJc w:val="center"/>
      <w:pPr>
        <w:tabs>
          <w:tab w:val="left" w:pos="0"/>
        </w:tabs>
        <w:ind w:left="0" w:leftChars="0" w:firstLine="142" w:firstLineChars="0"/>
      </w:pPr>
      <w:rPr>
        <w:rFonts w:hint="default"/>
      </w:rPr>
    </w:lvl>
  </w:abstractNum>
  <w:abstractNum w:abstractNumId="11">
    <w:nsid w:val="6D06B0AF"/>
    <w:multiLevelType w:val="singleLevel"/>
    <w:tmpl w:val="6D06B0AF"/>
    <w:lvl w:ilvl="0" w:tentative="0">
      <w:start w:val="1"/>
      <w:numFmt w:val="decimal"/>
      <w:lvlText w:val="%1"/>
      <w:lvlJc w:val="center"/>
      <w:pPr>
        <w:tabs>
          <w:tab w:val="left" w:pos="0"/>
        </w:tabs>
        <w:ind w:left="0" w:leftChars="0" w:firstLine="142" w:firstLineChars="0"/>
      </w:pPr>
      <w:rPr>
        <w:rFonts w:hint="default"/>
      </w:rPr>
    </w:lvl>
  </w:abstractNum>
  <w:num w:numId="1">
    <w:abstractNumId w:val="0"/>
  </w:num>
  <w:num w:numId="2">
    <w:abstractNumId w:val="2"/>
  </w:num>
  <w:num w:numId="3">
    <w:abstractNumId w:val="11"/>
  </w:num>
  <w:num w:numId="4">
    <w:abstractNumId w:val="10"/>
  </w:num>
  <w:num w:numId="5">
    <w:abstractNumId w:val="8"/>
  </w:num>
  <w:num w:numId="6">
    <w:abstractNumId w:val="9"/>
  </w:num>
  <w:num w:numId="7">
    <w:abstractNumId w:val="6"/>
  </w:num>
  <w:num w:numId="8">
    <w:abstractNumId w:val="4"/>
  </w:num>
  <w:num w:numId="9">
    <w:abstractNumId w:val="3"/>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NTAwNDQzMGQ5ZWI2OGY4ZWIyOWVjOTg2NWExMDcifQ=="/>
  </w:docVars>
  <w:rsids>
    <w:rsidRoot w:val="179D6510"/>
    <w:rsid w:val="00A20B0C"/>
    <w:rsid w:val="022E0C39"/>
    <w:rsid w:val="03756272"/>
    <w:rsid w:val="04830022"/>
    <w:rsid w:val="07676974"/>
    <w:rsid w:val="08BC5AF9"/>
    <w:rsid w:val="093820FC"/>
    <w:rsid w:val="0948327C"/>
    <w:rsid w:val="09C42FF6"/>
    <w:rsid w:val="09D77D1E"/>
    <w:rsid w:val="0A3E0796"/>
    <w:rsid w:val="0B2457DF"/>
    <w:rsid w:val="0D657DE0"/>
    <w:rsid w:val="0DB16D38"/>
    <w:rsid w:val="0EE33510"/>
    <w:rsid w:val="0FD171EB"/>
    <w:rsid w:val="115509B3"/>
    <w:rsid w:val="14496F20"/>
    <w:rsid w:val="14CB3DD9"/>
    <w:rsid w:val="179D6510"/>
    <w:rsid w:val="17C76888"/>
    <w:rsid w:val="19A9194F"/>
    <w:rsid w:val="1BC56070"/>
    <w:rsid w:val="1D900967"/>
    <w:rsid w:val="1E3F5F23"/>
    <w:rsid w:val="1E675DD5"/>
    <w:rsid w:val="1F986145"/>
    <w:rsid w:val="20A80A62"/>
    <w:rsid w:val="20AF1057"/>
    <w:rsid w:val="21FD6FD4"/>
    <w:rsid w:val="23753F08"/>
    <w:rsid w:val="23984924"/>
    <w:rsid w:val="23D946DF"/>
    <w:rsid w:val="23F92F9C"/>
    <w:rsid w:val="255D565D"/>
    <w:rsid w:val="25F57D83"/>
    <w:rsid w:val="271B474C"/>
    <w:rsid w:val="2818565B"/>
    <w:rsid w:val="2C064119"/>
    <w:rsid w:val="2C3F4944"/>
    <w:rsid w:val="2C4A1762"/>
    <w:rsid w:val="2D011458"/>
    <w:rsid w:val="2D054149"/>
    <w:rsid w:val="2DFD5F4A"/>
    <w:rsid w:val="2F350BD4"/>
    <w:rsid w:val="31B4296E"/>
    <w:rsid w:val="340C2038"/>
    <w:rsid w:val="36AF29FC"/>
    <w:rsid w:val="3765009B"/>
    <w:rsid w:val="385E1608"/>
    <w:rsid w:val="3AB940FF"/>
    <w:rsid w:val="3B2A7F73"/>
    <w:rsid w:val="3BC15980"/>
    <w:rsid w:val="42641B96"/>
    <w:rsid w:val="43723C54"/>
    <w:rsid w:val="442C4493"/>
    <w:rsid w:val="448F7D69"/>
    <w:rsid w:val="47F13AE8"/>
    <w:rsid w:val="48FA469F"/>
    <w:rsid w:val="49F31649"/>
    <w:rsid w:val="4A5E42D9"/>
    <w:rsid w:val="4A7614F2"/>
    <w:rsid w:val="4AE27323"/>
    <w:rsid w:val="4C394C78"/>
    <w:rsid w:val="4C404189"/>
    <w:rsid w:val="4C692028"/>
    <w:rsid w:val="4D396552"/>
    <w:rsid w:val="4E61471A"/>
    <w:rsid w:val="4FD67F5D"/>
    <w:rsid w:val="4FE84980"/>
    <w:rsid w:val="5126190B"/>
    <w:rsid w:val="52517735"/>
    <w:rsid w:val="544669FD"/>
    <w:rsid w:val="546573BA"/>
    <w:rsid w:val="547250C1"/>
    <w:rsid w:val="59046AD9"/>
    <w:rsid w:val="5A001DC8"/>
    <w:rsid w:val="5BD963DB"/>
    <w:rsid w:val="5BF4276A"/>
    <w:rsid w:val="5C110E26"/>
    <w:rsid w:val="5DF35415"/>
    <w:rsid w:val="5F1B0D98"/>
    <w:rsid w:val="5F926F9A"/>
    <w:rsid w:val="606956A6"/>
    <w:rsid w:val="61AB5D2B"/>
    <w:rsid w:val="63503F39"/>
    <w:rsid w:val="63D601B4"/>
    <w:rsid w:val="64CF1A80"/>
    <w:rsid w:val="660F7EB5"/>
    <w:rsid w:val="67673C15"/>
    <w:rsid w:val="68D129F4"/>
    <w:rsid w:val="6ACB439E"/>
    <w:rsid w:val="6EB42C5A"/>
    <w:rsid w:val="6F202DDD"/>
    <w:rsid w:val="6F4406CB"/>
    <w:rsid w:val="6F7E2FDE"/>
    <w:rsid w:val="6FCE4B5C"/>
    <w:rsid w:val="71500A63"/>
    <w:rsid w:val="715A41F5"/>
    <w:rsid w:val="728B42C5"/>
    <w:rsid w:val="73964E8A"/>
    <w:rsid w:val="73D90FE2"/>
    <w:rsid w:val="740D6797"/>
    <w:rsid w:val="752761F9"/>
    <w:rsid w:val="75574A99"/>
    <w:rsid w:val="773330F6"/>
    <w:rsid w:val="77FB2F6B"/>
    <w:rsid w:val="793C7EE1"/>
    <w:rsid w:val="79991513"/>
    <w:rsid w:val="7C4F5666"/>
    <w:rsid w:val="7E702F76"/>
    <w:rsid w:val="7F0F6C05"/>
    <w:rsid w:val="7F1B2CF2"/>
    <w:rsid w:val="7FA1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spacing w:before="240" w:after="240" w:line="560" w:lineRule="exact"/>
      <w:ind w:left="960" w:leftChars="400" w:right="960" w:rightChars="400"/>
      <w:jc w:val="center"/>
      <w:outlineLvl w:val="0"/>
    </w:pPr>
    <w:rPr>
      <w:rFonts w:ascii="Times New Roman" w:hAnsi="Times New Roman" w:eastAsia="方正小标宋简体"/>
      <w:bCs/>
      <w:kern w:val="44"/>
      <w:sz w:val="32"/>
      <w:szCs w:val="44"/>
    </w:rPr>
  </w:style>
  <w:style w:type="paragraph" w:styleId="3">
    <w:name w:val="heading 2"/>
    <w:basedOn w:val="1"/>
    <w:next w:val="1"/>
    <w:semiHidden/>
    <w:unhideWhenUsed/>
    <w:qFormat/>
    <w:uiPriority w:val="0"/>
    <w:pPr>
      <w:spacing w:before="240"/>
      <w:ind w:firstLine="200" w:firstLineChars="200"/>
      <w:outlineLvl w:val="1"/>
    </w:pPr>
    <w:rPr>
      <w:rFonts w:ascii="黑体" w:hAnsi="黑体" w:eastAsia="黑体"/>
      <w:bCs/>
      <w:szCs w:val="32"/>
    </w:rPr>
  </w:style>
  <w:style w:type="paragraph" w:styleId="4">
    <w:name w:val="heading 3"/>
    <w:basedOn w:val="1"/>
    <w:next w:val="1"/>
    <w:semiHidden/>
    <w:unhideWhenUsed/>
    <w:qFormat/>
    <w:uiPriority w:val="0"/>
    <w:pPr>
      <w:spacing w:before="240"/>
      <w:ind w:firstLine="200" w:firstLineChars="200"/>
      <w:outlineLvl w:val="2"/>
    </w:pPr>
    <w:rPr>
      <w:rFonts w:ascii="楷体" w:hAnsi="楷体" w:eastAsia="楷体"/>
      <w:bCs/>
      <w:szCs w:val="32"/>
    </w:rPr>
  </w:style>
  <w:style w:type="paragraph" w:styleId="5">
    <w:name w:val="heading 4"/>
    <w:basedOn w:val="1"/>
    <w:next w:val="1"/>
    <w:semiHidden/>
    <w:unhideWhenUsed/>
    <w:qFormat/>
    <w:uiPriority w:val="0"/>
    <w:pPr>
      <w:spacing w:before="240"/>
      <w:ind w:firstLine="200" w:firstLineChars="200"/>
      <w:outlineLvl w:val="3"/>
    </w:pPr>
    <w:rPr>
      <w:rFonts w:eastAsia="宋体"/>
      <w:bCs/>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spacing w:line="240" w:lineRule="auto"/>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line="240" w:lineRule="auto"/>
    </w:pPr>
    <w:rPr>
      <w:rFonts w:eastAsia="汉仪粗黑简" w:asciiTheme="minorHAnsi" w:hAnsiTheme="minorHAnsi" w:cstheme="minorBidi"/>
      <w:sz w:val="24"/>
      <w:szCs w:val="24"/>
    </w:rPr>
  </w:style>
  <w:style w:type="character" w:customStyle="1" w:styleId="15">
    <w:name w:val="font21"/>
    <w:basedOn w:val="14"/>
    <w:qFormat/>
    <w:uiPriority w:val="0"/>
    <w:rPr>
      <w:rFonts w:ascii="黑体" w:hAnsi="宋体" w:eastAsia="黑体" w:cs="黑体"/>
      <w:color w:val="FFFFFF"/>
      <w:sz w:val="21"/>
      <w:szCs w:val="21"/>
      <w:u w:val="none"/>
    </w:rPr>
  </w:style>
  <w:style w:type="character" w:customStyle="1" w:styleId="16">
    <w:name w:val="font11"/>
    <w:basedOn w:val="14"/>
    <w:qFormat/>
    <w:uiPriority w:val="0"/>
    <w:rPr>
      <w:rFonts w:hint="eastAsia" w:ascii="黑体" w:hAnsi="宋体" w:eastAsia="黑体" w:cs="黑体"/>
      <w:color w:val="FFFFFF"/>
      <w:sz w:val="21"/>
      <w:szCs w:val="21"/>
      <w:u w:val="none"/>
    </w:rPr>
  </w:style>
  <w:style w:type="character" w:customStyle="1" w:styleId="17">
    <w:name w:val="font61"/>
    <w:basedOn w:val="14"/>
    <w:qFormat/>
    <w:uiPriority w:val="0"/>
    <w:rPr>
      <w:rFonts w:ascii="仿宋_GB2312" w:eastAsia="仿宋_GB2312" w:cs="仿宋_GB2312"/>
      <w:color w:val="000000"/>
      <w:sz w:val="21"/>
      <w:szCs w:val="21"/>
      <w:u w:val="non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绿色商务风合同封面"/>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Words>
  <Characters>2</Characters>
  <Lines>0</Lines>
  <Paragraphs>0</Paragraphs>
  <TotalTime>12</TotalTime>
  <ScaleCrop>false</ScaleCrop>
  <LinksUpToDate>false</LinksUpToDate>
  <CharactersWithSpaces>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2021-06-17T03:59:00Z</dcterms:created>
  <dc:creator>3</dc:creator>
  <cp:lastModifiedBy>ming飞</cp:lastModifiedBy>
  <dcterms:modified xsi:type="dcterms:W3CDTF">2026-03-20T00:12:42Z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8CD92AC061A54F36915F3E936DB8A716_13</vt:lpwstr>
  </property>
  <property fmtid="{D5CDD505-2E9C-101B-9397-08002B2CF9AE}" pid="4" name="KSOSaveFontToCloudKey">
    <vt:lpwstr>590610_btnclosed</vt:lpwstr>
  </property>
  <property fmtid="{D5CDD505-2E9C-101B-9397-08002B2CF9AE}" pid="5" name="KSOTemplateDocerSaveRecord">
    <vt:lpwstr>eyJoZGlkIjoiOWNjYTJjZjRjODFmZDliMWM3ZjlkNmRiMTQyMzIxMTgiLCJ1c2VySWQiOiIzMjEyMDEwNTYifQ==</vt:lpwstr>
  </property>
</Properties>
</file>