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不合格报告说明</w:t>
      </w:r>
    </w:p>
    <w:p>
      <w:pPr>
        <w:jc w:val="center"/>
        <w:rPr>
          <w:b/>
          <w:bCs/>
          <w:sz w:val="44"/>
          <w:szCs w:val="44"/>
        </w:rPr>
      </w:pPr>
    </w:p>
    <w:p>
      <w:pP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检验报告书编号：EB2503F33012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99"/>
        <w:gridCol w:w="1561"/>
        <w:gridCol w:w="1843"/>
        <w:gridCol w:w="3260"/>
        <w:gridCol w:w="3321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不合格项目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不合格项目所属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指标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检验结果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标准值要求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不合格原因分析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可能引起的危害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农药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残留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0.27m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≤0.0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</w:rPr>
              <w:t>农户可能为提高杀虫效果，超出推荐剂量或频次使用噻虫胺。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  <w:lang w:val="en-US" w:eastAsia="zh-CN"/>
              </w:rPr>
              <w:t>或者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</w:rPr>
              <w:t>喷洒农药后未按规定的安全间隔期（如7-14天）采收，导致药物未完全降解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  <w:lang w:eastAsia="zh-CN"/>
              </w:rPr>
              <w:t>。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</w:rPr>
              <w:t>短期内大量摄入可能引发头痛、恶心、呕吐、抽搐等症状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</w:rPr>
              <w:t>长期低剂量暴露可能影响神经系统（如记忆力减退）或干扰内分泌系统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</w:rPr>
              <w:t>部分人群可能对农药成分敏感，引发皮疹或呼吸道不适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  <w:lang w:eastAsia="zh-CN"/>
              </w:rPr>
              <w:t>。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食用农产品（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螺丝椒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</w:t>
            </w:r>
          </w:p>
        </w:tc>
      </w:tr>
    </w:tbl>
    <w:p>
      <w:r>
        <w:br w:type="page"/>
      </w:r>
    </w:p>
    <w:p>
      <w:pP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检验报告书编号：EB2503F57109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353"/>
        <w:gridCol w:w="1382"/>
        <w:gridCol w:w="3355"/>
        <w:gridCol w:w="417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不合格项目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不合格项目所属指标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检验结果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标准值要求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不合格原因分析</w:t>
            </w:r>
          </w:p>
        </w:tc>
        <w:tc>
          <w:tcPr>
            <w:tcW w:w="41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可能引起的危害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噻虫胺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农药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残留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0.2m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≤0.0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g/kg</w:t>
            </w:r>
          </w:p>
        </w:tc>
        <w:tc>
          <w:tcPr>
            <w:tcW w:w="33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</w:rPr>
              <w:t>农户可能为提高杀虫效果，超出推荐剂量或频次使用噻虫胺。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  <w:lang w:val="en-US" w:eastAsia="zh-CN"/>
              </w:rPr>
              <w:t>或者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</w:rPr>
              <w:t>喷洒农药后未按规定的安全间隔期（如7-14天）采收，导致药物未完全降解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  <w:lang w:eastAsia="zh-CN"/>
              </w:rPr>
              <w:t>。</w:t>
            </w:r>
          </w:p>
        </w:tc>
        <w:tc>
          <w:tcPr>
            <w:tcW w:w="41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</w:rPr>
              <w:t>短期内大量摄入可能引发头痛、恶心、呕吐、抽搐等症状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</w:rPr>
              <w:t>长期低剂量暴露可能影响神经系统（如记忆力减退）或干扰内分泌系统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</w:rPr>
              <w:t>部分人群可能对农药成分敏感，引发皮疹或呼吸道不适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  <w:lang w:eastAsia="zh-CN"/>
              </w:rPr>
              <w:t>。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食用农产品（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纸元椒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</w:t>
            </w:r>
          </w:p>
        </w:tc>
      </w:tr>
    </w:tbl>
    <w:p>
      <w:r>
        <w:br w:type="page"/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检验报告书编号：EB2503F65309</w:t>
      </w:r>
    </w:p>
    <w:tbl>
      <w:tblPr>
        <w:tblStyle w:val="7"/>
        <w:tblW w:w="14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564"/>
        <w:gridCol w:w="1118"/>
        <w:gridCol w:w="1427"/>
        <w:gridCol w:w="3595"/>
        <w:gridCol w:w="432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4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不合格项目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不合格项目所属指标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检验结果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标准值要求</w:t>
            </w:r>
          </w:p>
        </w:tc>
        <w:tc>
          <w:tcPr>
            <w:tcW w:w="35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不合格原因分析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可能引起的危害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4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脱氢乙酸及其钠盐(以脱氢乙酸计)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食品添加剂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0.0591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不得使用 </w:t>
            </w:r>
          </w:p>
        </w:tc>
        <w:tc>
          <w:tcPr>
            <w:tcW w:w="359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</w:rPr>
              <w:t>超标可能是生产或储运环节中为延长保质期，违规喷洒、浸泡或直接添加该防腐剂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  <w:lang w:eastAsia="zh-CN"/>
              </w:rPr>
              <w:t>。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pacing w:line="360" w:lineRule="exact"/>
              <w:ind w:firstLine="400" w:firstLineChars="20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</w:rPr>
              <w:t>短期过量摄入可能引起恶心、呕吐、腹痛等胃肠道不适，严重时导致代谢性酸中毒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</w:rPr>
              <w:t>长期摄入可能加重肝肾代谢负担，动物实验表明高剂量脱氢乙酸可能影响免疫系统和神经系统功能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</w:rPr>
              <w:t>敏感人群可能出现皮疹、瘙痒等过敏反应，尤其是儿童和孕妇风险较高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</w:rPr>
              <w:t>脱氢乙酸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  <w:lang w:val="en-US" w:eastAsia="zh-CN"/>
              </w:rPr>
              <w:t>还有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</w:rPr>
              <w:t>可能抑制肠道有益菌群，影响消化吸收功能，长期或导致肠道微生态紊乱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  <w:lang w:eastAsia="zh-CN"/>
              </w:rPr>
              <w:t>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食用农产品（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桑葚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4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糖精钠(以糖精计)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食品添加剂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0.0479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不得使用</w:t>
            </w:r>
          </w:p>
        </w:tc>
        <w:tc>
          <w:tcPr>
            <w:tcW w:w="359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</w:rPr>
              <w:t>糖精钠是人工合成甜味剂，甜度约为蔗糖的300-500倍。部分商家可能为提高桑葚甜度（尤其是未成熟或口感较差的桑葚），直接喷洒、浸泡或添加糖精钠溶液，违反《食品安全国家标准 食品添加剂使用标准》（GB 2760-2014）规定——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</w:rPr>
              <w:t>新鲜水果中禁止添加糖精钠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</w:rPr>
              <w:t>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  <w:lang w:val="en-US" w:eastAsia="zh-CN"/>
              </w:rPr>
              <w:t>还有可能是商家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</w:rPr>
              <w:t>通过添加糖精钠掩盖桑葚因品种、储存不当或腐败导致的酸涩味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  <w:lang w:eastAsia="zh-CN"/>
              </w:rPr>
              <w:t>。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pacing w:line="360" w:lineRule="exact"/>
              <w:ind w:firstLine="40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</w:rPr>
              <w:t>糖精钠在人体内不参与代谢，主要通过肾脏排出，长期过量摄入可能加重肝肾负担，尤其对肾功能不全者风险更高。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  <w:lang w:val="en-US" w:eastAsia="zh-CN"/>
              </w:rPr>
              <w:t>而且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</w:rPr>
              <w:t>长期食用人工甜味剂可能降低对天然甜味的敏感度，增加对高糖食物的渴望，间接诱发肥胖或糖尿病风险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</w:rPr>
              <w:t>孕妇、儿童及过敏体质者可能更敏感，过量摄入或引发头痛、皮肤过敏等反应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0"/>
                <w:szCs w:val="20"/>
                <w:shd w:val="clear" w:fill="FFFFFF"/>
                <w:lang w:eastAsia="zh-CN"/>
              </w:rPr>
              <w:t>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食用农产品（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桑葚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</w:t>
            </w:r>
          </w:p>
        </w:tc>
      </w:tr>
    </w:tbl>
    <w:p>
      <w:r>
        <w:br w:type="page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NGVmMDA5NDAzOGFlM2RiMGE2MjAzYmRiOTE5NTAifQ=="/>
  </w:docVars>
  <w:rsids>
    <w:rsidRoot w:val="1E6A466B"/>
    <w:rsid w:val="033B009B"/>
    <w:rsid w:val="1E6A466B"/>
    <w:rsid w:val="274A75C1"/>
    <w:rsid w:val="30954C4F"/>
    <w:rsid w:val="5224374E"/>
    <w:rsid w:val="542D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qFormat/>
    <w:uiPriority w:val="0"/>
    <w:pPr>
      <w:spacing w:before="120" w:after="120"/>
      <w:ind w:firstLine="480"/>
    </w:pPr>
    <w:rPr>
      <w:rFonts w:ascii="宋体" w:hAnsi="宋体"/>
      <w:sz w:val="24"/>
      <w:szCs w:val="20"/>
    </w:rPr>
  </w:style>
  <w:style w:type="paragraph" w:styleId="4">
    <w:name w:val="Body Text First Indent"/>
    <w:basedOn w:val="5"/>
    <w:qFormat/>
    <w:uiPriority w:val="0"/>
    <w:pPr>
      <w:spacing w:before="260" w:line="415" w:lineRule="auto"/>
      <w:ind w:firstLine="420" w:firstLineChars="100"/>
    </w:pPr>
    <w:rPr>
      <w:rFonts w:ascii="Times New Roman" w:hAnsi="Times New Roman"/>
      <w:szCs w:val="24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省纪委</Company>
  <Pages>7</Pages>
  <Words>1498</Words>
  <Characters>1662</Characters>
  <Lines>0</Lines>
  <Paragraphs>0</Paragraphs>
  <TotalTime>36</TotalTime>
  <ScaleCrop>false</ScaleCrop>
  <LinksUpToDate>false</LinksUpToDate>
  <CharactersWithSpaces>1665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2024-06-26T00:33:00Z</dcterms:created>
  <dc:creator>李贝贝</dc:creator>
  <cp:lastModifiedBy>陈始明</cp:lastModifiedBy>
  <dcterms:modified xsi:type="dcterms:W3CDTF">2025-09-19T01:24:26Z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0E9F661DE63C47209942E3DFB5568E82_13</vt:lpwstr>
  </property>
  <property fmtid="{D5CDD505-2E9C-101B-9397-08002B2CF9AE}" pid="4" name="KSOTemplateDocerSaveRecord">
    <vt:lpwstr>eyJoZGlkIjoiMzlhM2MyODUyMTgxMjViZmFjODc0MDM5MGIzOWYxYWMiLCJ1c2VySWQiOiIzOTQ1NjM1MTUifQ==</vt:lpwstr>
  </property>
</Properties>
</file>