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C1C78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云浮市钛白粉产品质量监督抽查实施细则</w:t>
      </w:r>
    </w:p>
    <w:p w14:paraId="47F623E0">
      <w:pPr>
        <w:spacing w:line="56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（2025年版）</w:t>
      </w:r>
    </w:p>
    <w:p w14:paraId="708D9A31">
      <w:pPr>
        <w:spacing w:line="560" w:lineRule="exact"/>
        <w:rPr>
          <w:rFonts w:hint="eastAsia" w:ascii="仿宋_GB2312" w:hAnsi="仿宋_GB2312" w:cs="仿宋_GB2312"/>
          <w:szCs w:val="32"/>
        </w:rPr>
      </w:pPr>
    </w:p>
    <w:p w14:paraId="4A81EE10">
      <w:pPr>
        <w:spacing w:line="560" w:lineRule="exact"/>
        <w:ind w:firstLine="632"/>
        <w:rPr>
          <w:rFonts w:eastAsia="黑体"/>
          <w:color w:val="000000"/>
          <w:szCs w:val="32"/>
        </w:rPr>
      </w:pPr>
      <w:r>
        <w:rPr>
          <w:rFonts w:eastAsia="黑体"/>
          <w:color w:val="000000"/>
          <w:szCs w:val="32"/>
        </w:rPr>
        <w:t>1 抽样方法</w:t>
      </w:r>
      <w:bookmarkStart w:id="0" w:name="_GoBack"/>
      <w:bookmarkEnd w:id="0"/>
    </w:p>
    <w:p w14:paraId="31DA092D">
      <w:pPr>
        <w:spacing w:line="560" w:lineRule="exact"/>
        <w:ind w:firstLine="632"/>
        <w:rPr>
          <w:rFonts w:hint="eastAsia"/>
          <w:szCs w:val="32"/>
        </w:rPr>
      </w:pPr>
      <w:r>
        <w:rPr>
          <w:rFonts w:hint="eastAsia"/>
          <w:szCs w:val="32"/>
        </w:rPr>
        <w:t>以随机抽样的方式在被抽样生产者、销售者的待销产品中抽取。</w:t>
      </w:r>
    </w:p>
    <w:p w14:paraId="0BA9D602">
      <w:pPr>
        <w:spacing w:line="560" w:lineRule="exact"/>
        <w:ind w:firstLine="632"/>
        <w:rPr>
          <w:rFonts w:hint="eastAsia"/>
          <w:szCs w:val="32"/>
        </w:rPr>
      </w:pPr>
      <w:r>
        <w:rPr>
          <w:rFonts w:hint="eastAsia"/>
          <w:szCs w:val="32"/>
        </w:rPr>
        <w:t>随机数一般可使用随机数表等方法产生。</w:t>
      </w:r>
    </w:p>
    <w:p w14:paraId="1D4A5576">
      <w:pPr>
        <w:spacing w:line="560" w:lineRule="exact"/>
        <w:ind w:firstLine="632"/>
        <w:rPr>
          <w:szCs w:val="32"/>
        </w:rPr>
      </w:pPr>
      <w:r>
        <w:rPr>
          <w:rFonts w:hint="eastAsia"/>
          <w:szCs w:val="32"/>
        </w:rPr>
        <w:t>将样品缩分至约1000g，分装于2个洁净、干燥的塑料瓶（袋）中，每份样品重量不少于500g。1份作为检验样品，另1份作为备用样品</w:t>
      </w:r>
      <w:r>
        <w:rPr>
          <w:szCs w:val="32"/>
        </w:rPr>
        <w:t>。</w:t>
      </w:r>
    </w:p>
    <w:p w14:paraId="49DC5C4F">
      <w:pPr>
        <w:spacing w:line="560" w:lineRule="exact"/>
        <w:ind w:firstLine="632"/>
        <w:rPr>
          <w:rFonts w:eastAsia="黑体"/>
          <w:color w:val="000000"/>
          <w:szCs w:val="32"/>
        </w:rPr>
      </w:pPr>
      <w:r>
        <w:rPr>
          <w:rFonts w:eastAsia="黑体"/>
          <w:color w:val="000000"/>
          <w:szCs w:val="32"/>
        </w:rPr>
        <w:t>2 检验依据</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3471"/>
        <w:gridCol w:w="4681"/>
      </w:tblGrid>
      <w:tr w14:paraId="5F1DC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blHeader/>
          <w:jc w:val="center"/>
        </w:trPr>
        <w:tc>
          <w:tcPr>
            <w:tcW w:w="1018" w:type="dxa"/>
            <w:noWrap w:val="0"/>
            <w:vAlign w:val="center"/>
          </w:tcPr>
          <w:p w14:paraId="53306ED2">
            <w:pPr>
              <w:spacing w:line="560" w:lineRule="exact"/>
              <w:jc w:val="center"/>
              <w:rPr>
                <w:sz w:val="28"/>
                <w:szCs w:val="28"/>
              </w:rPr>
            </w:pPr>
            <w:r>
              <w:rPr>
                <w:sz w:val="28"/>
                <w:szCs w:val="28"/>
              </w:rPr>
              <w:t>序号</w:t>
            </w:r>
          </w:p>
        </w:tc>
        <w:tc>
          <w:tcPr>
            <w:tcW w:w="3471" w:type="dxa"/>
            <w:noWrap w:val="0"/>
            <w:vAlign w:val="center"/>
          </w:tcPr>
          <w:p w14:paraId="2C7462AB">
            <w:pPr>
              <w:spacing w:line="560" w:lineRule="exact"/>
              <w:jc w:val="center"/>
              <w:rPr>
                <w:sz w:val="28"/>
                <w:szCs w:val="28"/>
              </w:rPr>
            </w:pPr>
            <w:r>
              <w:rPr>
                <w:sz w:val="28"/>
                <w:szCs w:val="28"/>
              </w:rPr>
              <w:t>检验项目</w:t>
            </w:r>
          </w:p>
        </w:tc>
        <w:tc>
          <w:tcPr>
            <w:tcW w:w="4681" w:type="dxa"/>
            <w:noWrap w:val="0"/>
            <w:vAlign w:val="center"/>
          </w:tcPr>
          <w:p w14:paraId="27E06561">
            <w:pPr>
              <w:spacing w:line="560" w:lineRule="exact"/>
              <w:jc w:val="center"/>
              <w:rPr>
                <w:sz w:val="28"/>
                <w:szCs w:val="28"/>
              </w:rPr>
            </w:pPr>
            <w:r>
              <w:rPr>
                <w:sz w:val="28"/>
                <w:szCs w:val="28"/>
              </w:rPr>
              <w:t>检验方法</w:t>
            </w:r>
          </w:p>
        </w:tc>
      </w:tr>
      <w:tr w14:paraId="3FD36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0277F9AA">
            <w:pPr>
              <w:spacing w:line="560" w:lineRule="exact"/>
              <w:jc w:val="center"/>
              <w:rPr>
                <w:sz w:val="28"/>
                <w:szCs w:val="28"/>
              </w:rPr>
            </w:pPr>
            <w:r>
              <w:rPr>
                <w:sz w:val="28"/>
                <w:szCs w:val="28"/>
              </w:rPr>
              <w:t>1</w:t>
            </w:r>
          </w:p>
        </w:tc>
        <w:tc>
          <w:tcPr>
            <w:tcW w:w="3471" w:type="dxa"/>
            <w:noWrap w:val="0"/>
            <w:vAlign w:val="top"/>
          </w:tcPr>
          <w:p w14:paraId="121A3C2E">
            <w:pPr>
              <w:spacing w:line="560" w:lineRule="exact"/>
              <w:jc w:val="center"/>
              <w:rPr>
                <w:rFonts w:hint="eastAsia"/>
                <w:sz w:val="28"/>
                <w:szCs w:val="28"/>
              </w:rPr>
            </w:pPr>
            <w:r>
              <w:rPr>
                <w:rFonts w:hint="eastAsia"/>
                <w:sz w:val="28"/>
                <w:szCs w:val="28"/>
              </w:rPr>
              <w:t>外观</w:t>
            </w:r>
          </w:p>
        </w:tc>
        <w:tc>
          <w:tcPr>
            <w:tcW w:w="4681" w:type="dxa"/>
            <w:noWrap w:val="0"/>
            <w:vAlign w:val="top"/>
          </w:tcPr>
          <w:p w14:paraId="4B0CBF6C">
            <w:pPr>
              <w:spacing w:line="560" w:lineRule="exact"/>
              <w:jc w:val="center"/>
              <w:rPr>
                <w:rFonts w:hint="eastAsia"/>
                <w:sz w:val="28"/>
                <w:szCs w:val="28"/>
              </w:rPr>
            </w:pPr>
            <w:r>
              <w:rPr>
                <w:sz w:val="28"/>
                <w:szCs w:val="28"/>
              </w:rPr>
              <w:t>GB/T 1706-2006</w:t>
            </w:r>
            <w:r>
              <w:rPr>
                <w:rFonts w:hint="eastAsia"/>
                <w:sz w:val="28"/>
                <w:szCs w:val="28"/>
              </w:rPr>
              <w:t>中5.1</w:t>
            </w:r>
          </w:p>
        </w:tc>
      </w:tr>
      <w:tr w14:paraId="3B226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F61EB34">
            <w:pPr>
              <w:spacing w:line="560" w:lineRule="exact"/>
              <w:jc w:val="center"/>
              <w:rPr>
                <w:sz w:val="28"/>
                <w:szCs w:val="28"/>
              </w:rPr>
            </w:pPr>
            <w:r>
              <w:rPr>
                <w:sz w:val="28"/>
                <w:szCs w:val="28"/>
              </w:rPr>
              <w:t>2</w:t>
            </w:r>
          </w:p>
        </w:tc>
        <w:tc>
          <w:tcPr>
            <w:tcW w:w="3471" w:type="dxa"/>
            <w:noWrap w:val="0"/>
            <w:vAlign w:val="top"/>
          </w:tcPr>
          <w:p w14:paraId="12A5BF43">
            <w:pPr>
              <w:spacing w:line="560" w:lineRule="exact"/>
              <w:jc w:val="center"/>
              <w:rPr>
                <w:rFonts w:hint="eastAsia"/>
                <w:sz w:val="28"/>
                <w:szCs w:val="28"/>
              </w:rPr>
            </w:pPr>
            <w:r>
              <w:rPr>
                <w:rFonts w:hint="eastAsia"/>
                <w:sz w:val="28"/>
                <w:szCs w:val="28"/>
              </w:rPr>
              <w:t>TiO2含量</w:t>
            </w:r>
          </w:p>
        </w:tc>
        <w:tc>
          <w:tcPr>
            <w:tcW w:w="4681" w:type="dxa"/>
            <w:noWrap w:val="0"/>
            <w:vAlign w:val="top"/>
          </w:tcPr>
          <w:p w14:paraId="0A6D4C17">
            <w:pPr>
              <w:spacing w:line="560" w:lineRule="exact"/>
              <w:jc w:val="center"/>
              <w:rPr>
                <w:rFonts w:hint="eastAsia"/>
                <w:sz w:val="28"/>
                <w:szCs w:val="28"/>
              </w:rPr>
            </w:pPr>
            <w:r>
              <w:rPr>
                <w:rFonts w:hint="eastAsia"/>
                <w:sz w:val="28"/>
                <w:szCs w:val="28"/>
              </w:rPr>
              <w:t>GB/T 1706-2006中7.1</w:t>
            </w:r>
          </w:p>
        </w:tc>
      </w:tr>
      <w:tr w14:paraId="32B9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4C570F06">
            <w:pPr>
              <w:spacing w:line="560" w:lineRule="exact"/>
              <w:jc w:val="center"/>
              <w:rPr>
                <w:sz w:val="28"/>
                <w:szCs w:val="28"/>
              </w:rPr>
            </w:pPr>
            <w:r>
              <w:rPr>
                <w:sz w:val="28"/>
                <w:szCs w:val="28"/>
              </w:rPr>
              <w:t>3</w:t>
            </w:r>
          </w:p>
        </w:tc>
        <w:tc>
          <w:tcPr>
            <w:tcW w:w="3471" w:type="dxa"/>
            <w:noWrap w:val="0"/>
            <w:vAlign w:val="top"/>
          </w:tcPr>
          <w:p w14:paraId="0AF73DB2">
            <w:pPr>
              <w:spacing w:line="560" w:lineRule="exact"/>
              <w:jc w:val="center"/>
              <w:rPr>
                <w:rFonts w:hint="eastAsia"/>
                <w:sz w:val="28"/>
                <w:szCs w:val="28"/>
              </w:rPr>
            </w:pPr>
            <w:r>
              <w:rPr>
                <w:rFonts w:hint="eastAsia"/>
                <w:sz w:val="28"/>
                <w:szCs w:val="28"/>
              </w:rPr>
              <w:t>105℃挥发物</w:t>
            </w:r>
          </w:p>
        </w:tc>
        <w:tc>
          <w:tcPr>
            <w:tcW w:w="4681" w:type="dxa"/>
            <w:noWrap w:val="0"/>
            <w:vAlign w:val="top"/>
          </w:tcPr>
          <w:p w14:paraId="2725182A">
            <w:pPr>
              <w:spacing w:line="560" w:lineRule="exact"/>
              <w:jc w:val="center"/>
              <w:rPr>
                <w:rFonts w:hint="eastAsia"/>
                <w:sz w:val="28"/>
                <w:szCs w:val="28"/>
              </w:rPr>
            </w:pPr>
            <w:r>
              <w:rPr>
                <w:rFonts w:hint="eastAsia"/>
                <w:sz w:val="28"/>
                <w:szCs w:val="28"/>
              </w:rPr>
              <w:t>GB/T 1706-2006中7.2</w:t>
            </w:r>
          </w:p>
        </w:tc>
      </w:tr>
      <w:tr w14:paraId="6838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26DC4D9D">
            <w:pPr>
              <w:spacing w:line="560" w:lineRule="exact"/>
              <w:jc w:val="center"/>
              <w:rPr>
                <w:sz w:val="28"/>
                <w:szCs w:val="28"/>
              </w:rPr>
            </w:pPr>
            <w:r>
              <w:rPr>
                <w:sz w:val="28"/>
                <w:szCs w:val="28"/>
              </w:rPr>
              <w:t>4</w:t>
            </w:r>
          </w:p>
        </w:tc>
        <w:tc>
          <w:tcPr>
            <w:tcW w:w="3471" w:type="dxa"/>
            <w:noWrap w:val="0"/>
            <w:vAlign w:val="top"/>
          </w:tcPr>
          <w:p w14:paraId="1C4FAEA5">
            <w:pPr>
              <w:spacing w:line="560" w:lineRule="exact"/>
              <w:jc w:val="center"/>
              <w:rPr>
                <w:rFonts w:hint="eastAsia"/>
                <w:sz w:val="28"/>
                <w:szCs w:val="28"/>
              </w:rPr>
            </w:pPr>
            <w:r>
              <w:rPr>
                <w:rFonts w:hint="eastAsia"/>
                <w:sz w:val="28"/>
                <w:szCs w:val="28"/>
              </w:rPr>
              <w:t>经23±2℃及相对湿度(50±2℃)%预处理后,105℃挥发物</w:t>
            </w:r>
          </w:p>
        </w:tc>
        <w:tc>
          <w:tcPr>
            <w:tcW w:w="4681" w:type="dxa"/>
            <w:noWrap w:val="0"/>
            <w:vAlign w:val="top"/>
          </w:tcPr>
          <w:p w14:paraId="67B367BE">
            <w:pPr>
              <w:spacing w:line="560" w:lineRule="exact"/>
              <w:jc w:val="center"/>
              <w:rPr>
                <w:rFonts w:hint="eastAsia"/>
                <w:sz w:val="28"/>
                <w:szCs w:val="28"/>
              </w:rPr>
            </w:pPr>
            <w:r>
              <w:rPr>
                <w:rFonts w:hint="eastAsia"/>
                <w:sz w:val="28"/>
                <w:szCs w:val="28"/>
              </w:rPr>
              <w:t>GB/T 1706-2006中7.7</w:t>
            </w:r>
          </w:p>
        </w:tc>
      </w:tr>
      <w:tr w14:paraId="3878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31D3EADB">
            <w:pPr>
              <w:spacing w:line="560" w:lineRule="exact"/>
              <w:jc w:val="center"/>
              <w:rPr>
                <w:sz w:val="28"/>
                <w:szCs w:val="28"/>
              </w:rPr>
            </w:pPr>
            <w:r>
              <w:rPr>
                <w:sz w:val="28"/>
                <w:szCs w:val="28"/>
              </w:rPr>
              <w:t>5</w:t>
            </w:r>
          </w:p>
        </w:tc>
        <w:tc>
          <w:tcPr>
            <w:tcW w:w="3471" w:type="dxa"/>
            <w:noWrap w:val="0"/>
            <w:vAlign w:val="top"/>
          </w:tcPr>
          <w:p w14:paraId="7DE7FC17">
            <w:pPr>
              <w:spacing w:line="560" w:lineRule="exact"/>
              <w:jc w:val="center"/>
              <w:rPr>
                <w:rFonts w:hint="eastAsia"/>
              </w:rPr>
            </w:pPr>
            <w:r>
              <w:rPr>
                <w:rFonts w:hint="eastAsia"/>
                <w:sz w:val="28"/>
                <w:szCs w:val="28"/>
              </w:rPr>
              <w:t>水溶物</w:t>
            </w:r>
          </w:p>
        </w:tc>
        <w:tc>
          <w:tcPr>
            <w:tcW w:w="4681" w:type="dxa"/>
            <w:noWrap w:val="0"/>
            <w:vAlign w:val="top"/>
          </w:tcPr>
          <w:p w14:paraId="56160E32">
            <w:pPr>
              <w:spacing w:line="560" w:lineRule="exact"/>
              <w:jc w:val="center"/>
              <w:rPr>
                <w:sz w:val="28"/>
                <w:szCs w:val="28"/>
              </w:rPr>
            </w:pPr>
            <w:r>
              <w:rPr>
                <w:rFonts w:hint="eastAsia"/>
                <w:sz w:val="28"/>
                <w:szCs w:val="28"/>
              </w:rPr>
              <w:t>GB/T 1706-2006中7.3</w:t>
            </w:r>
          </w:p>
        </w:tc>
      </w:tr>
      <w:tr w14:paraId="59544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6DDD4AE3">
            <w:pPr>
              <w:spacing w:line="560" w:lineRule="exact"/>
              <w:jc w:val="center"/>
              <w:rPr>
                <w:sz w:val="28"/>
                <w:szCs w:val="28"/>
              </w:rPr>
            </w:pPr>
            <w:r>
              <w:rPr>
                <w:sz w:val="28"/>
                <w:szCs w:val="28"/>
              </w:rPr>
              <w:t>6</w:t>
            </w:r>
          </w:p>
        </w:tc>
        <w:tc>
          <w:tcPr>
            <w:tcW w:w="3471" w:type="dxa"/>
            <w:noWrap w:val="0"/>
            <w:vAlign w:val="center"/>
          </w:tcPr>
          <w:p w14:paraId="1816D2E4">
            <w:pPr>
              <w:spacing w:line="560" w:lineRule="exact"/>
              <w:jc w:val="center"/>
              <w:rPr>
                <w:sz w:val="28"/>
                <w:szCs w:val="28"/>
              </w:rPr>
            </w:pPr>
            <w:r>
              <w:rPr>
                <w:rFonts w:hint="eastAsia"/>
                <w:sz w:val="28"/>
                <w:szCs w:val="28"/>
              </w:rPr>
              <w:t>水悬浮液pH值</w:t>
            </w:r>
          </w:p>
        </w:tc>
        <w:tc>
          <w:tcPr>
            <w:tcW w:w="4681" w:type="dxa"/>
            <w:noWrap w:val="0"/>
            <w:vAlign w:val="center"/>
          </w:tcPr>
          <w:p w14:paraId="530E9EFB">
            <w:pPr>
              <w:spacing w:line="560" w:lineRule="exact"/>
              <w:jc w:val="center"/>
              <w:rPr>
                <w:sz w:val="28"/>
                <w:szCs w:val="28"/>
              </w:rPr>
            </w:pPr>
            <w:r>
              <w:rPr>
                <w:rFonts w:hint="eastAsia"/>
                <w:sz w:val="28"/>
                <w:szCs w:val="28"/>
              </w:rPr>
              <w:t>GB/T 1706-2006中7.8</w:t>
            </w:r>
          </w:p>
        </w:tc>
      </w:tr>
      <w:tr w14:paraId="5732F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1035AB5E">
            <w:pPr>
              <w:spacing w:line="560" w:lineRule="exact"/>
              <w:jc w:val="center"/>
              <w:rPr>
                <w:sz w:val="28"/>
                <w:szCs w:val="28"/>
              </w:rPr>
            </w:pPr>
            <w:r>
              <w:rPr>
                <w:sz w:val="28"/>
                <w:szCs w:val="28"/>
              </w:rPr>
              <w:t>7</w:t>
            </w:r>
          </w:p>
        </w:tc>
        <w:tc>
          <w:tcPr>
            <w:tcW w:w="3471" w:type="dxa"/>
            <w:noWrap w:val="0"/>
            <w:vAlign w:val="center"/>
          </w:tcPr>
          <w:p w14:paraId="7F6F518E">
            <w:pPr>
              <w:spacing w:line="560" w:lineRule="exact"/>
              <w:jc w:val="center"/>
              <w:rPr>
                <w:sz w:val="28"/>
                <w:szCs w:val="28"/>
              </w:rPr>
            </w:pPr>
            <w:r>
              <w:rPr>
                <w:rFonts w:hint="eastAsia"/>
                <w:sz w:val="28"/>
                <w:szCs w:val="28"/>
              </w:rPr>
              <w:t>吸油量</w:t>
            </w:r>
          </w:p>
        </w:tc>
        <w:tc>
          <w:tcPr>
            <w:tcW w:w="4681" w:type="dxa"/>
            <w:noWrap w:val="0"/>
            <w:vAlign w:val="center"/>
          </w:tcPr>
          <w:p w14:paraId="0615DCEF">
            <w:pPr>
              <w:spacing w:line="560" w:lineRule="exact"/>
              <w:jc w:val="center"/>
              <w:rPr>
                <w:sz w:val="28"/>
                <w:szCs w:val="28"/>
              </w:rPr>
            </w:pPr>
            <w:r>
              <w:rPr>
                <w:rFonts w:hint="eastAsia"/>
                <w:sz w:val="28"/>
                <w:szCs w:val="28"/>
              </w:rPr>
              <w:t>GB/T 1706-2006中7.9</w:t>
            </w:r>
          </w:p>
        </w:tc>
      </w:tr>
      <w:tr w14:paraId="79891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097E6C60">
            <w:pPr>
              <w:spacing w:line="560" w:lineRule="exact"/>
              <w:jc w:val="center"/>
              <w:rPr>
                <w:sz w:val="28"/>
                <w:szCs w:val="28"/>
              </w:rPr>
            </w:pPr>
            <w:r>
              <w:rPr>
                <w:rFonts w:hint="eastAsia"/>
                <w:sz w:val="28"/>
                <w:szCs w:val="28"/>
              </w:rPr>
              <w:t>8</w:t>
            </w:r>
          </w:p>
        </w:tc>
        <w:tc>
          <w:tcPr>
            <w:tcW w:w="3471" w:type="dxa"/>
            <w:noWrap w:val="0"/>
            <w:vAlign w:val="center"/>
          </w:tcPr>
          <w:p w14:paraId="055BF78F">
            <w:pPr>
              <w:spacing w:line="560" w:lineRule="exact"/>
              <w:jc w:val="center"/>
              <w:rPr>
                <w:sz w:val="28"/>
                <w:szCs w:val="28"/>
              </w:rPr>
            </w:pPr>
            <w:r>
              <w:rPr>
                <w:rFonts w:hint="eastAsia"/>
                <w:sz w:val="28"/>
                <w:szCs w:val="28"/>
              </w:rPr>
              <w:t>筛余物</w:t>
            </w:r>
          </w:p>
        </w:tc>
        <w:tc>
          <w:tcPr>
            <w:tcW w:w="4681" w:type="dxa"/>
            <w:noWrap w:val="0"/>
            <w:vAlign w:val="center"/>
          </w:tcPr>
          <w:p w14:paraId="0A9B25EF">
            <w:pPr>
              <w:spacing w:line="560" w:lineRule="exact"/>
              <w:jc w:val="center"/>
              <w:rPr>
                <w:sz w:val="28"/>
                <w:szCs w:val="28"/>
              </w:rPr>
            </w:pPr>
            <w:r>
              <w:rPr>
                <w:rFonts w:hint="eastAsia"/>
                <w:sz w:val="28"/>
                <w:szCs w:val="28"/>
              </w:rPr>
              <w:t>GB/T 1706-2006中7.4</w:t>
            </w:r>
          </w:p>
        </w:tc>
      </w:tr>
      <w:tr w14:paraId="53AB2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6F53DE89">
            <w:pPr>
              <w:spacing w:line="560" w:lineRule="exact"/>
              <w:jc w:val="center"/>
              <w:rPr>
                <w:sz w:val="28"/>
                <w:szCs w:val="28"/>
              </w:rPr>
            </w:pPr>
            <w:r>
              <w:rPr>
                <w:rFonts w:hint="eastAsia"/>
                <w:sz w:val="28"/>
                <w:szCs w:val="28"/>
              </w:rPr>
              <w:t>9</w:t>
            </w:r>
          </w:p>
        </w:tc>
        <w:tc>
          <w:tcPr>
            <w:tcW w:w="3471" w:type="dxa"/>
            <w:noWrap w:val="0"/>
            <w:vAlign w:val="center"/>
          </w:tcPr>
          <w:p w14:paraId="73D25492">
            <w:pPr>
              <w:spacing w:line="560" w:lineRule="exact"/>
              <w:jc w:val="center"/>
              <w:rPr>
                <w:sz w:val="28"/>
                <w:szCs w:val="28"/>
              </w:rPr>
            </w:pPr>
            <w:r>
              <w:rPr>
                <w:rFonts w:hint="eastAsia"/>
                <w:sz w:val="28"/>
                <w:szCs w:val="28"/>
              </w:rPr>
              <w:t>水萃取液电阻率</w:t>
            </w:r>
          </w:p>
        </w:tc>
        <w:tc>
          <w:tcPr>
            <w:tcW w:w="4681" w:type="dxa"/>
            <w:noWrap w:val="0"/>
            <w:vAlign w:val="center"/>
          </w:tcPr>
          <w:p w14:paraId="0DCC4CD9">
            <w:pPr>
              <w:spacing w:line="560" w:lineRule="exact"/>
              <w:jc w:val="center"/>
              <w:rPr>
                <w:sz w:val="28"/>
                <w:szCs w:val="28"/>
              </w:rPr>
            </w:pPr>
            <w:r>
              <w:rPr>
                <w:rFonts w:hint="eastAsia"/>
                <w:sz w:val="28"/>
                <w:szCs w:val="28"/>
              </w:rPr>
              <w:t>GB/T 1706-2006中7.10</w:t>
            </w:r>
          </w:p>
        </w:tc>
      </w:tr>
    </w:tbl>
    <w:p w14:paraId="36585843">
      <w:pPr>
        <w:spacing w:line="560" w:lineRule="exact"/>
        <w:ind w:firstLine="632"/>
      </w:pPr>
      <w:r>
        <w:rPr>
          <w:rFonts w:hint="eastAsia" w:ascii="仿宋_GB2312" w:hAnsi="仿宋_GB2312" w:cs="仿宋_GB2312"/>
          <w:szCs w:val="32"/>
        </w:rPr>
        <w:t>执行企业标准、团体标准、地方标准的产品，检验项目参照上述内容执行。</w:t>
      </w:r>
    </w:p>
    <w:p w14:paraId="583587A3">
      <w:pPr>
        <w:spacing w:line="560" w:lineRule="exact"/>
        <w:ind w:firstLine="540"/>
        <w:rPr>
          <w:szCs w:val="32"/>
        </w:rPr>
      </w:pPr>
      <w:r>
        <w:rPr>
          <w:szCs w:val="32"/>
        </w:rPr>
        <w:t>凡是注日期的文件，其随后所有的修改单（不包括勘误的内容）或修订版不适用于本细则。凡是不注日期的文件，其最新版本适用于本细则。</w:t>
      </w:r>
    </w:p>
    <w:p w14:paraId="0418B8A8">
      <w:pPr>
        <w:spacing w:line="560" w:lineRule="exact"/>
        <w:ind w:firstLine="632"/>
        <w:rPr>
          <w:rFonts w:eastAsia="黑体"/>
          <w:color w:val="000000"/>
          <w:szCs w:val="32"/>
        </w:rPr>
      </w:pPr>
      <w:r>
        <w:rPr>
          <w:rFonts w:eastAsia="黑体"/>
          <w:color w:val="000000"/>
          <w:szCs w:val="32"/>
        </w:rPr>
        <w:t>3 判定规则</w:t>
      </w:r>
    </w:p>
    <w:p w14:paraId="3867B3CC">
      <w:pPr>
        <w:spacing w:line="560" w:lineRule="exact"/>
        <w:ind w:firstLine="632"/>
        <w:rPr>
          <w:szCs w:val="32"/>
        </w:rPr>
      </w:pPr>
      <w:r>
        <w:rPr>
          <w:szCs w:val="32"/>
        </w:rPr>
        <w:t>3.1依据标准</w:t>
      </w:r>
    </w:p>
    <w:p w14:paraId="310B7A38">
      <w:pPr>
        <w:spacing w:line="560" w:lineRule="exact"/>
        <w:ind w:firstLine="632"/>
        <w:rPr>
          <w:szCs w:val="32"/>
        </w:rPr>
      </w:pPr>
      <w:r>
        <w:rPr>
          <w:szCs w:val="32"/>
        </w:rPr>
        <w:t>GB/T 1706-2006</w:t>
      </w:r>
      <w:r>
        <w:rPr>
          <w:rFonts w:hint="eastAsia"/>
          <w:szCs w:val="32"/>
        </w:rPr>
        <w:t xml:space="preserve"> 二氧化钛颜料</w:t>
      </w:r>
    </w:p>
    <w:p w14:paraId="21F565D7">
      <w:pPr>
        <w:spacing w:line="560" w:lineRule="exact"/>
        <w:ind w:firstLine="632"/>
        <w:rPr>
          <w:szCs w:val="32"/>
        </w:rPr>
      </w:pPr>
      <w:r>
        <w:rPr>
          <w:szCs w:val="32"/>
        </w:rPr>
        <w:t>现行有效的企业标准、团体标准、地方标准及产品明示质量要求</w:t>
      </w:r>
    </w:p>
    <w:p w14:paraId="3DF90166">
      <w:pPr>
        <w:spacing w:line="560" w:lineRule="exact"/>
        <w:ind w:firstLine="632"/>
        <w:rPr>
          <w:szCs w:val="32"/>
        </w:rPr>
      </w:pPr>
      <w:r>
        <w:rPr>
          <w:szCs w:val="32"/>
        </w:rPr>
        <w:t>3.2判定原则</w:t>
      </w:r>
    </w:p>
    <w:p w14:paraId="59DCC3B4">
      <w:pPr>
        <w:spacing w:line="560" w:lineRule="exact"/>
        <w:ind w:firstLine="632"/>
        <w:rPr>
          <w:color w:val="000000"/>
          <w:szCs w:val="32"/>
        </w:rPr>
      </w:pPr>
      <w:r>
        <w:rPr>
          <w:color w:val="000000"/>
          <w:szCs w:val="32"/>
        </w:rPr>
        <w:t>经检验，检验项目全部合格，判定为被抽查产品所检项目未发现不合格；检验项目中任一项或一项以上不合格，判定为被抽查产品不合格。</w:t>
      </w:r>
    </w:p>
    <w:p w14:paraId="4C4598A5">
      <w:pPr>
        <w:spacing w:line="560" w:lineRule="exact"/>
        <w:ind w:firstLine="629"/>
        <w:rPr>
          <w:color w:val="000000"/>
          <w:szCs w:val="32"/>
        </w:rPr>
      </w:pPr>
      <w:r>
        <w:rPr>
          <w:color w:val="000000"/>
          <w:szCs w:val="32"/>
        </w:rPr>
        <w:t>若被检产品明示的质量要求高于本细则中检验项目依据的标准要求时，应按被检产品明示的质量要求判定。</w:t>
      </w:r>
    </w:p>
    <w:p w14:paraId="5094D23C">
      <w:pPr>
        <w:spacing w:line="560" w:lineRule="exact"/>
        <w:ind w:firstLine="629"/>
        <w:rPr>
          <w:color w:val="000000"/>
          <w:szCs w:val="32"/>
        </w:rPr>
      </w:pPr>
      <w:r>
        <w:rPr>
          <w:color w:val="000000"/>
          <w:szCs w:val="32"/>
        </w:rPr>
        <w:t>若被检产品明示的质量要求低于本细则中检验项目依据的强制性标准要求时，应按照强制性标准要求判定。</w:t>
      </w:r>
    </w:p>
    <w:p w14:paraId="3F96DE10">
      <w:pPr>
        <w:spacing w:line="560" w:lineRule="exact"/>
        <w:ind w:firstLine="629"/>
        <w:rPr>
          <w:color w:val="000000"/>
          <w:szCs w:val="32"/>
        </w:rPr>
      </w:pPr>
      <w:r>
        <w:rPr>
          <w:color w:val="000000"/>
          <w:szCs w:val="32"/>
        </w:rPr>
        <w:t>若被检产品明示的质量要求低于或包含本细则中检验项目依据的推荐性标准要求时，应以被检产品明示的质量要求判定。</w:t>
      </w:r>
    </w:p>
    <w:p w14:paraId="258861E1">
      <w:pPr>
        <w:spacing w:line="560" w:lineRule="exact"/>
        <w:ind w:firstLine="629"/>
        <w:rPr>
          <w:color w:val="000000"/>
          <w:szCs w:val="32"/>
        </w:rPr>
      </w:pPr>
      <w:r>
        <w:rPr>
          <w:color w:val="000000"/>
          <w:szCs w:val="32"/>
        </w:rPr>
        <w:t>若被检产品明示的质量要求缺少本细则中检验项目依据的强制性标准要求时，应按照强制性标准要求判定。</w:t>
      </w:r>
    </w:p>
    <w:p w14:paraId="18069B8A">
      <w:pPr>
        <w:spacing w:line="560" w:lineRule="exact"/>
        <w:ind w:firstLine="629"/>
        <w:rPr>
          <w:color w:val="000000"/>
          <w:szCs w:val="32"/>
        </w:rPr>
      </w:pPr>
      <w:r>
        <w:rPr>
          <w:color w:val="000000"/>
          <w:szCs w:val="32"/>
        </w:rPr>
        <w:t>若被检产品明示的质量要求缺少本细则中检验项目依据的推荐性标准要求时，该项目不参与判定。</w:t>
      </w:r>
    </w:p>
    <w:p w14:paraId="5FEC6078">
      <w:pPr>
        <w:spacing w:line="580" w:lineRule="exact"/>
        <w:ind w:right="130" w:firstLine="7311"/>
        <w:rPr>
          <w:rFonts w:hint="eastAsia"/>
          <w:color w:val="000000"/>
          <w:sz w:val="28"/>
          <w:szCs w:val="30"/>
        </w:rPr>
      </w:pPr>
    </w:p>
    <w:p w14:paraId="411A1EA5">
      <w:pPr>
        <w:spacing w:line="580" w:lineRule="exact"/>
        <w:ind w:right="130" w:firstLine="7311"/>
        <w:rPr>
          <w:rFonts w:hint="eastAsia"/>
          <w:color w:val="000000"/>
          <w:sz w:val="28"/>
          <w:szCs w:val="30"/>
        </w:rPr>
      </w:pPr>
    </w:p>
    <w:p w14:paraId="3FA2B03B">
      <w:pPr>
        <w:spacing w:line="580" w:lineRule="exact"/>
        <w:ind w:right="130" w:firstLine="7311"/>
        <w:rPr>
          <w:rFonts w:hint="eastAsia"/>
          <w:color w:val="000000"/>
          <w:sz w:val="28"/>
          <w:szCs w:val="30"/>
        </w:rPr>
      </w:pPr>
    </w:p>
    <w:p w14:paraId="3E40B9B7">
      <w:pPr>
        <w:spacing w:line="580" w:lineRule="exact"/>
        <w:ind w:right="130" w:firstLine="7311"/>
        <w:rPr>
          <w:rFonts w:hint="eastAsia"/>
          <w:color w:val="000000"/>
          <w:sz w:val="28"/>
          <w:szCs w:val="30"/>
        </w:rPr>
      </w:pPr>
    </w:p>
    <w:p w14:paraId="45FC42A8">
      <w:pPr>
        <w:spacing w:line="580" w:lineRule="exact"/>
        <w:ind w:right="130" w:firstLine="7311"/>
        <w:rPr>
          <w:rFonts w:hint="eastAsia"/>
          <w:color w:val="000000"/>
          <w:sz w:val="28"/>
          <w:szCs w:val="30"/>
        </w:rPr>
      </w:pPr>
    </w:p>
    <w:p w14:paraId="4E11DD31">
      <w:pPr>
        <w:spacing w:line="580" w:lineRule="exact"/>
        <w:ind w:right="130" w:firstLine="7311"/>
        <w:rPr>
          <w:rFonts w:hint="eastAsia"/>
          <w:color w:val="000000"/>
          <w:sz w:val="28"/>
          <w:szCs w:val="30"/>
        </w:rPr>
      </w:pPr>
    </w:p>
    <w:p w14:paraId="3F2DAA2D">
      <w:pPr>
        <w:spacing w:line="580" w:lineRule="exact"/>
        <w:ind w:right="130" w:firstLine="7311"/>
        <w:rPr>
          <w:rFonts w:hint="eastAsia"/>
          <w:color w:val="000000"/>
          <w:sz w:val="28"/>
          <w:szCs w:val="30"/>
        </w:rPr>
      </w:pPr>
    </w:p>
    <w:p w14:paraId="1724A77F">
      <w:pPr>
        <w:spacing w:line="580" w:lineRule="exact"/>
        <w:ind w:right="130" w:firstLine="7311"/>
        <w:rPr>
          <w:rFonts w:hint="eastAsia"/>
          <w:color w:val="000000"/>
          <w:sz w:val="28"/>
          <w:szCs w:val="30"/>
        </w:rPr>
      </w:pPr>
    </w:p>
    <w:p w14:paraId="392EE44D">
      <w:pPr>
        <w:spacing w:line="580" w:lineRule="exact"/>
        <w:ind w:right="130" w:firstLine="7311"/>
        <w:rPr>
          <w:rFonts w:hint="eastAsia"/>
          <w:color w:val="000000"/>
          <w:sz w:val="28"/>
          <w:szCs w:val="30"/>
        </w:rPr>
      </w:pPr>
    </w:p>
    <w:p w14:paraId="5394564F">
      <w:pPr>
        <w:spacing w:line="580" w:lineRule="exact"/>
        <w:ind w:right="130" w:firstLine="7311"/>
        <w:rPr>
          <w:rFonts w:hint="eastAsia"/>
          <w:color w:val="000000"/>
          <w:sz w:val="28"/>
          <w:szCs w:val="30"/>
        </w:rPr>
      </w:pPr>
    </w:p>
    <w:p w14:paraId="41274360">
      <w:pPr>
        <w:spacing w:line="580" w:lineRule="exact"/>
        <w:ind w:right="130" w:firstLine="7311"/>
        <w:rPr>
          <w:rFonts w:hint="eastAsia"/>
          <w:color w:val="000000"/>
          <w:sz w:val="28"/>
          <w:szCs w:val="30"/>
        </w:rPr>
      </w:pPr>
    </w:p>
    <w:p w14:paraId="18CD64BA">
      <w:pPr>
        <w:spacing w:line="580" w:lineRule="exact"/>
        <w:ind w:right="130" w:firstLine="7311"/>
        <w:rPr>
          <w:rFonts w:hint="eastAsia"/>
          <w:color w:val="000000"/>
          <w:sz w:val="28"/>
          <w:szCs w:val="30"/>
        </w:rPr>
      </w:pPr>
    </w:p>
    <w:p w14:paraId="19554A62">
      <w:pPr>
        <w:spacing w:line="580" w:lineRule="exact"/>
        <w:ind w:right="130" w:firstLine="7311"/>
        <w:rPr>
          <w:rFonts w:hint="eastAsia"/>
          <w:color w:val="000000"/>
          <w:sz w:val="28"/>
          <w:szCs w:val="30"/>
        </w:rPr>
      </w:pPr>
    </w:p>
    <w:p w14:paraId="5403168C">
      <w:pPr>
        <w:spacing w:line="580" w:lineRule="exact"/>
        <w:ind w:right="130" w:firstLine="7311"/>
        <w:rPr>
          <w:rFonts w:hint="eastAsia"/>
          <w:color w:val="000000"/>
          <w:sz w:val="28"/>
          <w:szCs w:val="30"/>
        </w:rPr>
      </w:pPr>
    </w:p>
    <w:p w14:paraId="5486F3FD">
      <w:pPr>
        <w:spacing w:line="580" w:lineRule="exact"/>
        <w:ind w:right="130" w:firstLine="7311"/>
        <w:rPr>
          <w:rFonts w:hint="eastAsia"/>
          <w:color w:val="000000"/>
          <w:sz w:val="28"/>
          <w:szCs w:val="30"/>
        </w:rPr>
      </w:pPr>
    </w:p>
    <w:p w14:paraId="42E53E28">
      <w:pPr>
        <w:spacing w:line="580" w:lineRule="exact"/>
        <w:ind w:right="130" w:firstLine="7311"/>
        <w:rPr>
          <w:rFonts w:hint="eastAsia"/>
          <w:color w:val="000000"/>
          <w:sz w:val="28"/>
          <w:szCs w:val="30"/>
        </w:rPr>
      </w:pPr>
    </w:p>
    <w:p w14:paraId="1E908184">
      <w:pPr>
        <w:spacing w:line="580" w:lineRule="exact"/>
        <w:ind w:right="130" w:firstLine="7311"/>
        <w:rPr>
          <w:rFonts w:hint="eastAsia"/>
          <w:color w:val="000000"/>
          <w:sz w:val="28"/>
          <w:szCs w:val="30"/>
        </w:rPr>
      </w:pPr>
    </w:p>
    <w:sectPr>
      <w:footerReference r:id="rId3" w:type="default"/>
      <w:pgSz w:w="11907" w:h="16840" w:orient="landscape"/>
      <w:pgMar w:top="2098" w:right="1474" w:bottom="1701" w:left="1588" w:header="851" w:footer="11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907D">
    <w:pPr>
      <w:pStyle w:val="189"/>
      <w:tabs>
        <w:tab w:val="left" w:pos="8520"/>
        <w:tab w:val="left" w:pos="8820"/>
        <w:tab w:val="clear" w:pos="8306"/>
      </w:tabs>
      <w:spacing w:line="300" w:lineRule="exact"/>
      <w:ind w:right="374" w:firstLine="29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14:paraId="68250E9B">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sz w:val="28"/>
                              <w:szCs w:val="28"/>
                            </w:rPr>
                            <w:t xml:space="preserve"> —</w:t>
                          </w:r>
                        </w:p>
                        <w:p w14:paraId="05DF9621"/>
                      </w:txbxContent>
                    </wps:txbx>
                    <wps:bodyPr wrap="none" lIns="0" tIns="0" rIns="0" bIns="0" upright="1">
                      <a:spAutoFit/>
                    </wps:bodyPr>
                  </wps:wsp>
                </a:graphicData>
              </a:graphic>
            </wp:anchor>
          </w:drawing>
        </mc:Choice>
        <mc:Fallback>
          <w:pict>
            <v:shape id="_x0000_s205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TO3Ocs8BAACyAwAADgAAAAAAAAABACAAAAAiAQAA&#10;ZHJzL2Uyb0RvYy54bWxQSwUGAAAAAAYABgBZAQAAYwUAAAAA&#10;">
              <v:fill on="f" focussize="0,0"/>
              <v:stroke on="f" weight="1.25pt"/>
              <v:imagedata o:title=""/>
              <o:lock v:ext="edit" aspectratio="f"/>
              <v:textbox inset="0mm,0mm,0mm,0mm" style="mso-fit-shape-to-text:t;">
                <w:txbxContent>
                  <w:p w14:paraId="68250E9B">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sz w:val="28"/>
                        <w:szCs w:val="28"/>
                      </w:rPr>
                      <w:t xml:space="preserve"> —</w:t>
                    </w:r>
                  </w:p>
                  <w:p w14:paraId="05DF9621"/>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35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4"/>
    <w:qFormat/>
    <w:uiPriority w:val="0"/>
    <w:pPr>
      <w:widowControl w:val="0"/>
      <w:jc w:val="both"/>
    </w:pPr>
    <w:rPr>
      <w:rFonts w:hint="default" w:ascii="Times New Roman" w:hAnsi="Times New Roman" w:eastAsia="仿宋_GB2312" w:cs="Times New Roman"/>
      <w:sz w:val="32"/>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qFormat/>
    <w:uiPriority w:val="0"/>
    <w:pPr>
      <w:jc w:val="center"/>
      <w:outlineLvl w:val="0"/>
    </w:pPr>
    <w:rPr>
      <w:rFonts w:ascii="方正小标宋简体" w:eastAsia="方正小标宋简体"/>
      <w:sz w:val="38"/>
    </w:rPr>
  </w:style>
  <w:style w:type="paragraph" w:customStyle="1" w:styleId="183">
    <w:name w:val="标题 21"/>
    <w:basedOn w:val="1"/>
    <w:next w:val="1"/>
    <w:qFormat/>
    <w:uiPriority w:val="0"/>
    <w:pPr>
      <w:keepNext/>
      <w:keepLines/>
      <w:spacing w:line="600" w:lineRule="exact"/>
      <w:outlineLvl w:val="1"/>
    </w:pPr>
    <w:rPr>
      <w:rFonts w:ascii="Arial" w:hAnsi="Arial" w:eastAsia="黑体"/>
      <w:sz w:val="30"/>
    </w:rPr>
  </w:style>
  <w:style w:type="paragraph" w:customStyle="1" w:styleId="184">
    <w:name w:val="标题 31"/>
    <w:basedOn w:val="1"/>
    <w:next w:val="1"/>
    <w:qFormat/>
    <w:uiPriority w:val="0"/>
    <w:pPr>
      <w:keepNext/>
      <w:keepLines/>
      <w:spacing w:line="600" w:lineRule="exact"/>
      <w:outlineLvl w:val="2"/>
    </w:pPr>
    <w:rPr>
      <w:rFonts w:eastAsia="楷体_GB2312"/>
      <w:b/>
      <w:sz w:val="30"/>
    </w:rPr>
  </w:style>
  <w:style w:type="character" w:customStyle="1" w:styleId="185">
    <w:name w:val="默认段落字体1"/>
    <w:link w:val="1"/>
    <w:qFormat/>
    <w:uiPriority w:val="0"/>
  </w:style>
  <w:style w:type="table" w:customStyle="1" w:styleId="186">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7">
    <w:name w:val="纯文本1"/>
    <w:unhideWhenUsed/>
    <w:qFormat/>
    <w:uiPriority w:val="99"/>
    <w:pPr>
      <w:widowControl w:val="0"/>
      <w:jc w:val="both"/>
    </w:pPr>
    <w:rPr>
      <w:rFonts w:hint="default" w:ascii="宋体" w:hAnsi="Courier New" w:eastAsia="宋体" w:cs="Times New Roman"/>
      <w:sz w:val="32"/>
      <w:szCs w:val="21"/>
      <w:lang w:val="en-US" w:eastAsia="zh-CN" w:bidi="ar-SA"/>
    </w:rPr>
  </w:style>
  <w:style w:type="paragraph" w:customStyle="1" w:styleId="188">
    <w:name w:val="日期1"/>
    <w:basedOn w:val="1"/>
    <w:next w:val="1"/>
    <w:qFormat/>
    <w:uiPriority w:val="0"/>
    <w:pPr>
      <w:spacing w:line="600" w:lineRule="exact"/>
      <w:ind w:left="4253"/>
    </w:pPr>
    <w:rPr>
      <w:sz w:val="30"/>
    </w:rPr>
  </w:style>
  <w:style w:type="paragraph" w:customStyle="1" w:styleId="189">
    <w:name w:val="页脚1"/>
    <w:basedOn w:val="1"/>
    <w:qFormat/>
    <w:uiPriority w:val="0"/>
    <w:pPr>
      <w:tabs>
        <w:tab w:val="center" w:pos="4153"/>
        <w:tab w:val="right" w:pos="8306"/>
      </w:tabs>
      <w:jc w:val="left"/>
    </w:pPr>
    <w:rPr>
      <w:sz w:val="18"/>
    </w:rPr>
  </w:style>
  <w:style w:type="paragraph" w:customStyle="1" w:styleId="190">
    <w:name w:val="页眉1"/>
    <w:basedOn w:val="1"/>
    <w:qFormat/>
    <w:uiPriority w:val="0"/>
    <w:pPr>
      <w:pBdr>
        <w:bottom w:val="single" w:color="000000" w:sz="6" w:space="1"/>
      </w:pBdr>
      <w:tabs>
        <w:tab w:val="center" w:pos="4153"/>
        <w:tab w:val="right" w:pos="8306"/>
      </w:tabs>
      <w:spacing w:line="240" w:lineRule="atLeast"/>
      <w:jc w:val="center"/>
    </w:pPr>
    <w:rPr>
      <w:sz w:val="18"/>
    </w:rPr>
  </w:style>
  <w:style w:type="paragraph" w:customStyle="1" w:styleId="191">
    <w:name w:val="签名1"/>
    <w:basedOn w:val="1"/>
    <w:qFormat/>
    <w:uiPriority w:val="0"/>
    <w:pPr>
      <w:spacing w:line="600" w:lineRule="exact"/>
      <w:ind w:left="4253"/>
    </w:pPr>
    <w:rPr>
      <w:sz w:val="30"/>
    </w:rPr>
  </w:style>
  <w:style w:type="table" w:customStyle="1" w:styleId="192">
    <w:name w:val="网格型1"/>
    <w:unhideWhenUsed/>
    <w:qFormat/>
    <w:uiPriority w:val="99"/>
    <w:pPr>
      <w:widowControl w:val="0"/>
      <w:jc w:val="both"/>
    </w:pPr>
    <w:rPr>
      <w:lang w:val="en-US" w:eastAsia="zh-CN" w:bidi="ar-SA"/>
    </w:r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93">
    <w:name w:val="页码1"/>
    <w:link w:val="1"/>
    <w:qFormat/>
    <w:uiPriority w:val="0"/>
  </w:style>
  <w:style w:type="character" w:customStyle="1" w:styleId="194">
    <w:name w:val="font111"/>
    <w:link w:val="1"/>
    <w:qFormat/>
    <w:uiPriority w:val="0"/>
    <w:rPr>
      <w:rFonts w:hint="eastAsia" w:ascii="仿宋" w:hAnsi="仿宋" w:eastAsia="仿宋" w:cs="仿宋"/>
      <w:color w:val="000000"/>
      <w:sz w:val="28"/>
      <w:szCs w:val="28"/>
      <w:u w:val="none"/>
    </w:rPr>
  </w:style>
  <w:style w:type="paragraph" w:customStyle="1" w:styleId="195">
    <w:name w:val="主题词"/>
    <w:basedOn w:val="1"/>
    <w:qFormat/>
    <w:uiPriority w:val="0"/>
    <w:pPr>
      <w:spacing w:after="156" w:afterAutospacing="0"/>
    </w:pPr>
    <w:rPr>
      <w:rFonts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gdgsj</Company>
  <Pages>3</Pages>
  <Words>692</Words>
  <Characters>848</Characters>
  <TotalTime>0</TotalTime>
  <ScaleCrop>false</ScaleCrop>
  <LinksUpToDate>false</LinksUpToDate>
  <CharactersWithSpaces>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2025-07-11T01:32:00Z</dcterms:created>
  <dc:creator>Administrator</dc:creator>
  <cp:lastModifiedBy>刘金棠</cp:lastModifiedBy>
  <dcterms:modified xsi:type="dcterms:W3CDTF">2025-07-23T07:06:55Z</dcterms:modified>
  <dc:title>广东省市场监督管理局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eyJoZGlkIjoiYTljNmExOTYxMTg0MTAzZTI2YThhOWQ3ZmRjMzUxODIifQ==</vt:lpwstr>
  </property>
  <property fmtid="{D5CDD505-2E9C-101B-9397-08002B2CF9AE}" pid="3" name="KSOProductBuildVer">
    <vt:lpwstr>2052-12.1.0.21541</vt:lpwstr>
  </property>
  <property fmtid="{D5CDD505-2E9C-101B-9397-08002B2CF9AE}" pid="4" name="ICV">
    <vt:lpwstr>BDADD68B0A1B41E3B51A1D5BEC7A1EBA_12</vt:lpwstr>
  </property>
</Properties>
</file>