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3774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w:t>
      </w:r>
      <w:r>
        <w:rPr>
          <w:rFonts w:hint="eastAsia" w:eastAsia="方正小标宋简体"/>
          <w:color w:val="000000"/>
          <w:sz w:val="44"/>
        </w:rPr>
        <w:t>人造合成石材</w:t>
      </w:r>
      <w:r>
        <w:rPr>
          <w:rFonts w:hint="eastAsia" w:ascii="方正小标宋简体" w:hAnsi="方正小标宋简体" w:eastAsia="方正小标宋简体" w:cs="方正小标宋简体"/>
          <w:sz w:val="44"/>
          <w:szCs w:val="44"/>
        </w:rPr>
        <w:t>产品质量监督抽查</w:t>
      </w:r>
    </w:p>
    <w:p w14:paraId="1A3C752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w:t>
      </w:r>
    </w:p>
    <w:p w14:paraId="7AE6B1B6">
      <w:pPr>
        <w:spacing w:line="560" w:lineRule="exact"/>
        <w:jc w:val="center"/>
        <w:rPr>
          <w:rFonts w:eastAsia="楷体_GB2312"/>
          <w:szCs w:val="32"/>
        </w:rPr>
      </w:pPr>
      <w:r>
        <w:rPr>
          <w:rFonts w:eastAsia="楷体_GB2312"/>
          <w:szCs w:val="32"/>
        </w:rPr>
        <w:t>（202</w:t>
      </w:r>
      <w:r>
        <w:rPr>
          <w:rFonts w:hint="eastAsia" w:eastAsia="楷体_GB2312"/>
          <w:szCs w:val="32"/>
        </w:rPr>
        <w:t>5</w:t>
      </w:r>
      <w:r>
        <w:rPr>
          <w:rFonts w:eastAsia="楷体_GB2312"/>
          <w:szCs w:val="32"/>
        </w:rPr>
        <w:t>年版）</w:t>
      </w:r>
    </w:p>
    <w:p w14:paraId="2FF96352">
      <w:pPr>
        <w:spacing w:line="560" w:lineRule="exact"/>
        <w:rPr>
          <w:rFonts w:ascii="黑体" w:hAnsi="黑体" w:eastAsia="黑体" w:cs="黑体"/>
          <w:bCs/>
          <w:spacing w:val="-6"/>
          <w:szCs w:val="32"/>
        </w:rPr>
      </w:pPr>
      <w:bookmarkStart w:id="1" w:name="_GoBack"/>
      <w:bookmarkEnd w:id="1"/>
    </w:p>
    <w:p w14:paraId="713C57CD">
      <w:pPr>
        <w:snapToGrid w:val="0"/>
        <w:spacing w:line="560" w:lineRule="exact"/>
        <w:ind w:firstLine="640" w:firstLineChars="200"/>
        <w:rPr>
          <w:rFonts w:eastAsia="黑体"/>
          <w:szCs w:val="32"/>
        </w:rPr>
      </w:pPr>
      <w:r>
        <w:rPr>
          <w:rFonts w:eastAsia="黑体"/>
          <w:szCs w:val="32"/>
        </w:rPr>
        <w:t>1 抽样方法</w:t>
      </w:r>
    </w:p>
    <w:p w14:paraId="11B4EE1D">
      <w:pPr>
        <w:snapToGrid w:val="0"/>
        <w:spacing w:line="560" w:lineRule="exact"/>
        <w:ind w:firstLine="640" w:firstLineChars="200"/>
        <w:rPr>
          <w:szCs w:val="32"/>
        </w:rPr>
      </w:pPr>
      <w:r>
        <w:rPr>
          <w:rFonts w:hint="eastAsia"/>
          <w:szCs w:val="32"/>
        </w:rPr>
        <w:t>以随机抽样的方式在被抽样生产者、销售者的待销产品中抽取。</w:t>
      </w:r>
    </w:p>
    <w:p w14:paraId="5BE0C2A2">
      <w:pPr>
        <w:snapToGrid w:val="0"/>
        <w:spacing w:line="560" w:lineRule="exact"/>
        <w:ind w:firstLine="640" w:firstLineChars="200"/>
        <w:rPr>
          <w:szCs w:val="32"/>
        </w:rPr>
      </w:pPr>
      <w:r>
        <w:rPr>
          <w:rFonts w:hint="eastAsia"/>
          <w:szCs w:val="32"/>
        </w:rPr>
        <w:t>随机数一般可使用随机数表等方法产生。</w:t>
      </w:r>
    </w:p>
    <w:p w14:paraId="4B2442ED">
      <w:pPr>
        <w:snapToGrid w:val="0"/>
        <w:spacing w:line="560" w:lineRule="exact"/>
        <w:ind w:firstLine="640" w:firstLineChars="200"/>
        <w:rPr>
          <w:szCs w:val="32"/>
        </w:rPr>
      </w:pPr>
      <w:r>
        <w:rPr>
          <w:rFonts w:hint="eastAsia"/>
          <w:szCs w:val="32"/>
        </w:rPr>
        <w:t>每批次产品抽取样品2组。其中，1组作为检验样品，检验样由抽样机构带回或寄送至检验机构；1组作为备用样品，备样封存在被抽查企业。现场抽样样品见下表1。</w:t>
      </w:r>
    </w:p>
    <w:p w14:paraId="6B88627C">
      <w:pPr>
        <w:snapToGrid w:val="0"/>
        <w:spacing w:line="560" w:lineRule="exact"/>
        <w:ind w:firstLine="640" w:firstLineChars="200"/>
        <w:jc w:val="center"/>
        <w:rPr>
          <w:szCs w:val="32"/>
        </w:rPr>
      </w:pPr>
      <w:r>
        <w:rPr>
          <w:szCs w:val="32"/>
        </w:rPr>
        <w:t>表1  石材产品抽样样品表</w:t>
      </w:r>
    </w:p>
    <w:tbl>
      <w:tblPr>
        <w:tblStyle w:val="5"/>
        <w:tblW w:w="9140" w:type="dxa"/>
        <w:tblInd w:w="93" w:type="dxa"/>
        <w:tblLayout w:type="autofit"/>
        <w:tblCellMar>
          <w:top w:w="0" w:type="dxa"/>
          <w:left w:w="108" w:type="dxa"/>
          <w:bottom w:w="0" w:type="dxa"/>
          <w:right w:w="108" w:type="dxa"/>
        </w:tblCellMar>
      </w:tblPr>
      <w:tblGrid>
        <w:gridCol w:w="1291"/>
        <w:gridCol w:w="4394"/>
        <w:gridCol w:w="3455"/>
      </w:tblGrid>
      <w:tr w14:paraId="7111229C">
        <w:tblPrEx>
          <w:tblCellMar>
            <w:top w:w="0" w:type="dxa"/>
            <w:left w:w="108" w:type="dxa"/>
            <w:bottom w:w="0" w:type="dxa"/>
            <w:right w:w="108" w:type="dxa"/>
          </w:tblCellMar>
        </w:tblPrEx>
        <w:trPr>
          <w:trHeight w:val="660"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7E8AECC1">
            <w:pPr>
              <w:widowControl/>
              <w:jc w:val="center"/>
              <w:rPr>
                <w:rFonts w:hint="eastAsia" w:ascii="仿宋_GB2312" w:hAnsi="宋体" w:cs="宋体"/>
                <w:kern w:val="0"/>
                <w:szCs w:val="32"/>
              </w:rPr>
            </w:pPr>
            <w:r>
              <w:rPr>
                <w:rFonts w:hint="eastAsia" w:ascii="仿宋_GB2312" w:hAnsi="宋体" w:cs="宋体"/>
                <w:kern w:val="0"/>
                <w:szCs w:val="32"/>
              </w:rPr>
              <w:t>产品</w:t>
            </w:r>
          </w:p>
          <w:p w14:paraId="28D6BA96">
            <w:pPr>
              <w:widowControl/>
              <w:jc w:val="center"/>
              <w:rPr>
                <w:rFonts w:hint="eastAsia" w:ascii="仿宋_GB2312" w:hAnsi="宋体" w:cs="宋体"/>
                <w:kern w:val="0"/>
                <w:szCs w:val="32"/>
              </w:rPr>
            </w:pPr>
            <w:r>
              <w:rPr>
                <w:rFonts w:hint="eastAsia" w:ascii="仿宋_GB2312" w:hAnsi="宋体" w:cs="宋体"/>
                <w:kern w:val="0"/>
                <w:szCs w:val="32"/>
              </w:rPr>
              <w:t>种类</w:t>
            </w:r>
          </w:p>
        </w:tc>
        <w:tc>
          <w:tcPr>
            <w:tcW w:w="4394" w:type="dxa"/>
            <w:tcBorders>
              <w:top w:val="single" w:color="auto" w:sz="4" w:space="0"/>
              <w:left w:val="nil"/>
              <w:bottom w:val="single" w:color="auto" w:sz="4" w:space="0"/>
              <w:right w:val="single" w:color="auto" w:sz="4" w:space="0"/>
            </w:tcBorders>
            <w:shd w:val="clear" w:color="auto" w:fill="auto"/>
            <w:vAlign w:val="center"/>
          </w:tcPr>
          <w:p w14:paraId="589CAE19">
            <w:pPr>
              <w:widowControl/>
              <w:jc w:val="center"/>
              <w:rPr>
                <w:rFonts w:hint="eastAsia" w:ascii="仿宋_GB2312" w:hAnsi="宋体" w:cs="宋体"/>
                <w:color w:val="000000"/>
                <w:kern w:val="0"/>
                <w:szCs w:val="32"/>
              </w:rPr>
            </w:pPr>
            <w:r>
              <w:rPr>
                <w:rFonts w:hint="eastAsia" w:ascii="仿宋_GB2312" w:hAnsi="宋体" w:cs="宋体"/>
                <w:color w:val="000000"/>
                <w:kern w:val="0"/>
                <w:szCs w:val="32"/>
              </w:rPr>
              <w:t>抽样数量</w:t>
            </w:r>
          </w:p>
        </w:tc>
        <w:tc>
          <w:tcPr>
            <w:tcW w:w="3455" w:type="dxa"/>
            <w:tcBorders>
              <w:top w:val="single" w:color="auto" w:sz="4" w:space="0"/>
              <w:left w:val="nil"/>
              <w:bottom w:val="single" w:color="auto" w:sz="4" w:space="0"/>
              <w:right w:val="single" w:color="auto" w:sz="4" w:space="0"/>
            </w:tcBorders>
            <w:shd w:val="clear" w:color="auto" w:fill="auto"/>
            <w:vAlign w:val="center"/>
          </w:tcPr>
          <w:p w14:paraId="6246D31B">
            <w:pPr>
              <w:widowControl/>
              <w:jc w:val="center"/>
              <w:rPr>
                <w:rFonts w:hint="eastAsia" w:ascii="仿宋_GB2312" w:hAnsi="宋体" w:cs="宋体"/>
                <w:color w:val="000000"/>
                <w:kern w:val="0"/>
                <w:szCs w:val="32"/>
              </w:rPr>
            </w:pPr>
            <w:r>
              <w:rPr>
                <w:rFonts w:hint="eastAsia" w:ascii="仿宋_GB2312" w:hAnsi="宋体" w:cs="宋体"/>
                <w:color w:val="000000"/>
                <w:kern w:val="0"/>
                <w:szCs w:val="32"/>
              </w:rPr>
              <w:t>检验样品数量/</w:t>
            </w:r>
          </w:p>
          <w:p w14:paraId="311F3C1E">
            <w:pPr>
              <w:widowControl/>
              <w:jc w:val="center"/>
              <w:rPr>
                <w:rFonts w:hint="eastAsia" w:ascii="仿宋_GB2312" w:hAnsi="宋体" w:cs="宋体"/>
                <w:color w:val="000000"/>
                <w:kern w:val="0"/>
                <w:szCs w:val="32"/>
              </w:rPr>
            </w:pPr>
            <w:r>
              <w:rPr>
                <w:rFonts w:hint="eastAsia" w:ascii="仿宋_GB2312" w:hAnsi="宋体" w:cs="宋体"/>
                <w:color w:val="000000"/>
                <w:kern w:val="0"/>
                <w:szCs w:val="32"/>
              </w:rPr>
              <w:t>备用样品数量</w:t>
            </w:r>
          </w:p>
        </w:tc>
      </w:tr>
      <w:tr w14:paraId="5FA08B77">
        <w:tblPrEx>
          <w:tblCellMar>
            <w:top w:w="0" w:type="dxa"/>
            <w:left w:w="108" w:type="dxa"/>
            <w:bottom w:w="0" w:type="dxa"/>
            <w:right w:w="108" w:type="dxa"/>
          </w:tblCellMar>
        </w:tblPrEx>
        <w:trPr>
          <w:trHeight w:val="960" w:hRule="atLeast"/>
        </w:trPr>
        <w:tc>
          <w:tcPr>
            <w:tcW w:w="1291" w:type="dxa"/>
            <w:vMerge w:val="restart"/>
            <w:tcBorders>
              <w:top w:val="nil"/>
              <w:left w:val="single" w:color="auto" w:sz="4" w:space="0"/>
              <w:bottom w:val="single" w:color="auto" w:sz="4" w:space="0"/>
              <w:right w:val="single" w:color="auto" w:sz="4" w:space="0"/>
            </w:tcBorders>
            <w:shd w:val="clear" w:color="auto" w:fill="auto"/>
            <w:vAlign w:val="center"/>
          </w:tcPr>
          <w:p w14:paraId="090D79AC">
            <w:pPr>
              <w:widowControl/>
              <w:jc w:val="center"/>
              <w:rPr>
                <w:rFonts w:hint="eastAsia" w:ascii="仿宋_GB2312" w:hAnsi="宋体" w:cs="宋体"/>
                <w:kern w:val="0"/>
                <w:szCs w:val="32"/>
              </w:rPr>
            </w:pPr>
            <w:bookmarkStart w:id="0" w:name="RANGE!B5"/>
            <w:r>
              <w:rPr>
                <w:rFonts w:hint="eastAsia" w:ascii="仿宋_GB2312" w:hAnsi="宋体" w:cs="宋体"/>
                <w:kern w:val="0"/>
                <w:szCs w:val="32"/>
              </w:rPr>
              <w:t>树脂型合成石板材</w:t>
            </w:r>
            <w:bookmarkEnd w:id="0"/>
          </w:p>
        </w:tc>
        <w:tc>
          <w:tcPr>
            <w:tcW w:w="4394" w:type="dxa"/>
            <w:tcBorders>
              <w:top w:val="nil"/>
              <w:left w:val="nil"/>
              <w:bottom w:val="single" w:color="auto" w:sz="4" w:space="0"/>
              <w:right w:val="single" w:color="auto" w:sz="4" w:space="0"/>
            </w:tcBorders>
            <w:shd w:val="clear" w:color="auto" w:fill="auto"/>
            <w:vAlign w:val="center"/>
          </w:tcPr>
          <w:p w14:paraId="1B47689C">
            <w:pPr>
              <w:widowControl/>
              <w:jc w:val="left"/>
              <w:rPr>
                <w:rFonts w:hint="eastAsia" w:ascii="仿宋_GB2312"/>
                <w:kern w:val="0"/>
                <w:szCs w:val="32"/>
              </w:rPr>
            </w:pPr>
            <w:r>
              <w:rPr>
                <w:rFonts w:hint="eastAsia" w:ascii="仿宋_GB2312"/>
                <w:kern w:val="0"/>
                <w:szCs w:val="32"/>
              </w:rPr>
              <w:t>1.50mm×50mm×H</w:t>
            </w:r>
            <w:r>
              <w:rPr>
                <w:rFonts w:hint="eastAsia" w:ascii="仿宋_GB2312" w:hAnsi="宋体"/>
                <w:kern w:val="0"/>
                <w:szCs w:val="32"/>
              </w:rPr>
              <w:t>，</w:t>
            </w:r>
            <w:r>
              <w:rPr>
                <w:rFonts w:hint="eastAsia" w:ascii="仿宋_GB2312"/>
                <w:kern w:val="0"/>
                <w:szCs w:val="32"/>
              </w:rPr>
              <w:t>12</w:t>
            </w:r>
            <w:r>
              <w:rPr>
                <w:rFonts w:hint="eastAsia" w:ascii="仿宋_GB2312" w:hAnsi="宋体"/>
                <w:kern w:val="0"/>
                <w:szCs w:val="32"/>
              </w:rPr>
              <w:t>块</w:t>
            </w:r>
            <w:r>
              <w:rPr>
                <w:rFonts w:hint="eastAsia" w:ascii="仿宋_GB2312"/>
                <w:kern w:val="0"/>
                <w:szCs w:val="32"/>
              </w:rPr>
              <w:t>/</w:t>
            </w:r>
            <w:r>
              <w:rPr>
                <w:rFonts w:hint="eastAsia" w:ascii="仿宋_GB2312" w:hAnsi="宋体"/>
                <w:kern w:val="0"/>
                <w:szCs w:val="32"/>
              </w:rPr>
              <w:t>组</w:t>
            </w:r>
            <w:r>
              <w:rPr>
                <w:rFonts w:hint="eastAsia" w:ascii="仿宋_GB2312"/>
                <w:kern w:val="0"/>
                <w:szCs w:val="32"/>
              </w:rPr>
              <w:t>×2</w:t>
            </w:r>
            <w:r>
              <w:rPr>
                <w:rFonts w:hint="eastAsia" w:ascii="仿宋_GB2312" w:hAnsi="宋体"/>
                <w:kern w:val="0"/>
                <w:szCs w:val="32"/>
              </w:rPr>
              <w:t>组</w:t>
            </w:r>
            <w:r>
              <w:rPr>
                <w:rFonts w:hint="eastAsia" w:ascii="仿宋_GB2312"/>
                <w:kern w:val="0"/>
                <w:szCs w:val="32"/>
              </w:rPr>
              <w:t>=24</w:t>
            </w:r>
            <w:r>
              <w:rPr>
                <w:rFonts w:hint="eastAsia" w:ascii="仿宋_GB2312" w:hAnsi="宋体"/>
                <w:kern w:val="0"/>
                <w:szCs w:val="32"/>
              </w:rPr>
              <w:t>块（</w:t>
            </w:r>
            <w:r>
              <w:rPr>
                <w:rFonts w:hint="eastAsia" w:ascii="仿宋_GB2312"/>
                <w:kern w:val="0"/>
                <w:szCs w:val="32"/>
              </w:rPr>
              <w:t>H</w:t>
            </w:r>
            <w:r>
              <w:rPr>
                <w:rFonts w:hint="eastAsia" w:ascii="仿宋_GB2312" w:hAnsi="宋体"/>
                <w:kern w:val="0"/>
                <w:szCs w:val="32"/>
              </w:rPr>
              <w:t>≥</w:t>
            </w:r>
            <w:r>
              <w:rPr>
                <w:rFonts w:hint="eastAsia" w:ascii="仿宋_GB2312"/>
                <w:kern w:val="0"/>
                <w:szCs w:val="32"/>
              </w:rPr>
              <w:t>23</w:t>
            </w:r>
            <w:r>
              <w:rPr>
                <w:rFonts w:hint="eastAsia" w:ascii="仿宋_GB2312" w:hAnsi="宋体"/>
                <w:kern w:val="0"/>
                <w:szCs w:val="32"/>
              </w:rPr>
              <w:t>）或</w:t>
            </w:r>
            <w:r>
              <w:rPr>
                <w:rFonts w:hint="eastAsia" w:ascii="仿宋_GB2312"/>
                <w:kern w:val="0"/>
                <w:szCs w:val="32"/>
              </w:rPr>
              <w:t>50mm</w:t>
            </w:r>
            <w:r>
              <w:rPr>
                <w:rFonts w:hint="eastAsia" w:ascii="仿宋_GB2312" w:hAnsi="宋体"/>
                <w:kern w:val="0"/>
                <w:szCs w:val="32"/>
              </w:rPr>
              <w:t>×</w:t>
            </w:r>
            <w:r>
              <w:rPr>
                <w:rFonts w:hint="eastAsia" w:ascii="仿宋_GB2312"/>
                <w:kern w:val="0"/>
                <w:szCs w:val="32"/>
              </w:rPr>
              <w:t>50mm</w:t>
            </w:r>
            <w:r>
              <w:rPr>
                <w:rFonts w:hint="eastAsia" w:ascii="仿宋_GB2312" w:hAnsi="宋体"/>
                <w:kern w:val="0"/>
                <w:szCs w:val="32"/>
              </w:rPr>
              <w:t>×</w:t>
            </w:r>
            <w:r>
              <w:rPr>
                <w:rFonts w:hint="eastAsia" w:ascii="仿宋_GB2312"/>
                <w:kern w:val="0"/>
                <w:szCs w:val="32"/>
              </w:rPr>
              <w:t>H</w:t>
            </w:r>
            <w:r>
              <w:rPr>
                <w:rFonts w:hint="eastAsia" w:ascii="仿宋_GB2312" w:hAnsi="宋体"/>
                <w:kern w:val="0"/>
                <w:szCs w:val="32"/>
              </w:rPr>
              <w:t>，</w:t>
            </w:r>
            <w:r>
              <w:rPr>
                <w:rFonts w:hint="eastAsia" w:ascii="仿宋_GB2312"/>
                <w:kern w:val="0"/>
                <w:szCs w:val="32"/>
              </w:rPr>
              <w:t>18</w:t>
            </w:r>
            <w:r>
              <w:rPr>
                <w:rFonts w:hint="eastAsia" w:ascii="仿宋_GB2312" w:hAnsi="宋体"/>
                <w:kern w:val="0"/>
                <w:szCs w:val="32"/>
              </w:rPr>
              <w:t>块</w:t>
            </w:r>
            <w:r>
              <w:rPr>
                <w:rFonts w:hint="eastAsia" w:ascii="仿宋_GB2312"/>
                <w:kern w:val="0"/>
                <w:szCs w:val="32"/>
              </w:rPr>
              <w:t>/</w:t>
            </w:r>
            <w:r>
              <w:rPr>
                <w:rFonts w:hint="eastAsia" w:ascii="仿宋_GB2312" w:hAnsi="宋体"/>
                <w:kern w:val="0"/>
                <w:szCs w:val="32"/>
              </w:rPr>
              <w:t>组×</w:t>
            </w:r>
            <w:r>
              <w:rPr>
                <w:rFonts w:hint="eastAsia" w:ascii="仿宋_GB2312"/>
                <w:kern w:val="0"/>
                <w:szCs w:val="32"/>
              </w:rPr>
              <w:t>2</w:t>
            </w:r>
            <w:r>
              <w:rPr>
                <w:rFonts w:hint="eastAsia" w:ascii="仿宋_GB2312" w:hAnsi="宋体"/>
                <w:kern w:val="0"/>
                <w:szCs w:val="32"/>
              </w:rPr>
              <w:t>组</w:t>
            </w:r>
            <w:r>
              <w:rPr>
                <w:rFonts w:hint="eastAsia" w:ascii="仿宋_GB2312"/>
                <w:kern w:val="0"/>
                <w:szCs w:val="32"/>
              </w:rPr>
              <w:t>=36</w:t>
            </w:r>
            <w:r>
              <w:rPr>
                <w:rFonts w:hint="eastAsia" w:ascii="仿宋_GB2312" w:hAnsi="宋体"/>
                <w:kern w:val="0"/>
                <w:szCs w:val="32"/>
              </w:rPr>
              <w:t>块（</w:t>
            </w:r>
            <w:r>
              <w:rPr>
                <w:rFonts w:hint="eastAsia" w:ascii="仿宋_GB2312"/>
                <w:kern w:val="0"/>
                <w:szCs w:val="32"/>
              </w:rPr>
              <w:t>15</w:t>
            </w:r>
            <w:r>
              <w:rPr>
                <w:rFonts w:hint="eastAsia" w:ascii="仿宋_GB2312" w:hAnsi="宋体"/>
                <w:kern w:val="0"/>
                <w:szCs w:val="32"/>
              </w:rPr>
              <w:t>≤</w:t>
            </w:r>
            <w:r>
              <w:rPr>
                <w:rFonts w:hint="eastAsia" w:ascii="仿宋_GB2312"/>
                <w:kern w:val="0"/>
                <w:szCs w:val="32"/>
              </w:rPr>
              <w:t>H</w:t>
            </w:r>
            <w:r>
              <w:rPr>
                <w:rFonts w:hint="eastAsia" w:ascii="仿宋_GB2312" w:hAnsi="宋体"/>
                <w:kern w:val="0"/>
                <w:szCs w:val="32"/>
              </w:rPr>
              <w:t>≤</w:t>
            </w:r>
            <w:r>
              <w:rPr>
                <w:rFonts w:hint="eastAsia" w:ascii="仿宋_GB2312"/>
                <w:kern w:val="0"/>
                <w:szCs w:val="32"/>
              </w:rPr>
              <w:t>22</w:t>
            </w:r>
            <w:r>
              <w:rPr>
                <w:rFonts w:hint="eastAsia" w:ascii="仿宋_GB2312" w:hAnsi="宋体"/>
                <w:kern w:val="0"/>
                <w:szCs w:val="32"/>
              </w:rPr>
              <w:t>）；</w:t>
            </w:r>
          </w:p>
        </w:tc>
        <w:tc>
          <w:tcPr>
            <w:tcW w:w="3455" w:type="dxa"/>
            <w:tcBorders>
              <w:top w:val="nil"/>
              <w:left w:val="nil"/>
              <w:bottom w:val="single" w:color="auto" w:sz="4" w:space="0"/>
              <w:right w:val="single" w:color="auto" w:sz="4" w:space="0"/>
            </w:tcBorders>
            <w:shd w:val="clear" w:color="auto" w:fill="auto"/>
            <w:vAlign w:val="center"/>
          </w:tcPr>
          <w:p w14:paraId="391197B7">
            <w:pPr>
              <w:widowControl/>
              <w:jc w:val="left"/>
              <w:rPr>
                <w:rFonts w:hint="eastAsia" w:ascii="仿宋_GB2312"/>
                <w:kern w:val="0"/>
                <w:szCs w:val="32"/>
              </w:rPr>
            </w:pPr>
            <w:r>
              <w:rPr>
                <w:rFonts w:hint="eastAsia" w:ascii="仿宋_GB2312"/>
                <w:kern w:val="0"/>
                <w:szCs w:val="32"/>
              </w:rPr>
              <w:t>1.50mm×50mm×H</w:t>
            </w:r>
            <w:r>
              <w:rPr>
                <w:rFonts w:hint="eastAsia" w:ascii="仿宋_GB2312" w:hAnsi="宋体"/>
                <w:kern w:val="0"/>
                <w:szCs w:val="32"/>
              </w:rPr>
              <w:t>，</w:t>
            </w:r>
            <w:r>
              <w:rPr>
                <w:rFonts w:hint="eastAsia" w:ascii="仿宋_GB2312"/>
                <w:kern w:val="0"/>
                <w:szCs w:val="32"/>
              </w:rPr>
              <w:t>12</w:t>
            </w:r>
            <w:r>
              <w:rPr>
                <w:rFonts w:hint="eastAsia" w:ascii="仿宋_GB2312" w:hAnsi="宋体"/>
                <w:kern w:val="0"/>
                <w:szCs w:val="32"/>
              </w:rPr>
              <w:t>块（</w:t>
            </w:r>
            <w:r>
              <w:rPr>
                <w:rFonts w:hint="eastAsia" w:ascii="仿宋_GB2312"/>
                <w:kern w:val="0"/>
                <w:szCs w:val="32"/>
              </w:rPr>
              <w:t>H</w:t>
            </w:r>
            <w:r>
              <w:rPr>
                <w:rFonts w:hint="eastAsia" w:ascii="仿宋_GB2312" w:hAnsi="宋体"/>
                <w:kern w:val="0"/>
                <w:szCs w:val="32"/>
              </w:rPr>
              <w:t>≥</w:t>
            </w:r>
            <w:r>
              <w:rPr>
                <w:rFonts w:hint="eastAsia" w:ascii="仿宋_GB2312"/>
                <w:kern w:val="0"/>
                <w:szCs w:val="32"/>
              </w:rPr>
              <w:t>23</w:t>
            </w:r>
            <w:r>
              <w:rPr>
                <w:rFonts w:hint="eastAsia" w:ascii="仿宋_GB2312" w:hAnsi="宋体"/>
                <w:kern w:val="0"/>
                <w:szCs w:val="32"/>
              </w:rPr>
              <w:t>）或</w:t>
            </w:r>
            <w:r>
              <w:rPr>
                <w:rFonts w:hint="eastAsia" w:ascii="仿宋_GB2312"/>
                <w:kern w:val="0"/>
                <w:szCs w:val="32"/>
              </w:rPr>
              <w:t>50mm×50mm×H</w:t>
            </w:r>
            <w:r>
              <w:rPr>
                <w:rFonts w:hint="eastAsia" w:ascii="仿宋_GB2312" w:hAnsi="宋体"/>
                <w:kern w:val="0"/>
                <w:szCs w:val="32"/>
              </w:rPr>
              <w:t>，</w:t>
            </w:r>
            <w:r>
              <w:rPr>
                <w:rFonts w:hint="eastAsia" w:ascii="仿宋_GB2312"/>
                <w:kern w:val="0"/>
                <w:szCs w:val="32"/>
              </w:rPr>
              <w:t>18</w:t>
            </w:r>
            <w:r>
              <w:rPr>
                <w:rFonts w:hint="eastAsia" w:ascii="仿宋_GB2312" w:hAnsi="宋体"/>
                <w:kern w:val="0"/>
                <w:szCs w:val="32"/>
              </w:rPr>
              <w:t>块（</w:t>
            </w:r>
            <w:r>
              <w:rPr>
                <w:rFonts w:hint="eastAsia" w:ascii="仿宋_GB2312"/>
                <w:kern w:val="0"/>
                <w:szCs w:val="32"/>
              </w:rPr>
              <w:t>15</w:t>
            </w:r>
            <w:r>
              <w:rPr>
                <w:rFonts w:hint="eastAsia" w:ascii="仿宋_GB2312" w:hAnsi="宋体"/>
                <w:kern w:val="0"/>
                <w:szCs w:val="32"/>
              </w:rPr>
              <w:t>≤</w:t>
            </w:r>
            <w:r>
              <w:rPr>
                <w:rFonts w:hint="eastAsia" w:ascii="仿宋_GB2312"/>
                <w:kern w:val="0"/>
                <w:szCs w:val="32"/>
              </w:rPr>
              <w:t>H</w:t>
            </w:r>
            <w:r>
              <w:rPr>
                <w:rFonts w:hint="eastAsia" w:ascii="仿宋_GB2312" w:hAnsi="宋体"/>
                <w:kern w:val="0"/>
                <w:szCs w:val="32"/>
              </w:rPr>
              <w:t>≤</w:t>
            </w:r>
            <w:r>
              <w:rPr>
                <w:rFonts w:hint="eastAsia" w:ascii="仿宋_GB2312"/>
                <w:kern w:val="0"/>
                <w:szCs w:val="32"/>
              </w:rPr>
              <w:t>22</w:t>
            </w:r>
            <w:r>
              <w:rPr>
                <w:rFonts w:hint="eastAsia" w:ascii="仿宋_GB2312" w:hAnsi="宋体"/>
                <w:kern w:val="0"/>
                <w:szCs w:val="32"/>
              </w:rPr>
              <w:t>）；</w:t>
            </w:r>
          </w:p>
        </w:tc>
      </w:tr>
      <w:tr w14:paraId="16552B93">
        <w:tblPrEx>
          <w:tblCellMar>
            <w:top w:w="0" w:type="dxa"/>
            <w:left w:w="108" w:type="dxa"/>
            <w:bottom w:w="0" w:type="dxa"/>
            <w:right w:w="108" w:type="dxa"/>
          </w:tblCellMar>
        </w:tblPrEx>
        <w:trPr>
          <w:trHeight w:val="720" w:hRule="atLeast"/>
        </w:trPr>
        <w:tc>
          <w:tcPr>
            <w:tcW w:w="1291" w:type="dxa"/>
            <w:vMerge w:val="continue"/>
            <w:tcBorders>
              <w:top w:val="nil"/>
              <w:left w:val="single" w:color="auto" w:sz="4" w:space="0"/>
              <w:bottom w:val="single" w:color="auto" w:sz="4" w:space="0"/>
              <w:right w:val="single" w:color="auto" w:sz="4" w:space="0"/>
            </w:tcBorders>
            <w:vAlign w:val="center"/>
          </w:tcPr>
          <w:p w14:paraId="172D8A83">
            <w:pPr>
              <w:widowControl/>
              <w:jc w:val="left"/>
              <w:rPr>
                <w:rFonts w:hint="eastAsia" w:ascii="仿宋_GB2312" w:hAnsi="宋体" w:cs="宋体"/>
                <w:kern w:val="0"/>
                <w:szCs w:val="32"/>
              </w:rPr>
            </w:pPr>
          </w:p>
        </w:tc>
        <w:tc>
          <w:tcPr>
            <w:tcW w:w="4394" w:type="dxa"/>
            <w:tcBorders>
              <w:top w:val="nil"/>
              <w:left w:val="nil"/>
              <w:bottom w:val="single" w:color="auto" w:sz="4" w:space="0"/>
              <w:right w:val="single" w:color="auto" w:sz="4" w:space="0"/>
            </w:tcBorders>
            <w:shd w:val="clear" w:color="auto" w:fill="auto"/>
            <w:vAlign w:val="center"/>
          </w:tcPr>
          <w:p w14:paraId="4768388C">
            <w:pPr>
              <w:widowControl/>
              <w:jc w:val="left"/>
              <w:rPr>
                <w:rFonts w:hint="eastAsia" w:ascii="仿宋_GB2312" w:hAnsi="宋体" w:cs="宋体"/>
                <w:kern w:val="0"/>
                <w:szCs w:val="32"/>
              </w:rPr>
            </w:pPr>
            <w:r>
              <w:rPr>
                <w:rFonts w:hint="eastAsia" w:ascii="仿宋_GB2312" w:hAnsi="宋体" w:cs="宋体"/>
                <w:kern w:val="0"/>
                <w:szCs w:val="32"/>
              </w:rPr>
              <w:t>2.100mm×100mm×H（H≥15mm），6块/组×2组=12块；</w:t>
            </w:r>
          </w:p>
        </w:tc>
        <w:tc>
          <w:tcPr>
            <w:tcW w:w="3455" w:type="dxa"/>
            <w:tcBorders>
              <w:top w:val="nil"/>
              <w:left w:val="nil"/>
              <w:bottom w:val="single" w:color="auto" w:sz="4" w:space="0"/>
              <w:right w:val="single" w:color="auto" w:sz="4" w:space="0"/>
            </w:tcBorders>
            <w:shd w:val="clear" w:color="auto" w:fill="auto"/>
            <w:vAlign w:val="center"/>
          </w:tcPr>
          <w:p w14:paraId="2C0BAE8C">
            <w:pPr>
              <w:widowControl/>
              <w:jc w:val="left"/>
              <w:rPr>
                <w:rFonts w:hint="eastAsia" w:ascii="仿宋_GB2312" w:hAnsi="宋体" w:cs="宋体"/>
                <w:kern w:val="0"/>
                <w:szCs w:val="32"/>
              </w:rPr>
            </w:pPr>
            <w:r>
              <w:rPr>
                <w:rFonts w:hint="eastAsia" w:ascii="仿宋_GB2312" w:hAnsi="宋体" w:cs="宋体"/>
                <w:kern w:val="0"/>
                <w:szCs w:val="32"/>
              </w:rPr>
              <w:t>2.100mm×100mm×H（H≥15mm），6块；</w:t>
            </w:r>
          </w:p>
        </w:tc>
      </w:tr>
      <w:tr w14:paraId="76EDC087">
        <w:tblPrEx>
          <w:tblCellMar>
            <w:top w:w="0" w:type="dxa"/>
            <w:left w:w="108" w:type="dxa"/>
            <w:bottom w:w="0" w:type="dxa"/>
            <w:right w:w="108" w:type="dxa"/>
          </w:tblCellMar>
        </w:tblPrEx>
        <w:trPr>
          <w:trHeight w:val="750" w:hRule="atLeast"/>
        </w:trPr>
        <w:tc>
          <w:tcPr>
            <w:tcW w:w="1291" w:type="dxa"/>
            <w:vMerge w:val="continue"/>
            <w:tcBorders>
              <w:top w:val="nil"/>
              <w:left w:val="single" w:color="auto" w:sz="4" w:space="0"/>
              <w:bottom w:val="single" w:color="auto" w:sz="4" w:space="0"/>
              <w:right w:val="single" w:color="auto" w:sz="4" w:space="0"/>
            </w:tcBorders>
            <w:vAlign w:val="center"/>
          </w:tcPr>
          <w:p w14:paraId="0D388413">
            <w:pPr>
              <w:widowControl/>
              <w:jc w:val="left"/>
              <w:rPr>
                <w:rFonts w:hint="eastAsia" w:ascii="仿宋_GB2312" w:hAnsi="宋体" w:cs="宋体"/>
                <w:kern w:val="0"/>
                <w:szCs w:val="32"/>
              </w:rPr>
            </w:pPr>
          </w:p>
        </w:tc>
        <w:tc>
          <w:tcPr>
            <w:tcW w:w="4394" w:type="dxa"/>
            <w:tcBorders>
              <w:top w:val="nil"/>
              <w:left w:val="nil"/>
              <w:bottom w:val="single" w:color="auto" w:sz="4" w:space="0"/>
              <w:right w:val="single" w:color="auto" w:sz="4" w:space="0"/>
            </w:tcBorders>
            <w:shd w:val="clear" w:color="auto" w:fill="auto"/>
            <w:vAlign w:val="center"/>
          </w:tcPr>
          <w:p w14:paraId="1019CF53">
            <w:pPr>
              <w:widowControl/>
              <w:jc w:val="left"/>
              <w:rPr>
                <w:rFonts w:hint="eastAsia" w:ascii="仿宋_GB2312" w:hAnsi="宋体" w:cs="宋体"/>
                <w:kern w:val="0"/>
                <w:szCs w:val="32"/>
              </w:rPr>
            </w:pPr>
            <w:r>
              <w:rPr>
                <w:rFonts w:hint="eastAsia" w:ascii="仿宋_GB2312" w:hAnsi="宋体" w:cs="宋体"/>
                <w:kern w:val="0"/>
                <w:szCs w:val="32"/>
              </w:rPr>
              <w:t>3.200mm×50mm×H（H≥15mm），6块/组×2组=12块；</w:t>
            </w:r>
          </w:p>
        </w:tc>
        <w:tc>
          <w:tcPr>
            <w:tcW w:w="3455" w:type="dxa"/>
            <w:tcBorders>
              <w:top w:val="nil"/>
              <w:left w:val="nil"/>
              <w:bottom w:val="single" w:color="auto" w:sz="4" w:space="0"/>
              <w:right w:val="single" w:color="auto" w:sz="4" w:space="0"/>
            </w:tcBorders>
            <w:shd w:val="clear" w:color="auto" w:fill="auto"/>
            <w:vAlign w:val="center"/>
          </w:tcPr>
          <w:p w14:paraId="3FE0B818">
            <w:pPr>
              <w:widowControl/>
              <w:jc w:val="left"/>
              <w:rPr>
                <w:rFonts w:hint="eastAsia" w:ascii="仿宋_GB2312" w:hAnsi="宋体" w:cs="宋体"/>
                <w:kern w:val="0"/>
                <w:szCs w:val="32"/>
              </w:rPr>
            </w:pPr>
            <w:r>
              <w:rPr>
                <w:rFonts w:hint="eastAsia" w:ascii="仿宋_GB2312" w:hAnsi="宋体" w:cs="宋体"/>
                <w:kern w:val="0"/>
                <w:szCs w:val="32"/>
              </w:rPr>
              <w:t>3.200mm×50mm×H（H≥15mm），6块；</w:t>
            </w:r>
          </w:p>
        </w:tc>
      </w:tr>
      <w:tr w14:paraId="329B0E08">
        <w:tblPrEx>
          <w:tblCellMar>
            <w:top w:w="0" w:type="dxa"/>
            <w:left w:w="108" w:type="dxa"/>
            <w:bottom w:w="0" w:type="dxa"/>
            <w:right w:w="108" w:type="dxa"/>
          </w:tblCellMar>
        </w:tblPrEx>
        <w:trPr>
          <w:trHeight w:val="1185" w:hRule="atLeast"/>
        </w:trPr>
        <w:tc>
          <w:tcPr>
            <w:tcW w:w="1291" w:type="dxa"/>
            <w:vMerge w:val="continue"/>
            <w:tcBorders>
              <w:top w:val="nil"/>
              <w:left w:val="single" w:color="auto" w:sz="4" w:space="0"/>
              <w:bottom w:val="single" w:color="auto" w:sz="4" w:space="0"/>
              <w:right w:val="single" w:color="auto" w:sz="4" w:space="0"/>
            </w:tcBorders>
            <w:vAlign w:val="center"/>
          </w:tcPr>
          <w:p w14:paraId="3331C4EC">
            <w:pPr>
              <w:widowControl/>
              <w:jc w:val="left"/>
              <w:rPr>
                <w:rFonts w:hint="eastAsia" w:ascii="仿宋_GB2312" w:hAnsi="宋体" w:cs="宋体"/>
                <w:kern w:val="0"/>
                <w:szCs w:val="32"/>
              </w:rPr>
            </w:pPr>
          </w:p>
        </w:tc>
        <w:tc>
          <w:tcPr>
            <w:tcW w:w="4394" w:type="dxa"/>
            <w:tcBorders>
              <w:top w:val="nil"/>
              <w:left w:val="nil"/>
              <w:bottom w:val="single" w:color="auto" w:sz="4" w:space="0"/>
              <w:right w:val="single" w:color="auto" w:sz="4" w:space="0"/>
            </w:tcBorders>
            <w:shd w:val="clear" w:color="auto" w:fill="auto"/>
            <w:vAlign w:val="center"/>
          </w:tcPr>
          <w:p w14:paraId="21C113A8">
            <w:pPr>
              <w:widowControl/>
              <w:jc w:val="left"/>
              <w:rPr>
                <w:rFonts w:hint="eastAsia" w:ascii="仿宋_GB2312" w:hAnsi="宋体" w:cs="宋体"/>
                <w:kern w:val="0"/>
                <w:szCs w:val="32"/>
              </w:rPr>
            </w:pPr>
            <w:r>
              <w:rPr>
                <w:rFonts w:hint="eastAsia" w:ascii="仿宋_GB2312" w:hAnsi="宋体" w:cs="宋体"/>
                <w:kern w:val="0"/>
                <w:szCs w:val="32"/>
              </w:rPr>
              <w:t>4.50mm×5mm×5mm（骨料小于≤6mm）2块/组×2组=4块或250mm×20mm×H（骨料＞6mm），2块/组×2组=4块；</w:t>
            </w:r>
          </w:p>
        </w:tc>
        <w:tc>
          <w:tcPr>
            <w:tcW w:w="3455" w:type="dxa"/>
            <w:tcBorders>
              <w:top w:val="nil"/>
              <w:left w:val="nil"/>
              <w:bottom w:val="single" w:color="auto" w:sz="4" w:space="0"/>
              <w:right w:val="single" w:color="auto" w:sz="4" w:space="0"/>
            </w:tcBorders>
            <w:shd w:val="clear" w:color="auto" w:fill="auto"/>
            <w:vAlign w:val="center"/>
          </w:tcPr>
          <w:p w14:paraId="38DCB7F8">
            <w:pPr>
              <w:widowControl/>
              <w:jc w:val="left"/>
              <w:rPr>
                <w:rFonts w:hint="eastAsia" w:ascii="仿宋_GB2312" w:hAnsi="宋体" w:cs="宋体"/>
                <w:kern w:val="0"/>
                <w:szCs w:val="32"/>
              </w:rPr>
            </w:pPr>
            <w:r>
              <w:rPr>
                <w:rFonts w:hint="eastAsia" w:ascii="仿宋_GB2312" w:hAnsi="宋体" w:cs="宋体"/>
                <w:kern w:val="0"/>
                <w:szCs w:val="32"/>
              </w:rPr>
              <w:t>4.50mm×5mm×5mm（骨料小于≤6mm）2块或250mm×20mm×H（骨料＞6mm），2块；</w:t>
            </w:r>
          </w:p>
        </w:tc>
      </w:tr>
      <w:tr w14:paraId="470D4137">
        <w:tblPrEx>
          <w:tblCellMar>
            <w:top w:w="0" w:type="dxa"/>
            <w:left w:w="108" w:type="dxa"/>
            <w:bottom w:w="0" w:type="dxa"/>
            <w:right w:w="108" w:type="dxa"/>
          </w:tblCellMar>
        </w:tblPrEx>
        <w:trPr>
          <w:trHeight w:val="720" w:hRule="atLeast"/>
        </w:trPr>
        <w:tc>
          <w:tcPr>
            <w:tcW w:w="1291" w:type="dxa"/>
            <w:vMerge w:val="continue"/>
            <w:tcBorders>
              <w:top w:val="nil"/>
              <w:left w:val="single" w:color="auto" w:sz="4" w:space="0"/>
              <w:bottom w:val="single" w:color="auto" w:sz="4" w:space="0"/>
              <w:right w:val="single" w:color="auto" w:sz="4" w:space="0"/>
            </w:tcBorders>
            <w:vAlign w:val="center"/>
          </w:tcPr>
          <w:p w14:paraId="5DA9FE10">
            <w:pPr>
              <w:widowControl/>
              <w:jc w:val="left"/>
              <w:rPr>
                <w:rFonts w:hint="eastAsia" w:ascii="仿宋_GB2312" w:hAnsi="宋体" w:cs="宋体"/>
                <w:kern w:val="0"/>
                <w:szCs w:val="32"/>
              </w:rPr>
            </w:pPr>
          </w:p>
        </w:tc>
        <w:tc>
          <w:tcPr>
            <w:tcW w:w="4394" w:type="dxa"/>
            <w:tcBorders>
              <w:top w:val="nil"/>
              <w:left w:val="nil"/>
              <w:bottom w:val="single" w:color="auto" w:sz="4" w:space="0"/>
              <w:right w:val="single" w:color="auto" w:sz="4" w:space="0"/>
            </w:tcBorders>
            <w:shd w:val="clear" w:color="auto" w:fill="auto"/>
            <w:vAlign w:val="center"/>
          </w:tcPr>
          <w:p w14:paraId="32B3A6AD">
            <w:pPr>
              <w:widowControl/>
              <w:jc w:val="left"/>
              <w:rPr>
                <w:rFonts w:hint="eastAsia" w:ascii="仿宋_GB2312" w:hAnsi="宋体" w:cs="宋体"/>
                <w:kern w:val="0"/>
                <w:szCs w:val="32"/>
              </w:rPr>
            </w:pPr>
            <w:r>
              <w:rPr>
                <w:rFonts w:hint="eastAsia" w:ascii="仿宋_GB2312" w:hAnsi="宋体" w:cs="宋体"/>
                <w:kern w:val="0"/>
                <w:szCs w:val="32"/>
              </w:rPr>
              <w:t>5.150mm×150mm×H（H≥15mm），4块/组×2组=8块</w:t>
            </w:r>
          </w:p>
        </w:tc>
        <w:tc>
          <w:tcPr>
            <w:tcW w:w="3455" w:type="dxa"/>
            <w:tcBorders>
              <w:top w:val="nil"/>
              <w:left w:val="nil"/>
              <w:bottom w:val="single" w:color="auto" w:sz="4" w:space="0"/>
              <w:right w:val="single" w:color="auto" w:sz="4" w:space="0"/>
            </w:tcBorders>
            <w:shd w:val="clear" w:color="auto" w:fill="auto"/>
            <w:vAlign w:val="center"/>
          </w:tcPr>
          <w:p w14:paraId="6D6C3B0C">
            <w:pPr>
              <w:widowControl/>
              <w:jc w:val="left"/>
              <w:rPr>
                <w:rFonts w:hint="eastAsia" w:ascii="仿宋_GB2312" w:hAnsi="宋体" w:cs="宋体"/>
                <w:kern w:val="0"/>
                <w:szCs w:val="32"/>
              </w:rPr>
            </w:pPr>
            <w:r>
              <w:rPr>
                <w:rFonts w:hint="eastAsia" w:ascii="仿宋_GB2312" w:hAnsi="宋体" w:cs="宋体"/>
                <w:kern w:val="0"/>
                <w:szCs w:val="32"/>
              </w:rPr>
              <w:t>5.150mm×150mm×H（H≥15mm），4块</w:t>
            </w:r>
          </w:p>
        </w:tc>
      </w:tr>
    </w:tbl>
    <w:p w14:paraId="0C72F960">
      <w:pPr>
        <w:snapToGrid w:val="0"/>
        <w:spacing w:line="560" w:lineRule="exact"/>
        <w:ind w:firstLine="480" w:firstLineChars="150"/>
        <w:rPr>
          <w:rFonts w:eastAsia="黑体"/>
          <w:szCs w:val="32"/>
        </w:rPr>
      </w:pPr>
      <w:r>
        <w:rPr>
          <w:rFonts w:eastAsia="黑体"/>
          <w:szCs w:val="32"/>
        </w:rPr>
        <w:t>2 检验依据</w:t>
      </w:r>
    </w:p>
    <w:p w14:paraId="5B0E4FC1">
      <w:pPr>
        <w:snapToGrid w:val="0"/>
        <w:spacing w:line="560" w:lineRule="exact"/>
        <w:ind w:firstLine="640" w:firstLineChars="200"/>
        <w:rPr>
          <w:szCs w:val="32"/>
        </w:rPr>
      </w:pPr>
      <w:r>
        <w:rPr>
          <w:szCs w:val="32"/>
        </w:rPr>
        <w:t>树脂型合成石板材产品</w:t>
      </w:r>
      <w:r>
        <w:rPr>
          <w:rFonts w:hint="eastAsia"/>
          <w:szCs w:val="32"/>
        </w:rPr>
        <w:t>检验</w:t>
      </w:r>
      <w:r>
        <w:rPr>
          <w:szCs w:val="32"/>
        </w:rPr>
        <w:t>项目及依据见表</w:t>
      </w:r>
      <w:r>
        <w:rPr>
          <w:rFonts w:hint="eastAsia"/>
          <w:szCs w:val="32"/>
        </w:rPr>
        <w:t>2。</w:t>
      </w:r>
    </w:p>
    <w:p w14:paraId="7F789613">
      <w:pPr>
        <w:snapToGrid w:val="0"/>
        <w:spacing w:line="560" w:lineRule="exact"/>
        <w:ind w:firstLine="640" w:firstLineChars="200"/>
        <w:jc w:val="center"/>
        <w:rPr>
          <w:szCs w:val="32"/>
        </w:rPr>
      </w:pPr>
      <w:r>
        <w:rPr>
          <w:szCs w:val="32"/>
        </w:rPr>
        <w:t>表</w:t>
      </w:r>
      <w:r>
        <w:rPr>
          <w:rFonts w:hint="eastAsia"/>
          <w:szCs w:val="32"/>
        </w:rPr>
        <w:t>2</w:t>
      </w:r>
      <w:r>
        <w:rPr>
          <w:szCs w:val="32"/>
        </w:rPr>
        <w:t xml:space="preserve">  </w:t>
      </w:r>
      <w:r>
        <w:rPr>
          <w:rFonts w:hint="eastAsia"/>
          <w:szCs w:val="32"/>
        </w:rPr>
        <w:t>树脂型合成石板材</w:t>
      </w:r>
      <w:r>
        <w:rPr>
          <w:szCs w:val="32"/>
        </w:rPr>
        <w:t>产品</w:t>
      </w:r>
      <w:r>
        <w:rPr>
          <w:rFonts w:hint="eastAsia"/>
          <w:szCs w:val="32"/>
        </w:rPr>
        <w:t>检验</w:t>
      </w:r>
      <w:r>
        <w:rPr>
          <w:szCs w:val="32"/>
        </w:rPr>
        <w:t>项目及依据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935"/>
        <w:gridCol w:w="3819"/>
      </w:tblGrid>
      <w:tr w14:paraId="3880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14" w:type="dxa"/>
            <w:noWrap/>
            <w:vAlign w:val="center"/>
          </w:tcPr>
          <w:p w14:paraId="7370A056">
            <w:pPr>
              <w:snapToGrid w:val="0"/>
              <w:spacing w:line="380" w:lineRule="exact"/>
              <w:jc w:val="center"/>
              <w:rPr>
                <w:rFonts w:ascii="仿宋_GB2312"/>
                <w:szCs w:val="32"/>
              </w:rPr>
            </w:pPr>
            <w:r>
              <w:rPr>
                <w:rFonts w:hint="eastAsia" w:ascii="仿宋_GB2312"/>
                <w:szCs w:val="32"/>
              </w:rPr>
              <w:t>序号</w:t>
            </w:r>
          </w:p>
        </w:tc>
        <w:tc>
          <w:tcPr>
            <w:tcW w:w="3935" w:type="dxa"/>
            <w:noWrap/>
            <w:vAlign w:val="center"/>
          </w:tcPr>
          <w:p w14:paraId="39BB45B0">
            <w:pPr>
              <w:snapToGrid w:val="0"/>
              <w:spacing w:line="380" w:lineRule="exact"/>
              <w:jc w:val="center"/>
              <w:rPr>
                <w:rFonts w:ascii="仿宋_GB2312"/>
                <w:szCs w:val="32"/>
              </w:rPr>
            </w:pPr>
            <w:r>
              <w:rPr>
                <w:rFonts w:hint="eastAsia" w:ascii="仿宋_GB2312"/>
                <w:szCs w:val="32"/>
              </w:rPr>
              <w:t>检验项目</w:t>
            </w:r>
          </w:p>
        </w:tc>
        <w:tc>
          <w:tcPr>
            <w:tcW w:w="3819" w:type="dxa"/>
            <w:noWrap/>
            <w:vAlign w:val="center"/>
          </w:tcPr>
          <w:p w14:paraId="47150243">
            <w:pPr>
              <w:snapToGrid w:val="0"/>
              <w:spacing w:line="380" w:lineRule="exact"/>
              <w:jc w:val="center"/>
              <w:rPr>
                <w:rFonts w:ascii="仿宋_GB2312"/>
                <w:szCs w:val="32"/>
              </w:rPr>
            </w:pPr>
            <w:r>
              <w:rPr>
                <w:rFonts w:hint="eastAsia" w:ascii="仿宋_GB2312"/>
                <w:szCs w:val="32"/>
              </w:rPr>
              <w:t>检验方法</w:t>
            </w:r>
          </w:p>
        </w:tc>
      </w:tr>
      <w:tr w14:paraId="029B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414" w:type="dxa"/>
            <w:noWrap/>
            <w:vAlign w:val="center"/>
          </w:tcPr>
          <w:p w14:paraId="02DAD3F0">
            <w:pPr>
              <w:snapToGrid w:val="0"/>
              <w:spacing w:line="380" w:lineRule="exact"/>
              <w:jc w:val="center"/>
              <w:rPr>
                <w:rFonts w:ascii="仿宋_GB2312"/>
                <w:szCs w:val="32"/>
              </w:rPr>
            </w:pPr>
            <w:r>
              <w:rPr>
                <w:rFonts w:hint="eastAsia" w:ascii="仿宋_GB2312"/>
                <w:szCs w:val="32"/>
              </w:rPr>
              <w:t>1</w:t>
            </w:r>
          </w:p>
        </w:tc>
        <w:tc>
          <w:tcPr>
            <w:tcW w:w="3935" w:type="dxa"/>
            <w:noWrap/>
            <w:vAlign w:val="center"/>
          </w:tcPr>
          <w:p w14:paraId="25CD8B3D">
            <w:pPr>
              <w:snapToGrid w:val="0"/>
              <w:spacing w:line="380" w:lineRule="exact"/>
              <w:jc w:val="center"/>
              <w:rPr>
                <w:rFonts w:ascii="仿宋_GB2312"/>
                <w:szCs w:val="32"/>
              </w:rPr>
            </w:pPr>
            <w:r>
              <w:rPr>
                <w:rFonts w:hint="eastAsia" w:ascii="仿宋_GB2312"/>
                <w:szCs w:val="32"/>
              </w:rPr>
              <w:t>压缩强度</w:t>
            </w:r>
          </w:p>
        </w:tc>
        <w:tc>
          <w:tcPr>
            <w:tcW w:w="3819" w:type="dxa"/>
            <w:noWrap/>
            <w:vAlign w:val="center"/>
          </w:tcPr>
          <w:p w14:paraId="368B9B7B">
            <w:pPr>
              <w:snapToGrid w:val="0"/>
              <w:spacing w:line="380" w:lineRule="exact"/>
              <w:jc w:val="center"/>
              <w:rPr>
                <w:rFonts w:ascii="仿宋_GB2312"/>
                <w:szCs w:val="32"/>
              </w:rPr>
            </w:pPr>
            <w:r>
              <w:rPr>
                <w:rFonts w:hint="eastAsia" w:ascii="仿宋_GB2312"/>
                <w:szCs w:val="32"/>
              </w:rPr>
              <w:t>GB/T35160.3—2017</w:t>
            </w:r>
          </w:p>
        </w:tc>
      </w:tr>
      <w:tr w14:paraId="4F07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414" w:type="dxa"/>
            <w:noWrap/>
            <w:vAlign w:val="center"/>
          </w:tcPr>
          <w:p w14:paraId="6C1D6B69">
            <w:pPr>
              <w:snapToGrid w:val="0"/>
              <w:spacing w:line="380" w:lineRule="exact"/>
              <w:jc w:val="center"/>
              <w:rPr>
                <w:rFonts w:ascii="仿宋_GB2312"/>
                <w:szCs w:val="32"/>
              </w:rPr>
            </w:pPr>
            <w:r>
              <w:rPr>
                <w:rFonts w:hint="eastAsia" w:ascii="仿宋_GB2312"/>
                <w:szCs w:val="32"/>
              </w:rPr>
              <w:t>2</w:t>
            </w:r>
          </w:p>
        </w:tc>
        <w:tc>
          <w:tcPr>
            <w:tcW w:w="3935" w:type="dxa"/>
            <w:noWrap/>
            <w:vAlign w:val="center"/>
          </w:tcPr>
          <w:p w14:paraId="3E7A648C">
            <w:pPr>
              <w:snapToGrid w:val="0"/>
              <w:spacing w:line="380" w:lineRule="exact"/>
              <w:jc w:val="center"/>
              <w:rPr>
                <w:rFonts w:ascii="仿宋_GB2312"/>
                <w:szCs w:val="32"/>
              </w:rPr>
            </w:pPr>
            <w:r>
              <w:rPr>
                <w:rFonts w:hint="eastAsia" w:ascii="仿宋_GB2312"/>
                <w:szCs w:val="32"/>
              </w:rPr>
              <w:t>吸水率</w:t>
            </w:r>
          </w:p>
        </w:tc>
        <w:tc>
          <w:tcPr>
            <w:tcW w:w="3819" w:type="dxa"/>
            <w:noWrap/>
            <w:vAlign w:val="center"/>
          </w:tcPr>
          <w:p w14:paraId="3D1A1E43">
            <w:pPr>
              <w:snapToGrid w:val="0"/>
              <w:spacing w:line="380" w:lineRule="exact"/>
              <w:jc w:val="center"/>
              <w:rPr>
                <w:rFonts w:ascii="仿宋_GB2312"/>
                <w:szCs w:val="32"/>
              </w:rPr>
            </w:pPr>
            <w:r>
              <w:rPr>
                <w:rFonts w:hint="eastAsia" w:ascii="仿宋_GB2312"/>
                <w:szCs w:val="32"/>
              </w:rPr>
              <w:t>GB/T 35160.1—2017</w:t>
            </w:r>
          </w:p>
        </w:tc>
      </w:tr>
      <w:tr w14:paraId="6252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414" w:type="dxa"/>
            <w:noWrap/>
            <w:vAlign w:val="center"/>
          </w:tcPr>
          <w:p w14:paraId="2CED0374">
            <w:pPr>
              <w:snapToGrid w:val="0"/>
              <w:spacing w:line="380" w:lineRule="exact"/>
              <w:jc w:val="center"/>
              <w:rPr>
                <w:rFonts w:ascii="仿宋_GB2312"/>
                <w:szCs w:val="32"/>
              </w:rPr>
            </w:pPr>
            <w:r>
              <w:rPr>
                <w:rFonts w:hint="eastAsia" w:ascii="仿宋_GB2312"/>
                <w:szCs w:val="32"/>
              </w:rPr>
              <w:t>3</w:t>
            </w:r>
          </w:p>
        </w:tc>
        <w:tc>
          <w:tcPr>
            <w:tcW w:w="3935" w:type="dxa"/>
            <w:noWrap/>
            <w:vAlign w:val="center"/>
          </w:tcPr>
          <w:p w14:paraId="1EAB1E25">
            <w:pPr>
              <w:snapToGrid w:val="0"/>
              <w:spacing w:line="380" w:lineRule="exact"/>
              <w:jc w:val="center"/>
              <w:rPr>
                <w:rFonts w:ascii="仿宋_GB2312"/>
                <w:szCs w:val="32"/>
              </w:rPr>
            </w:pPr>
            <w:r>
              <w:rPr>
                <w:rFonts w:hint="eastAsia" w:ascii="仿宋_GB2312"/>
                <w:szCs w:val="32"/>
              </w:rPr>
              <w:t>弯曲强度</w:t>
            </w:r>
          </w:p>
        </w:tc>
        <w:tc>
          <w:tcPr>
            <w:tcW w:w="3819" w:type="dxa"/>
            <w:noWrap/>
            <w:vAlign w:val="center"/>
          </w:tcPr>
          <w:p w14:paraId="49D80A10">
            <w:pPr>
              <w:snapToGrid w:val="0"/>
              <w:spacing w:line="380" w:lineRule="exact"/>
              <w:jc w:val="center"/>
              <w:rPr>
                <w:rFonts w:ascii="仿宋_GB2312"/>
                <w:szCs w:val="32"/>
              </w:rPr>
            </w:pPr>
            <w:r>
              <w:rPr>
                <w:rFonts w:hint="eastAsia" w:ascii="仿宋_GB2312"/>
                <w:szCs w:val="32"/>
              </w:rPr>
              <w:t>GB/T 35160.2—2017</w:t>
            </w:r>
          </w:p>
        </w:tc>
      </w:tr>
      <w:tr w14:paraId="2BB1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414" w:type="dxa"/>
            <w:noWrap/>
            <w:vAlign w:val="center"/>
          </w:tcPr>
          <w:p w14:paraId="5C5B8D03">
            <w:pPr>
              <w:snapToGrid w:val="0"/>
              <w:spacing w:line="380" w:lineRule="exact"/>
              <w:jc w:val="center"/>
              <w:rPr>
                <w:rFonts w:ascii="仿宋_GB2312"/>
                <w:szCs w:val="32"/>
              </w:rPr>
            </w:pPr>
            <w:r>
              <w:rPr>
                <w:rFonts w:hint="eastAsia" w:ascii="仿宋_GB2312"/>
                <w:szCs w:val="32"/>
              </w:rPr>
              <w:t>4</w:t>
            </w:r>
          </w:p>
        </w:tc>
        <w:tc>
          <w:tcPr>
            <w:tcW w:w="3935" w:type="dxa"/>
            <w:noWrap/>
            <w:vAlign w:val="center"/>
          </w:tcPr>
          <w:p w14:paraId="17069B54">
            <w:pPr>
              <w:snapToGrid w:val="0"/>
              <w:spacing w:line="380" w:lineRule="exact"/>
              <w:jc w:val="center"/>
              <w:rPr>
                <w:rFonts w:ascii="仿宋_GB2312"/>
                <w:szCs w:val="32"/>
              </w:rPr>
            </w:pPr>
            <w:r>
              <w:rPr>
                <w:rFonts w:hint="eastAsia" w:ascii="仿宋_GB2312"/>
                <w:szCs w:val="32"/>
              </w:rPr>
              <w:t>线性热膨胀系数</w:t>
            </w:r>
          </w:p>
        </w:tc>
        <w:tc>
          <w:tcPr>
            <w:tcW w:w="3819" w:type="dxa"/>
            <w:noWrap/>
            <w:vAlign w:val="center"/>
          </w:tcPr>
          <w:p w14:paraId="2B36EA35">
            <w:pPr>
              <w:snapToGrid w:val="0"/>
              <w:spacing w:line="380" w:lineRule="exact"/>
              <w:jc w:val="center"/>
              <w:rPr>
                <w:rFonts w:ascii="仿宋_GB2312"/>
                <w:szCs w:val="32"/>
              </w:rPr>
            </w:pPr>
            <w:r>
              <w:rPr>
                <w:rFonts w:hint="eastAsia" w:ascii="仿宋_GB2312"/>
                <w:szCs w:val="32"/>
              </w:rPr>
              <w:t>GB/T 35157—2017</w:t>
            </w:r>
          </w:p>
        </w:tc>
      </w:tr>
      <w:tr w14:paraId="737E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414" w:type="dxa"/>
            <w:noWrap/>
            <w:vAlign w:val="center"/>
          </w:tcPr>
          <w:p w14:paraId="7ED08D32">
            <w:pPr>
              <w:snapToGrid w:val="0"/>
              <w:spacing w:line="380" w:lineRule="exact"/>
              <w:jc w:val="center"/>
              <w:rPr>
                <w:rFonts w:ascii="仿宋_GB2312"/>
                <w:szCs w:val="32"/>
              </w:rPr>
            </w:pPr>
            <w:r>
              <w:rPr>
                <w:rFonts w:hint="eastAsia" w:ascii="仿宋_GB2312"/>
                <w:szCs w:val="32"/>
              </w:rPr>
              <w:t>5</w:t>
            </w:r>
          </w:p>
        </w:tc>
        <w:tc>
          <w:tcPr>
            <w:tcW w:w="3935" w:type="dxa"/>
            <w:noWrap/>
            <w:vAlign w:val="center"/>
          </w:tcPr>
          <w:p w14:paraId="46B55EE5">
            <w:pPr>
              <w:snapToGrid w:val="0"/>
              <w:spacing w:line="380" w:lineRule="exact"/>
              <w:jc w:val="center"/>
              <w:rPr>
                <w:rFonts w:ascii="仿宋_GB2312"/>
                <w:szCs w:val="32"/>
              </w:rPr>
            </w:pPr>
            <w:r>
              <w:rPr>
                <w:rFonts w:hint="eastAsia" w:ascii="仿宋_GB2312"/>
                <w:szCs w:val="32"/>
              </w:rPr>
              <w:t>耐高温性能</w:t>
            </w:r>
            <w:r>
              <w:rPr>
                <w:rFonts w:hint="eastAsia" w:ascii="仿宋_GB2312"/>
                <w:szCs w:val="32"/>
                <w:vertAlign w:val="superscript"/>
              </w:rPr>
              <w:t>a</w:t>
            </w:r>
          </w:p>
        </w:tc>
        <w:tc>
          <w:tcPr>
            <w:tcW w:w="3819" w:type="dxa"/>
            <w:noWrap/>
            <w:vAlign w:val="center"/>
          </w:tcPr>
          <w:p w14:paraId="4D7EA3B6">
            <w:pPr>
              <w:snapToGrid w:val="0"/>
              <w:spacing w:line="380" w:lineRule="exact"/>
              <w:jc w:val="center"/>
              <w:rPr>
                <w:rFonts w:ascii="仿宋_GB2312"/>
                <w:szCs w:val="32"/>
              </w:rPr>
            </w:pPr>
            <w:r>
              <w:rPr>
                <w:rFonts w:hint="eastAsia" w:ascii="仿宋_GB2312"/>
                <w:szCs w:val="32"/>
              </w:rPr>
              <w:t>GB/T 35157—2017</w:t>
            </w:r>
          </w:p>
        </w:tc>
      </w:tr>
      <w:tr w14:paraId="0F62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414" w:type="dxa"/>
            <w:noWrap/>
            <w:vAlign w:val="center"/>
          </w:tcPr>
          <w:p w14:paraId="67197AB3">
            <w:pPr>
              <w:snapToGrid w:val="0"/>
              <w:spacing w:line="380" w:lineRule="exact"/>
              <w:jc w:val="center"/>
              <w:rPr>
                <w:rFonts w:ascii="仿宋_GB2312"/>
                <w:szCs w:val="32"/>
              </w:rPr>
            </w:pPr>
            <w:r>
              <w:rPr>
                <w:rFonts w:hint="eastAsia" w:ascii="仿宋_GB2312"/>
                <w:szCs w:val="32"/>
              </w:rPr>
              <w:t>6</w:t>
            </w:r>
          </w:p>
        </w:tc>
        <w:tc>
          <w:tcPr>
            <w:tcW w:w="3935" w:type="dxa"/>
            <w:noWrap/>
            <w:vAlign w:val="center"/>
          </w:tcPr>
          <w:p w14:paraId="39EFA3EE">
            <w:pPr>
              <w:snapToGrid w:val="0"/>
              <w:spacing w:line="380" w:lineRule="exact"/>
              <w:jc w:val="center"/>
              <w:rPr>
                <w:rFonts w:ascii="仿宋_GB2312"/>
                <w:szCs w:val="32"/>
              </w:rPr>
            </w:pPr>
            <w:r>
              <w:rPr>
                <w:rFonts w:hint="eastAsia" w:ascii="仿宋_GB2312"/>
                <w:szCs w:val="32"/>
              </w:rPr>
              <w:t>放射性</w:t>
            </w:r>
          </w:p>
        </w:tc>
        <w:tc>
          <w:tcPr>
            <w:tcW w:w="3819" w:type="dxa"/>
            <w:noWrap/>
            <w:vAlign w:val="center"/>
          </w:tcPr>
          <w:p w14:paraId="3E6E7C84">
            <w:pPr>
              <w:snapToGrid w:val="0"/>
              <w:spacing w:line="380" w:lineRule="exact"/>
              <w:jc w:val="center"/>
              <w:rPr>
                <w:rFonts w:ascii="仿宋_GB2312"/>
                <w:szCs w:val="32"/>
              </w:rPr>
            </w:pPr>
            <w:r>
              <w:rPr>
                <w:rFonts w:hint="eastAsia" w:ascii="仿宋_GB2312"/>
                <w:szCs w:val="32"/>
              </w:rPr>
              <w:t>GB/T 35157—2017</w:t>
            </w:r>
          </w:p>
        </w:tc>
      </w:tr>
    </w:tbl>
    <w:p w14:paraId="05967A73">
      <w:pPr>
        <w:snapToGrid w:val="0"/>
        <w:spacing w:line="560" w:lineRule="exact"/>
        <w:ind w:firstLine="640" w:firstLineChars="200"/>
        <w:rPr>
          <w:szCs w:val="32"/>
        </w:rPr>
      </w:pPr>
      <w:r>
        <w:rPr>
          <w:szCs w:val="32"/>
        </w:rPr>
        <w:t>备注：</w:t>
      </w:r>
      <w:r>
        <w:rPr>
          <w:szCs w:val="32"/>
          <w:vertAlign w:val="superscript"/>
        </w:rPr>
        <w:t>a</w:t>
      </w:r>
      <w:r>
        <w:rPr>
          <w:szCs w:val="32"/>
        </w:rPr>
        <w:t>该指标不适用墙面用、地面用板材，只出检验结果不参与判定。</w:t>
      </w:r>
    </w:p>
    <w:p w14:paraId="0FA6C948">
      <w:pPr>
        <w:snapToGrid w:val="0"/>
        <w:spacing w:line="560" w:lineRule="exact"/>
        <w:ind w:firstLine="640" w:firstLineChars="200"/>
        <w:rPr>
          <w:szCs w:val="32"/>
        </w:rPr>
      </w:pPr>
      <w:r>
        <w:rPr>
          <w:rFonts w:hint="eastAsia"/>
          <w:szCs w:val="32"/>
        </w:rPr>
        <w:t>执行企业标准、团体标准、地方标准的产品，检验项目参照上述内容执行。</w:t>
      </w:r>
    </w:p>
    <w:p w14:paraId="6BF8AB5D">
      <w:pPr>
        <w:snapToGrid w:val="0"/>
        <w:spacing w:line="560" w:lineRule="exact"/>
        <w:ind w:firstLine="640" w:firstLineChars="200"/>
        <w:rPr>
          <w:szCs w:val="32"/>
        </w:rPr>
      </w:pPr>
      <w:r>
        <w:rPr>
          <w:szCs w:val="32"/>
        </w:rPr>
        <w:t>凡是注日期的文件，其随后所有的修改单（不包括勘误的内容）或修订版不适用于本细则。凡是不注日期的文件，其最新版本适用于本细则。</w:t>
      </w:r>
    </w:p>
    <w:p w14:paraId="00944279">
      <w:pPr>
        <w:snapToGrid w:val="0"/>
        <w:spacing w:line="560" w:lineRule="exact"/>
        <w:ind w:firstLine="640" w:firstLineChars="200"/>
        <w:rPr>
          <w:rFonts w:eastAsia="方正小标宋简体"/>
          <w:szCs w:val="32"/>
        </w:rPr>
      </w:pPr>
      <w:r>
        <w:rPr>
          <w:rFonts w:eastAsia="方正小标宋简体"/>
          <w:szCs w:val="32"/>
        </w:rPr>
        <w:t>3 判定规则</w:t>
      </w:r>
    </w:p>
    <w:p w14:paraId="40C944A2">
      <w:pPr>
        <w:snapToGrid w:val="0"/>
        <w:spacing w:line="560" w:lineRule="exact"/>
        <w:ind w:firstLine="640" w:firstLineChars="200"/>
        <w:rPr>
          <w:szCs w:val="32"/>
        </w:rPr>
      </w:pPr>
      <w:r>
        <w:rPr>
          <w:szCs w:val="32"/>
        </w:rPr>
        <w:t>3.1依据标准</w:t>
      </w:r>
    </w:p>
    <w:p w14:paraId="7722D78F">
      <w:pPr>
        <w:snapToGrid w:val="0"/>
        <w:spacing w:line="560" w:lineRule="exact"/>
        <w:ind w:firstLine="640" w:firstLineChars="200"/>
        <w:rPr>
          <w:szCs w:val="32"/>
        </w:rPr>
      </w:pPr>
      <w:r>
        <w:rPr>
          <w:rFonts w:hint="eastAsia"/>
          <w:szCs w:val="32"/>
        </w:rPr>
        <w:t>GB/T 35157—2017《树脂型合成石板材》</w:t>
      </w:r>
    </w:p>
    <w:p w14:paraId="02D66C94">
      <w:pPr>
        <w:snapToGrid w:val="0"/>
        <w:spacing w:line="560" w:lineRule="exact"/>
        <w:ind w:firstLine="640" w:firstLineChars="200"/>
        <w:rPr>
          <w:szCs w:val="32"/>
        </w:rPr>
      </w:pPr>
      <w:r>
        <w:rPr>
          <w:szCs w:val="32"/>
        </w:rPr>
        <w:t>现行有效的企业标准、团体标准、地方标准及产品明示质量要求</w:t>
      </w:r>
    </w:p>
    <w:p w14:paraId="18692222">
      <w:pPr>
        <w:snapToGrid w:val="0"/>
        <w:spacing w:line="560" w:lineRule="exact"/>
        <w:ind w:firstLine="640" w:firstLineChars="200"/>
        <w:rPr>
          <w:szCs w:val="32"/>
        </w:rPr>
      </w:pPr>
      <w:r>
        <w:rPr>
          <w:szCs w:val="32"/>
        </w:rPr>
        <w:t>3.2判定原则</w:t>
      </w:r>
    </w:p>
    <w:p w14:paraId="3BCBED81">
      <w:pPr>
        <w:snapToGrid w:val="0"/>
        <w:spacing w:line="560" w:lineRule="exact"/>
        <w:ind w:firstLine="640" w:firstLineChars="200"/>
        <w:rPr>
          <w:szCs w:val="32"/>
        </w:rPr>
      </w:pPr>
      <w:r>
        <w:rPr>
          <w:szCs w:val="32"/>
        </w:rPr>
        <w:t>经检验，检验项目全部合格，判定为被抽查产品</w:t>
      </w:r>
      <w:r>
        <w:rPr>
          <w:rFonts w:hint="eastAsia"/>
          <w:szCs w:val="32"/>
        </w:rPr>
        <w:t>所检项目未发现不</w:t>
      </w:r>
      <w:r>
        <w:rPr>
          <w:szCs w:val="32"/>
        </w:rPr>
        <w:t>合格；检验项目中任一项或一项以上不合格，判定为被抽查产品不合格。</w:t>
      </w:r>
    </w:p>
    <w:p w14:paraId="066FFADD">
      <w:pPr>
        <w:snapToGrid w:val="0"/>
        <w:spacing w:line="560" w:lineRule="exact"/>
        <w:ind w:firstLine="640" w:firstLineChars="200"/>
        <w:rPr>
          <w:szCs w:val="32"/>
        </w:rPr>
      </w:pPr>
      <w:r>
        <w:rPr>
          <w:szCs w:val="32"/>
        </w:rPr>
        <w:t>若被检产品明示的质量要求高于本细则中检验项目依据的标准要求时，应按被检产品明示的质量要求判定。</w:t>
      </w:r>
    </w:p>
    <w:p w14:paraId="121AE315">
      <w:pPr>
        <w:snapToGrid w:val="0"/>
        <w:spacing w:line="560" w:lineRule="exact"/>
        <w:ind w:firstLine="640" w:firstLineChars="200"/>
        <w:rPr>
          <w:rFonts w:eastAsia="宋体"/>
          <w:sz w:val="21"/>
          <w:szCs w:val="21"/>
        </w:rPr>
      </w:pPr>
      <w:r>
        <w:rPr>
          <w:szCs w:val="32"/>
        </w:rPr>
        <w:t>若被检产品明示的质量要求低于本细则中检验项目依据的强制性标准要求时，应按照强制性标准要求判定</w:t>
      </w:r>
      <w:r>
        <w:rPr>
          <w:rFonts w:eastAsia="宋体"/>
          <w:sz w:val="21"/>
          <w:szCs w:val="21"/>
        </w:rPr>
        <w:t>。</w:t>
      </w:r>
    </w:p>
    <w:p w14:paraId="21A68B56">
      <w:pPr>
        <w:snapToGrid w:val="0"/>
        <w:spacing w:line="560" w:lineRule="exact"/>
        <w:ind w:firstLine="640" w:firstLineChars="200"/>
        <w:rPr>
          <w:szCs w:val="32"/>
        </w:rPr>
      </w:pPr>
      <w:r>
        <w:rPr>
          <w:szCs w:val="32"/>
        </w:rPr>
        <w:t>若被检产品明示的质量要求低于或包含本细则中检验项目依据的推荐性标准要求时，应以被检产品明示的质量要求判定。</w:t>
      </w:r>
    </w:p>
    <w:p w14:paraId="4308C0A9">
      <w:pPr>
        <w:snapToGrid w:val="0"/>
        <w:spacing w:line="560" w:lineRule="exact"/>
        <w:ind w:firstLine="640" w:firstLineChars="200"/>
        <w:rPr>
          <w:szCs w:val="32"/>
        </w:rPr>
      </w:pPr>
      <w:r>
        <w:rPr>
          <w:szCs w:val="32"/>
        </w:rPr>
        <w:t>若被检产品明示的质量要求缺少本细则中检验项目依据的强制性标准要求时，应按照强制性标准要求判定。</w:t>
      </w:r>
    </w:p>
    <w:p w14:paraId="729C5687">
      <w:pPr>
        <w:snapToGrid w:val="0"/>
        <w:spacing w:line="560" w:lineRule="exact"/>
        <w:ind w:firstLine="640" w:firstLineChars="200"/>
        <w:rPr>
          <w:szCs w:val="32"/>
        </w:rPr>
      </w:pPr>
      <w:r>
        <w:rPr>
          <w:szCs w:val="32"/>
        </w:rPr>
        <w:t>若被检产品明示的质量要求缺少本细则中检验项目依据的推荐性标准要求时，该项目不参与判定。</w:t>
      </w:r>
    </w:p>
    <w:sectPr>
      <w:footerReference r:id="rId3" w:type="default"/>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118"/>
      <w:docPartObj>
        <w:docPartGallery w:val="autotext"/>
      </w:docPartObj>
    </w:sdtPr>
    <w:sdtContent>
      <w:p w14:paraId="3F859B52">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57CA0E8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000A48E6"/>
    <w:rsid w:val="000C5AB6"/>
    <w:rsid w:val="000E1D5E"/>
    <w:rsid w:val="00117779"/>
    <w:rsid w:val="00131E35"/>
    <w:rsid w:val="00251B07"/>
    <w:rsid w:val="00284714"/>
    <w:rsid w:val="002D587E"/>
    <w:rsid w:val="002F3C6F"/>
    <w:rsid w:val="0033320B"/>
    <w:rsid w:val="00370B35"/>
    <w:rsid w:val="003C5626"/>
    <w:rsid w:val="00482B42"/>
    <w:rsid w:val="00493177"/>
    <w:rsid w:val="004D0BC2"/>
    <w:rsid w:val="004E0826"/>
    <w:rsid w:val="004F2390"/>
    <w:rsid w:val="005C1200"/>
    <w:rsid w:val="005E003B"/>
    <w:rsid w:val="005E106B"/>
    <w:rsid w:val="0060306F"/>
    <w:rsid w:val="00647B51"/>
    <w:rsid w:val="00772BAE"/>
    <w:rsid w:val="008540BD"/>
    <w:rsid w:val="008602E0"/>
    <w:rsid w:val="008A0315"/>
    <w:rsid w:val="008D34FF"/>
    <w:rsid w:val="00912D7E"/>
    <w:rsid w:val="0093511F"/>
    <w:rsid w:val="00955EB7"/>
    <w:rsid w:val="00994473"/>
    <w:rsid w:val="00A51D2D"/>
    <w:rsid w:val="00A81BB5"/>
    <w:rsid w:val="00AB33D6"/>
    <w:rsid w:val="00AB489C"/>
    <w:rsid w:val="00AB51ED"/>
    <w:rsid w:val="00AE04CD"/>
    <w:rsid w:val="00BA2CBD"/>
    <w:rsid w:val="00BA3EF7"/>
    <w:rsid w:val="00BA4965"/>
    <w:rsid w:val="00BF7FAA"/>
    <w:rsid w:val="00C36902"/>
    <w:rsid w:val="00C77762"/>
    <w:rsid w:val="00D150D6"/>
    <w:rsid w:val="00D8568E"/>
    <w:rsid w:val="00DB7C55"/>
    <w:rsid w:val="00DE40E9"/>
    <w:rsid w:val="00DF790C"/>
    <w:rsid w:val="00E1766F"/>
    <w:rsid w:val="00E270A6"/>
    <w:rsid w:val="00E35DDF"/>
    <w:rsid w:val="00E978A9"/>
    <w:rsid w:val="00EB4FC6"/>
    <w:rsid w:val="00EC4B0E"/>
    <w:rsid w:val="00ED4F5E"/>
    <w:rsid w:val="00FB54B0"/>
    <w:rsid w:val="00FE1C72"/>
    <w:rsid w:val="47CB4C9E"/>
    <w:rsid w:val="573511D9"/>
    <w:rsid w:val="67A72E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8">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页眉 Char"/>
    <w:basedOn w:val="7"/>
    <w:link w:val="4"/>
    <w:qFormat/>
    <w:uiPriority w:val="0"/>
    <w:rPr>
      <w:rFonts w:ascii="Times New Roman" w:hAnsi="Times New Roman" w:eastAsia="仿宋_GB2312" w:cs="Times New Roman"/>
      <w:kern w:val="2"/>
      <w:sz w:val="18"/>
      <w:szCs w:val="18"/>
    </w:rPr>
  </w:style>
  <w:style w:type="character" w:customStyle="1" w:styleId="10">
    <w:name w:val="页脚 Char"/>
    <w:basedOn w:val="7"/>
    <w:link w:val="3"/>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省市场监督管理局</Company>
  <Pages>3</Pages>
  <Words>1037</Words>
  <Characters>1286</Characters>
  <Lines>3</Lines>
  <Paragraphs>2</Paragraphs>
  <TotalTime>0</TotalTime>
  <ScaleCrop>false</ScaleCrop>
  <LinksUpToDate>false</LinksUpToDate>
  <CharactersWithSpaces>1299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2024-08-21T08:42:00Z</dcterms:created>
  <dc:creator>金俊敏</dc:creator>
  <cp:lastModifiedBy>刘金棠</cp:lastModifiedBy>
  <dcterms:modified xsi:type="dcterms:W3CDTF">2025-07-23T07:02:30Z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0C7A6F10687A4F72A39F08030CE1DE72_13</vt:lpwstr>
  </property>
  <property fmtid="{D5CDD505-2E9C-101B-9397-08002B2CF9AE}" pid="4" name="KSOTemplateDocerSaveRecord">
    <vt:lpwstr>eyJoZGlkIjoiYTljNmExOTYxMTg0MTAzZTI2YThhOWQ3ZmRjMzUxODIifQ==</vt:lpwstr>
  </property>
</Properties>
</file>