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6636">
      <w:pPr>
        <w:pStyle w:val="8"/>
        <w:widowControl/>
        <w:snapToGrid w:val="0"/>
        <w:spacing w:line="600" w:lineRule="exact"/>
        <w:jc w:val="center"/>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eastAsia="zh-CN"/>
        </w:rPr>
        <w:t>《云浮市云城区</w:t>
      </w:r>
      <w:r>
        <w:rPr>
          <w:rFonts w:hint="eastAsia" w:asciiTheme="majorEastAsia" w:hAnsiTheme="majorEastAsia" w:eastAsiaTheme="majorEastAsia" w:cstheme="majorEastAsia"/>
          <w:b/>
          <w:bCs/>
          <w:sz w:val="44"/>
          <w:szCs w:val="44"/>
          <w:lang w:val="en-US"/>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lang w:eastAsia="zh-CN"/>
        </w:rPr>
        <w:t>年城镇国有建设用地使用权基准地价更新成果》政策解读</w:t>
      </w:r>
    </w:p>
    <w:p w14:paraId="23D58111">
      <w:pPr>
        <w:pStyle w:val="8"/>
        <w:widowControl/>
        <w:snapToGrid w:val="0"/>
        <w:spacing w:line="600" w:lineRule="exact"/>
        <w:ind w:left="0" w:firstLine="640" w:firstLineChars="200"/>
        <w:rPr>
          <w:rFonts w:hint="default" w:ascii="Times New Roman" w:hAnsi="Times New Roman" w:eastAsia="仿宋_GB2312" w:cs="Times New Roman"/>
          <w:sz w:val="32"/>
          <w:szCs w:val="20"/>
          <w:lang w:val="en-US"/>
        </w:rPr>
      </w:pPr>
    </w:p>
    <w:p w14:paraId="12639484">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一、基准地价成果更新依据</w:t>
      </w:r>
    </w:p>
    <w:p w14:paraId="2C7E1993">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eastAsia="zh-CN"/>
        </w:rPr>
        <w:t>根据《中华人民共和国城市房地产管理法》第三十三条“基准地价、标定地价和各类房屋的重置价格应当定期确定并公布”以及</w:t>
      </w:r>
      <w:r>
        <w:rPr>
          <w:rFonts w:hint="eastAsia" w:ascii="仿宋_GB2312" w:hAnsi="仿宋_GB2312" w:eastAsia="仿宋_GB2312" w:cs="仿宋_GB2312"/>
          <w:sz w:val="32"/>
          <w:szCs w:val="32"/>
        </w:rPr>
        <w:t>《广东省人民政府关于印发广东省土地要素市场化配置改革行动方案的通知》（粤府函〔2022〕301号</w:t>
      </w:r>
      <w:r>
        <w:rPr>
          <w:rFonts w:hint="eastAsia" w:ascii="仿宋_GB2312" w:hAnsi="仿宋_GB2312" w:eastAsia="仿宋_GB2312" w:cs="仿宋_GB2312"/>
          <w:sz w:val="32"/>
          <w:szCs w:val="32"/>
          <w:lang w:eastAsia="zh-CN"/>
        </w:rPr>
        <w:t>）《自然资源部办公厅关于加强城镇建设用地基准地价管理的通知》（自然资办发〔</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20"/>
          <w:lang w:eastAsia="zh-CN"/>
        </w:rPr>
        <w:t>文件要求，基准地价原则上每3年全面更新一次，土地级别因素、土地质量空间分布或不动产市场价格水平已发生重大变化时，基准地价应当及时更新，基准地价定期更新是政府部门一项常规性工作。我市云城区现行基准地价为</w:t>
      </w:r>
      <w:r>
        <w:rPr>
          <w:rFonts w:hint="eastAsia" w:ascii="仿宋_GB2312" w:hAnsi="仿宋_GB2312" w:eastAsia="仿宋_GB2312" w:cs="仿宋_GB2312"/>
          <w:sz w:val="32"/>
          <w:szCs w:val="20"/>
          <w:lang w:val="en-US"/>
        </w:rPr>
        <w:t>20</w:t>
      </w:r>
      <w:r>
        <w:rPr>
          <w:rFonts w:hint="eastAsia" w:ascii="仿宋_GB2312" w:hAnsi="仿宋_GB2312" w:eastAsia="仿宋_GB2312" w:cs="仿宋_GB2312"/>
          <w:sz w:val="32"/>
          <w:szCs w:val="20"/>
          <w:lang w:val="en-US" w:eastAsia="zh-CN"/>
        </w:rPr>
        <w:t>22</w:t>
      </w:r>
      <w:r>
        <w:rPr>
          <w:rFonts w:hint="eastAsia" w:ascii="仿宋_GB2312" w:hAnsi="仿宋_GB2312" w:eastAsia="仿宋_GB2312" w:cs="仿宋_GB2312"/>
          <w:sz w:val="32"/>
          <w:szCs w:val="20"/>
          <w:lang w:eastAsia="zh-CN"/>
        </w:rPr>
        <w:t>年</w:t>
      </w: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val="en-US" w:eastAsia="zh-CN"/>
        </w:rPr>
        <w:t>1</w:t>
      </w:r>
      <w:r>
        <w:rPr>
          <w:rFonts w:hint="eastAsia" w:ascii="仿宋_GB2312" w:hAnsi="仿宋_GB2312" w:eastAsia="仿宋_GB2312" w:cs="仿宋_GB2312"/>
          <w:sz w:val="32"/>
          <w:szCs w:val="20"/>
          <w:lang w:eastAsia="zh-CN"/>
        </w:rPr>
        <w:t>月</w:t>
      </w:r>
      <w:r>
        <w:rPr>
          <w:rFonts w:hint="eastAsia" w:ascii="仿宋_GB2312" w:hAnsi="仿宋_GB2312" w:eastAsia="仿宋_GB2312" w:cs="仿宋_GB2312"/>
          <w:sz w:val="32"/>
          <w:szCs w:val="20"/>
          <w:lang w:val="en-US" w:eastAsia="zh-CN"/>
        </w:rPr>
        <w:t>1</w:t>
      </w:r>
      <w:r>
        <w:rPr>
          <w:rFonts w:hint="eastAsia" w:ascii="仿宋_GB2312" w:hAnsi="仿宋_GB2312" w:eastAsia="仿宋_GB2312" w:cs="仿宋_GB2312"/>
          <w:sz w:val="32"/>
          <w:szCs w:val="20"/>
          <w:lang w:eastAsia="zh-CN"/>
        </w:rPr>
        <w:t>日公布的成果，估价期日为</w:t>
      </w:r>
      <w:r>
        <w:rPr>
          <w:rFonts w:hint="eastAsia" w:ascii="仿宋_GB2312" w:hAnsi="仿宋_GB2312" w:eastAsia="仿宋_GB2312" w:cs="仿宋_GB2312"/>
          <w:sz w:val="32"/>
          <w:szCs w:val="20"/>
          <w:lang w:val="en-US" w:eastAsia="zh-CN"/>
        </w:rPr>
        <w:t>2021年7月1日，</w:t>
      </w:r>
      <w:r>
        <w:rPr>
          <w:rFonts w:hint="eastAsia" w:ascii="仿宋_GB2312" w:hAnsi="仿宋_GB2312" w:eastAsia="仿宋_GB2312" w:cs="仿宋_GB2312"/>
          <w:sz w:val="32"/>
          <w:szCs w:val="20"/>
          <w:lang w:eastAsia="zh-CN"/>
        </w:rPr>
        <w:t>现已超</w:t>
      </w:r>
      <w:r>
        <w:rPr>
          <w:rFonts w:hint="eastAsia" w:ascii="仿宋_GB2312" w:hAnsi="仿宋_GB2312" w:eastAsia="仿宋_GB2312" w:cs="仿宋_GB2312"/>
          <w:sz w:val="32"/>
          <w:szCs w:val="20"/>
          <w:lang w:val="en-US"/>
        </w:rPr>
        <w:t>3</w:t>
      </w:r>
      <w:r>
        <w:rPr>
          <w:rFonts w:hint="eastAsia" w:ascii="仿宋_GB2312" w:hAnsi="仿宋_GB2312" w:eastAsia="仿宋_GB2312" w:cs="仿宋_GB2312"/>
          <w:sz w:val="32"/>
          <w:szCs w:val="20"/>
          <w:lang w:eastAsia="zh-CN"/>
        </w:rPr>
        <w:t>年，本次基准地价更新工作为适应我市云城区地价发展的客观现状，有利于加强地价管理，维护土地市场正常秩序，实现土地资源宏观调控。</w:t>
      </w:r>
    </w:p>
    <w:p w14:paraId="0AE90F10">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二、基准地价的概念</w:t>
      </w:r>
    </w:p>
    <w:p w14:paraId="7FDE3CB7">
      <w:pPr>
        <w:pStyle w:val="8"/>
        <w:widowControl/>
        <w:snapToGrid w:val="0"/>
        <w:spacing w:line="600" w:lineRule="exact"/>
        <w:ind w:left="0" w:firstLine="640" w:firstLineChars="200"/>
        <w:rPr>
          <w:rFonts w:hint="default" w:ascii="Times New Roman" w:hAnsi="Times New Roman" w:eastAsia="仿宋_GB2312" w:cs="Times New Roman"/>
          <w:sz w:val="32"/>
          <w:szCs w:val="20"/>
          <w:lang w:val="en-US"/>
        </w:rPr>
      </w:pPr>
      <w:r>
        <w:rPr>
          <w:rFonts w:hint="default" w:ascii="Times New Roman" w:hAnsi="Times New Roman" w:eastAsia="仿宋_GB2312" w:cs="Times New Roman"/>
          <w:sz w:val="32"/>
          <w:szCs w:val="20"/>
          <w:lang w:eastAsia="zh-CN"/>
        </w:rPr>
        <w:t>基准地价是在土地利用总体规划确定的城镇可建设用地范围内，对平均开发利用条件下，不同级别或不同均质地域的建设用地，按照商服、住宅、工业等用途分别评估，并由政府确定的，于某一估价期日法定最高使用年期土地权利的区域平均价格。基准地价作为正常的房地产市场供需状况下的土地价格，反映土地市场在一段时期内的整体变化趋势，是自然资源管理形势分析的重要基础数据，是政府宏观调控土地市场的重要手段之一。</w:t>
      </w:r>
    </w:p>
    <w:p w14:paraId="42AD6BAA">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三、基准地价编制的依据</w:t>
      </w:r>
    </w:p>
    <w:p w14:paraId="1D955B97">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、《中华人民共和国土地管理法》（</w:t>
      </w:r>
      <w:r>
        <w:rPr>
          <w:rFonts w:hint="eastAsia" w:ascii="仿宋_GB2312" w:hAnsi="仿宋_GB2312" w:eastAsia="仿宋_GB2312" w:cs="仿宋_GB2312"/>
          <w:sz w:val="32"/>
          <w:szCs w:val="20"/>
          <w:lang w:val="en-US"/>
        </w:rPr>
        <w:t>2019</w:t>
      </w:r>
      <w:r>
        <w:rPr>
          <w:rFonts w:hint="eastAsia" w:ascii="仿宋_GB2312" w:hAnsi="仿宋_GB2312" w:eastAsia="仿宋_GB2312" w:cs="仿宋_GB2312"/>
          <w:sz w:val="32"/>
          <w:szCs w:val="20"/>
          <w:lang w:eastAsia="zh-CN"/>
        </w:rPr>
        <w:t>年</w:t>
      </w:r>
      <w:r>
        <w:rPr>
          <w:rFonts w:hint="eastAsia" w:ascii="仿宋_GB2312" w:hAnsi="仿宋_GB2312" w:eastAsia="仿宋_GB2312" w:cs="仿宋_GB2312"/>
          <w:sz w:val="32"/>
          <w:szCs w:val="20"/>
          <w:lang w:val="en-US"/>
        </w:rPr>
        <w:t>8</w:t>
      </w:r>
      <w:r>
        <w:rPr>
          <w:rFonts w:hint="eastAsia" w:ascii="仿宋_GB2312" w:hAnsi="仿宋_GB2312" w:eastAsia="仿宋_GB2312" w:cs="仿宋_GB2312"/>
          <w:sz w:val="32"/>
          <w:szCs w:val="20"/>
          <w:lang w:eastAsia="zh-CN"/>
        </w:rPr>
        <w:t>月</w:t>
      </w:r>
      <w:r>
        <w:rPr>
          <w:rFonts w:hint="eastAsia" w:ascii="仿宋_GB2312" w:hAnsi="仿宋_GB2312" w:eastAsia="仿宋_GB2312" w:cs="仿宋_GB2312"/>
          <w:sz w:val="32"/>
          <w:szCs w:val="20"/>
          <w:lang w:val="en-US"/>
        </w:rPr>
        <w:t>26</w:t>
      </w:r>
      <w:r>
        <w:rPr>
          <w:rFonts w:hint="eastAsia" w:ascii="仿宋_GB2312" w:hAnsi="仿宋_GB2312" w:eastAsia="仿宋_GB2312" w:cs="仿宋_GB2312"/>
          <w:sz w:val="32"/>
          <w:szCs w:val="20"/>
          <w:lang w:eastAsia="zh-CN"/>
        </w:rPr>
        <w:t>日第十三届全国人民代表大会常务委员会第十二次会议修订，自</w:t>
      </w:r>
      <w:r>
        <w:rPr>
          <w:rFonts w:hint="eastAsia" w:ascii="仿宋_GB2312" w:hAnsi="仿宋_GB2312" w:eastAsia="仿宋_GB2312" w:cs="仿宋_GB2312"/>
          <w:sz w:val="32"/>
          <w:szCs w:val="20"/>
          <w:lang w:val="en-US"/>
        </w:rPr>
        <w:t>2020</w:t>
      </w:r>
      <w:r>
        <w:rPr>
          <w:rFonts w:hint="eastAsia" w:ascii="仿宋_GB2312" w:hAnsi="仿宋_GB2312" w:eastAsia="仿宋_GB2312" w:cs="仿宋_GB2312"/>
          <w:sz w:val="32"/>
          <w:szCs w:val="20"/>
          <w:lang w:eastAsia="zh-CN"/>
        </w:rPr>
        <w:t>年</w:t>
      </w: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月</w:t>
      </w: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日起施行）；</w:t>
      </w:r>
    </w:p>
    <w:p w14:paraId="662534F8">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2</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32"/>
          <w:lang w:eastAsia="zh-CN"/>
        </w:rPr>
        <w:t>《自然资源部办公厅关于加强城镇建设用地基准地价管理的通知》（自然资办发〔</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20"/>
          <w:lang w:eastAsia="zh-CN"/>
        </w:rPr>
        <w:t>；</w:t>
      </w:r>
    </w:p>
    <w:p w14:paraId="27356E2D">
      <w:pPr>
        <w:pStyle w:val="8"/>
        <w:widowControl/>
        <w:snapToGrid w:val="0"/>
        <w:spacing w:line="600" w:lineRule="exact"/>
        <w:ind w:left="0" w:firstLine="640" w:firstLineChars="200"/>
        <w:rPr>
          <w:rFonts w:hint="eastAsia" w:ascii="仿宋_GB2312" w:hAnsi="仿宋_GB2312" w:eastAsia="仿宋_GB2312" w:cs="仿宋_GB2312"/>
          <w:sz w:val="32"/>
          <w:szCs w:val="20"/>
          <w:lang w:eastAsia="zh-CN"/>
        </w:rPr>
      </w:pPr>
      <w:r>
        <w:rPr>
          <w:rFonts w:hint="eastAsia" w:ascii="仿宋_GB2312" w:hAnsi="仿宋_GB2312" w:eastAsia="仿宋_GB2312" w:cs="仿宋_GB2312"/>
          <w:sz w:val="32"/>
          <w:szCs w:val="20"/>
          <w:lang w:val="en-US"/>
        </w:rPr>
        <w:t>3</w:t>
      </w:r>
      <w:r>
        <w:rPr>
          <w:rFonts w:hint="eastAsia" w:ascii="仿宋_GB2312" w:hAnsi="仿宋_GB2312" w:eastAsia="仿宋_GB2312" w:cs="仿宋_GB2312"/>
          <w:sz w:val="32"/>
          <w:szCs w:val="20"/>
          <w:lang w:eastAsia="zh-CN"/>
        </w:rPr>
        <w:t>、</w:t>
      </w:r>
      <w:r>
        <w:rPr>
          <w:rFonts w:hint="eastAsia" w:ascii="仿宋_GB2312" w:hAnsi="仿宋_GB2312" w:eastAsia="仿宋_GB2312" w:cs="仿宋_GB2312"/>
          <w:sz w:val="32"/>
          <w:szCs w:val="32"/>
          <w:lang w:eastAsia="zh-CN"/>
        </w:rPr>
        <w:t>《广东省自然资源厅转发自然资源部办公厅关于加强城镇建设用地基准地价管理的通知》</w:t>
      </w:r>
      <w:r>
        <w:rPr>
          <w:rFonts w:hint="eastAsia" w:ascii="仿宋_GB2312" w:hAnsi="仿宋_GB2312" w:eastAsia="仿宋_GB2312" w:cs="仿宋_GB2312"/>
          <w:sz w:val="32"/>
          <w:szCs w:val="20"/>
          <w:lang w:eastAsia="zh-CN"/>
        </w:rPr>
        <w:t>；</w:t>
      </w:r>
    </w:p>
    <w:p w14:paraId="2C292F1A">
      <w:pPr>
        <w:pStyle w:val="8"/>
        <w:widowControl/>
        <w:snapToGrid w:val="0"/>
        <w:spacing w:line="600" w:lineRule="exact"/>
        <w:ind w:left="0" w:firstLine="640" w:firstLineChars="200"/>
        <w:rPr>
          <w:rFonts w:hint="eastAsia" w:ascii="仿宋_GB2312" w:hAnsi="仿宋_GB2312" w:eastAsia="仿宋_GB2312" w:cs="仿宋_GB2312"/>
          <w:sz w:val="32"/>
          <w:szCs w:val="20"/>
          <w:highlight w:val="none"/>
          <w:lang w:eastAsia="zh-CN"/>
        </w:rPr>
      </w:pPr>
      <w:r>
        <w:rPr>
          <w:rFonts w:hint="eastAsia" w:ascii="仿宋_GB2312" w:hAnsi="仿宋_GB2312" w:eastAsia="仿宋_GB2312" w:cs="仿宋_GB2312"/>
          <w:sz w:val="32"/>
          <w:szCs w:val="20"/>
          <w:lang w:val="en-US" w:eastAsia="zh-CN"/>
        </w:rPr>
        <w:t>4、</w:t>
      </w:r>
      <w:r>
        <w:rPr>
          <w:rFonts w:hint="eastAsia" w:ascii="仿宋_GB2312" w:hAnsi="仿宋_GB2312" w:eastAsia="仿宋_GB2312" w:cs="仿宋_GB2312"/>
          <w:sz w:val="32"/>
          <w:szCs w:val="20"/>
          <w:highlight w:val="none"/>
          <w:lang w:eastAsia="zh-CN"/>
        </w:rPr>
        <w:t>《自然资源分等定级通则》（TD/T 1060-2021）；</w:t>
      </w:r>
    </w:p>
    <w:p w14:paraId="5EBA84DD">
      <w:pPr>
        <w:pStyle w:val="8"/>
        <w:widowControl/>
        <w:snapToGrid w:val="0"/>
        <w:spacing w:line="600" w:lineRule="exact"/>
        <w:ind w:left="0" w:firstLine="640" w:firstLineChars="200"/>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5、</w:t>
      </w:r>
      <w:r>
        <w:rPr>
          <w:rFonts w:hint="eastAsia" w:ascii="仿宋_GB2312" w:hAnsi="仿宋_GB2312" w:eastAsia="仿宋_GB2312" w:cs="仿宋_GB2312"/>
          <w:sz w:val="32"/>
          <w:szCs w:val="20"/>
          <w:highlight w:val="none"/>
          <w:lang w:eastAsia="zh-CN"/>
        </w:rPr>
        <w:t>《自然资源价格评估通则》（TD/T 1061-2021）；</w:t>
      </w:r>
    </w:p>
    <w:p w14:paraId="0D151119">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eastAsia="zh-CN"/>
        </w:rPr>
        <w:t>6</w:t>
      </w:r>
      <w:r>
        <w:rPr>
          <w:rFonts w:hint="eastAsia" w:ascii="仿宋_GB2312" w:hAnsi="仿宋_GB2312" w:eastAsia="仿宋_GB2312" w:cs="仿宋_GB2312"/>
          <w:sz w:val="32"/>
          <w:szCs w:val="20"/>
          <w:lang w:eastAsia="zh-CN"/>
        </w:rPr>
        <w:t>、《国土空间调查、规划、用途管制用地用海分类指南》（自然资发〔2023〕234号）。</w:t>
      </w:r>
    </w:p>
    <w:p w14:paraId="1441955D">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四、基准地价编制过程</w:t>
      </w:r>
    </w:p>
    <w:p w14:paraId="7F224534">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、前期工作准备；</w:t>
      </w:r>
    </w:p>
    <w:p w14:paraId="7E294BB4">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2</w:t>
      </w:r>
      <w:r>
        <w:rPr>
          <w:rFonts w:hint="eastAsia" w:ascii="仿宋_GB2312" w:hAnsi="仿宋_GB2312" w:eastAsia="仿宋_GB2312" w:cs="仿宋_GB2312"/>
          <w:sz w:val="32"/>
          <w:szCs w:val="20"/>
          <w:lang w:eastAsia="zh-CN"/>
        </w:rPr>
        <w:t>、外业调查；</w:t>
      </w:r>
    </w:p>
    <w:p w14:paraId="4F8D9A2D">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3</w:t>
      </w:r>
      <w:r>
        <w:rPr>
          <w:rFonts w:hint="eastAsia" w:ascii="仿宋_GB2312" w:hAnsi="仿宋_GB2312" w:eastAsia="仿宋_GB2312" w:cs="仿宋_GB2312"/>
          <w:sz w:val="32"/>
          <w:szCs w:val="20"/>
          <w:lang w:eastAsia="zh-CN"/>
        </w:rPr>
        <w:t>、资料收集、整理；</w:t>
      </w:r>
    </w:p>
    <w:p w14:paraId="1D527FAF">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4</w:t>
      </w:r>
      <w:r>
        <w:rPr>
          <w:rFonts w:hint="eastAsia" w:ascii="仿宋_GB2312" w:hAnsi="仿宋_GB2312" w:eastAsia="仿宋_GB2312" w:cs="仿宋_GB2312"/>
          <w:sz w:val="32"/>
          <w:szCs w:val="20"/>
          <w:lang w:eastAsia="zh-CN"/>
        </w:rPr>
        <w:t>、内业土地定级与基准地价评估；</w:t>
      </w:r>
    </w:p>
    <w:p w14:paraId="34F9489F">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5</w:t>
      </w:r>
      <w:r>
        <w:rPr>
          <w:rFonts w:hint="eastAsia" w:ascii="仿宋_GB2312" w:hAnsi="仿宋_GB2312" w:eastAsia="仿宋_GB2312" w:cs="仿宋_GB2312"/>
          <w:sz w:val="32"/>
          <w:szCs w:val="20"/>
          <w:lang w:eastAsia="zh-CN"/>
        </w:rPr>
        <w:t>、初步成果提交；</w:t>
      </w:r>
    </w:p>
    <w:p w14:paraId="5F83D079">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6</w:t>
      </w:r>
      <w:r>
        <w:rPr>
          <w:rFonts w:hint="eastAsia" w:ascii="仿宋_GB2312" w:hAnsi="仿宋_GB2312" w:eastAsia="仿宋_GB2312" w:cs="仿宋_GB2312"/>
          <w:sz w:val="32"/>
          <w:szCs w:val="20"/>
          <w:lang w:eastAsia="zh-CN"/>
        </w:rPr>
        <w:t>、意见征询；</w:t>
      </w:r>
    </w:p>
    <w:p w14:paraId="246D9F68">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7</w:t>
      </w:r>
      <w:r>
        <w:rPr>
          <w:rFonts w:hint="eastAsia" w:ascii="仿宋_GB2312" w:hAnsi="仿宋_GB2312" w:eastAsia="仿宋_GB2312" w:cs="仿宋_GB2312"/>
          <w:sz w:val="32"/>
          <w:szCs w:val="20"/>
          <w:lang w:eastAsia="zh-CN"/>
        </w:rPr>
        <w:t>、公开听证；</w:t>
      </w:r>
    </w:p>
    <w:p w14:paraId="5CEB2CE1">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8</w:t>
      </w:r>
      <w:r>
        <w:rPr>
          <w:rFonts w:hint="eastAsia" w:ascii="仿宋_GB2312" w:hAnsi="仿宋_GB2312" w:eastAsia="仿宋_GB2312" w:cs="仿宋_GB2312"/>
          <w:sz w:val="32"/>
          <w:szCs w:val="20"/>
          <w:lang w:eastAsia="zh-CN"/>
        </w:rPr>
        <w:t>、市级专家评审；</w:t>
      </w:r>
    </w:p>
    <w:p w14:paraId="5948F2A4">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9</w:t>
      </w:r>
      <w:r>
        <w:rPr>
          <w:rFonts w:hint="eastAsia" w:ascii="仿宋_GB2312" w:hAnsi="仿宋_GB2312" w:eastAsia="仿宋_GB2312" w:cs="仿宋_GB2312"/>
          <w:sz w:val="32"/>
          <w:szCs w:val="20"/>
          <w:lang w:eastAsia="zh-CN"/>
        </w:rPr>
        <w:t>、省厅复审验收；</w:t>
      </w:r>
    </w:p>
    <w:p w14:paraId="242EAA89">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10</w:t>
      </w:r>
      <w:r>
        <w:rPr>
          <w:rFonts w:hint="eastAsia" w:ascii="仿宋_GB2312" w:hAnsi="仿宋_GB2312" w:eastAsia="仿宋_GB2312" w:cs="仿宋_GB2312"/>
          <w:sz w:val="32"/>
          <w:szCs w:val="20"/>
          <w:lang w:eastAsia="zh-CN"/>
        </w:rPr>
        <w:t>、上报市政府审批；</w:t>
      </w:r>
    </w:p>
    <w:p w14:paraId="65AD91CA">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11</w:t>
      </w:r>
      <w:r>
        <w:rPr>
          <w:rFonts w:hint="eastAsia" w:ascii="仿宋_GB2312" w:hAnsi="仿宋_GB2312" w:eastAsia="仿宋_GB2312" w:cs="仿宋_GB2312"/>
          <w:sz w:val="32"/>
          <w:szCs w:val="20"/>
          <w:lang w:eastAsia="zh-CN"/>
        </w:rPr>
        <w:t>、公布实施。</w:t>
      </w:r>
    </w:p>
    <w:p w14:paraId="7F3F2692">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五、基准地价更新的意义</w:t>
      </w:r>
    </w:p>
    <w:p w14:paraId="3033A3A8">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、指导和规范地产市场，在价格上理顺地产市场关系，维护正常的地产市场秩序；</w:t>
      </w:r>
    </w:p>
    <w:p w14:paraId="759B2B06">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2</w:t>
      </w:r>
      <w:r>
        <w:rPr>
          <w:rFonts w:hint="eastAsia" w:ascii="仿宋_GB2312" w:hAnsi="仿宋_GB2312" w:eastAsia="仿宋_GB2312" w:cs="仿宋_GB2312"/>
          <w:sz w:val="32"/>
          <w:szCs w:val="20"/>
          <w:lang w:eastAsia="zh-CN"/>
        </w:rPr>
        <w:t>、合理引导投资方向和土地利用方式，为土地投资者或其他市场交易行为提供价格指导和决策参考；</w:t>
      </w:r>
    </w:p>
    <w:p w14:paraId="4C84349D">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3</w:t>
      </w:r>
      <w:r>
        <w:rPr>
          <w:rFonts w:hint="eastAsia" w:ascii="仿宋_GB2312" w:hAnsi="仿宋_GB2312" w:eastAsia="仿宋_GB2312" w:cs="仿宋_GB2312"/>
          <w:sz w:val="32"/>
          <w:szCs w:val="20"/>
          <w:lang w:eastAsia="zh-CN"/>
        </w:rPr>
        <w:t>、为企业改制中核定各企业、单位占有的国有土地资产和股份制试点企业以土地作价入股对应价值提供价格标准</w:t>
      </w:r>
      <w:r>
        <w:rPr>
          <w:rFonts w:hint="eastAsia" w:ascii="仿宋_GB2312" w:hAnsi="仿宋_GB2312" w:eastAsia="仿宋_GB2312" w:cs="仿宋_GB2312"/>
          <w:sz w:val="32"/>
          <w:lang w:eastAsia="zh-CN"/>
        </w:rPr>
        <w:t>参考</w:t>
      </w:r>
      <w:r>
        <w:rPr>
          <w:rFonts w:hint="eastAsia" w:ascii="仿宋_GB2312" w:hAnsi="仿宋_GB2312" w:eastAsia="仿宋_GB2312" w:cs="仿宋_GB2312"/>
          <w:sz w:val="32"/>
          <w:szCs w:val="20"/>
          <w:lang w:eastAsia="zh-CN"/>
        </w:rPr>
        <w:t>；</w:t>
      </w:r>
    </w:p>
    <w:p w14:paraId="73A85C8D">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4</w:t>
      </w:r>
      <w:r>
        <w:rPr>
          <w:rFonts w:hint="eastAsia" w:ascii="仿宋_GB2312" w:hAnsi="仿宋_GB2312" w:eastAsia="仿宋_GB2312" w:cs="仿宋_GB2312"/>
          <w:sz w:val="32"/>
          <w:szCs w:val="20"/>
          <w:lang w:eastAsia="zh-CN"/>
        </w:rPr>
        <w:t>、完善国有土地使用权实现方式、促进生态文明建设、优化土地资源配置。</w:t>
      </w:r>
    </w:p>
    <w:p w14:paraId="097A22C9">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六、基准地价更新重要调整内容</w:t>
      </w:r>
    </w:p>
    <w:p w14:paraId="3FBB96F1">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、调整估价期日，</w:t>
      </w:r>
      <w:r>
        <w:rPr>
          <w:rFonts w:hint="eastAsia" w:ascii="仿宋_GB2312" w:hAnsi="仿宋_GB2312" w:eastAsia="仿宋_GB2312" w:cs="仿宋_GB2312"/>
          <w:sz w:val="32"/>
          <w:szCs w:val="20"/>
          <w:lang w:val="en-US"/>
        </w:rPr>
        <w:t>20</w:t>
      </w:r>
      <w:r>
        <w:rPr>
          <w:rFonts w:hint="eastAsia" w:ascii="仿宋_GB2312" w:hAnsi="仿宋_GB2312" w:eastAsia="仿宋_GB2312" w:cs="仿宋_GB2312"/>
          <w:sz w:val="32"/>
          <w:szCs w:val="20"/>
          <w:lang w:val="en-US" w:eastAsia="zh-CN"/>
        </w:rPr>
        <w:t>21</w:t>
      </w:r>
      <w:r>
        <w:rPr>
          <w:rFonts w:hint="eastAsia" w:ascii="仿宋_GB2312" w:hAnsi="仿宋_GB2312" w:eastAsia="仿宋_GB2312" w:cs="仿宋_GB2312"/>
          <w:sz w:val="32"/>
          <w:szCs w:val="20"/>
          <w:lang w:eastAsia="zh-CN"/>
        </w:rPr>
        <w:t>年</w:t>
      </w:r>
      <w:r>
        <w:rPr>
          <w:rFonts w:hint="eastAsia" w:ascii="仿宋_GB2312" w:hAnsi="仿宋_GB2312" w:eastAsia="仿宋_GB2312" w:cs="仿宋_GB2312"/>
          <w:sz w:val="32"/>
          <w:szCs w:val="20"/>
          <w:lang w:val="en-US" w:eastAsia="zh-CN"/>
        </w:rPr>
        <w:t>7</w:t>
      </w:r>
      <w:r>
        <w:rPr>
          <w:rFonts w:hint="eastAsia" w:ascii="仿宋_GB2312" w:hAnsi="仿宋_GB2312" w:eastAsia="仿宋_GB2312" w:cs="仿宋_GB2312"/>
          <w:sz w:val="32"/>
          <w:szCs w:val="20"/>
          <w:lang w:eastAsia="zh-CN"/>
        </w:rPr>
        <w:t>月</w:t>
      </w: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日调整为</w:t>
      </w:r>
      <w:r>
        <w:rPr>
          <w:rFonts w:hint="eastAsia" w:ascii="仿宋_GB2312" w:hAnsi="仿宋_GB2312" w:eastAsia="仿宋_GB2312" w:cs="仿宋_GB2312"/>
          <w:sz w:val="32"/>
          <w:szCs w:val="20"/>
          <w:lang w:val="en-US"/>
        </w:rPr>
        <w:t>202</w:t>
      </w:r>
      <w:r>
        <w:rPr>
          <w:rFonts w:hint="eastAsia" w:ascii="仿宋_GB2312" w:hAnsi="仿宋_GB2312" w:eastAsia="仿宋_GB2312" w:cs="仿宋_GB2312"/>
          <w:sz w:val="32"/>
          <w:szCs w:val="20"/>
          <w:lang w:val="en-US" w:eastAsia="zh-CN"/>
        </w:rPr>
        <w:t>4</w:t>
      </w:r>
      <w:r>
        <w:rPr>
          <w:rFonts w:hint="eastAsia" w:ascii="仿宋_GB2312" w:hAnsi="仿宋_GB2312" w:eastAsia="仿宋_GB2312" w:cs="仿宋_GB2312"/>
          <w:sz w:val="32"/>
          <w:szCs w:val="20"/>
          <w:lang w:eastAsia="zh-CN"/>
        </w:rPr>
        <w:t>年</w:t>
      </w:r>
      <w:r>
        <w:rPr>
          <w:rFonts w:hint="eastAsia" w:ascii="仿宋_GB2312" w:hAnsi="仿宋_GB2312" w:eastAsia="仿宋_GB2312" w:cs="仿宋_GB2312"/>
          <w:sz w:val="32"/>
          <w:szCs w:val="20"/>
          <w:lang w:val="en-US"/>
        </w:rPr>
        <w:t>7</w:t>
      </w:r>
      <w:r>
        <w:rPr>
          <w:rFonts w:hint="eastAsia" w:ascii="仿宋_GB2312" w:hAnsi="仿宋_GB2312" w:eastAsia="仿宋_GB2312" w:cs="仿宋_GB2312"/>
          <w:sz w:val="32"/>
          <w:szCs w:val="20"/>
          <w:lang w:eastAsia="zh-CN"/>
        </w:rPr>
        <w:t>月</w:t>
      </w:r>
      <w:r>
        <w:rPr>
          <w:rFonts w:hint="eastAsia" w:ascii="仿宋_GB2312" w:hAnsi="仿宋_GB2312" w:eastAsia="仿宋_GB2312" w:cs="仿宋_GB2312"/>
          <w:sz w:val="32"/>
          <w:szCs w:val="20"/>
          <w:lang w:val="en-US"/>
        </w:rPr>
        <w:t>1</w:t>
      </w:r>
      <w:r>
        <w:rPr>
          <w:rFonts w:hint="eastAsia" w:ascii="仿宋_GB2312" w:hAnsi="仿宋_GB2312" w:eastAsia="仿宋_GB2312" w:cs="仿宋_GB2312"/>
          <w:sz w:val="32"/>
          <w:szCs w:val="20"/>
          <w:lang w:eastAsia="zh-CN"/>
        </w:rPr>
        <w:t>日；</w:t>
      </w:r>
    </w:p>
    <w:p w14:paraId="4B60D921">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2</w:t>
      </w:r>
      <w:r>
        <w:rPr>
          <w:rFonts w:hint="eastAsia" w:ascii="仿宋_GB2312" w:hAnsi="仿宋_GB2312" w:eastAsia="仿宋_GB2312" w:cs="仿宋_GB2312"/>
          <w:sz w:val="32"/>
          <w:szCs w:val="20"/>
          <w:lang w:eastAsia="zh-CN"/>
        </w:rPr>
        <w:t>、完善基准地价修正体系。“公共服务项目用地（类别一）”更新名称为“公共管理与公共服务用地”，“公共服务项目用地（类别二）”更新名称为“公用设施用地”。商服用地（区域因素</w:t>
      </w:r>
      <w:r>
        <w:rPr>
          <w:rFonts w:hint="eastAsia" w:ascii="仿宋_GB2312" w:hAnsi="仿宋_GB2312" w:eastAsia="仿宋_GB2312" w:cs="仿宋_GB2312"/>
          <w:sz w:val="32"/>
          <w:szCs w:val="20"/>
          <w:lang w:val="en-US" w:eastAsia="zh-CN"/>
        </w:rPr>
        <w:t>修正</w:t>
      </w:r>
      <w:r>
        <w:rPr>
          <w:rFonts w:hint="eastAsia" w:ascii="仿宋_GB2312" w:hAnsi="仿宋_GB2312" w:eastAsia="仿宋_GB2312" w:cs="仿宋_GB2312"/>
          <w:sz w:val="32"/>
          <w:szCs w:val="20"/>
          <w:lang w:eastAsia="zh-CN"/>
        </w:rPr>
        <w:t>、容积率</w:t>
      </w:r>
      <w:r>
        <w:rPr>
          <w:rFonts w:hint="eastAsia" w:ascii="仿宋_GB2312" w:hAnsi="仿宋_GB2312" w:eastAsia="仿宋_GB2312" w:cs="仿宋_GB2312"/>
          <w:sz w:val="32"/>
          <w:szCs w:val="20"/>
          <w:lang w:val="en-US" w:eastAsia="zh-CN"/>
        </w:rPr>
        <w:t>修正</w:t>
      </w:r>
      <w:r>
        <w:rPr>
          <w:rFonts w:hint="eastAsia" w:ascii="仿宋_GB2312" w:hAnsi="仿宋_GB2312" w:eastAsia="仿宋_GB2312" w:cs="仿宋_GB2312"/>
          <w:sz w:val="32"/>
          <w:szCs w:val="20"/>
          <w:lang w:eastAsia="zh-CN"/>
        </w:rPr>
        <w:t>、土地开发程度</w:t>
      </w:r>
      <w:r>
        <w:rPr>
          <w:rFonts w:hint="eastAsia" w:ascii="仿宋_GB2312" w:hAnsi="仿宋_GB2312" w:eastAsia="仿宋_GB2312" w:cs="仿宋_GB2312"/>
          <w:sz w:val="32"/>
          <w:szCs w:val="20"/>
          <w:lang w:val="en-US" w:eastAsia="zh-CN"/>
        </w:rPr>
        <w:t>修正</w:t>
      </w:r>
      <w:r>
        <w:rPr>
          <w:rFonts w:hint="eastAsia" w:ascii="仿宋_GB2312" w:hAnsi="仿宋_GB2312" w:eastAsia="仿宋_GB2312" w:cs="仿宋_GB2312"/>
          <w:sz w:val="32"/>
          <w:szCs w:val="20"/>
          <w:lang w:eastAsia="zh-CN"/>
        </w:rPr>
        <w:t>）；住宅用地（容积率</w:t>
      </w:r>
      <w:r>
        <w:rPr>
          <w:rFonts w:hint="eastAsia" w:ascii="仿宋_GB2312" w:hAnsi="仿宋_GB2312" w:eastAsia="仿宋_GB2312" w:cs="仿宋_GB2312"/>
          <w:sz w:val="32"/>
          <w:szCs w:val="20"/>
          <w:lang w:val="en-US" w:eastAsia="zh-CN"/>
        </w:rPr>
        <w:t>修正</w:t>
      </w:r>
      <w:r>
        <w:rPr>
          <w:rFonts w:hint="eastAsia" w:ascii="仿宋_GB2312" w:hAnsi="仿宋_GB2312" w:eastAsia="仿宋_GB2312" w:cs="仿宋_GB2312"/>
          <w:sz w:val="32"/>
          <w:szCs w:val="20"/>
          <w:lang w:eastAsia="zh-CN"/>
        </w:rPr>
        <w:t>、楼层修正）；其他用地价格参照系数（新增工业用地</w:t>
      </w:r>
      <w:r>
        <w:rPr>
          <w:rFonts w:hint="eastAsia" w:ascii="仿宋_GB2312" w:hAnsi="仿宋_GB2312" w:eastAsia="仿宋_GB2312" w:cs="仿宋_GB2312"/>
          <w:sz w:val="32"/>
          <w:szCs w:val="20"/>
          <w:lang w:val="en-US" w:eastAsia="zh-CN"/>
        </w:rPr>
        <w:t>M3的修正系数</w:t>
      </w:r>
      <w:r>
        <w:rPr>
          <w:rFonts w:hint="eastAsia" w:ascii="仿宋_GB2312" w:hAnsi="仿宋_GB2312" w:eastAsia="仿宋_GB2312" w:cs="仿宋_GB2312"/>
          <w:sz w:val="32"/>
          <w:szCs w:val="20"/>
          <w:lang w:eastAsia="zh-CN"/>
        </w:rPr>
        <w:t>）等。</w:t>
      </w:r>
    </w:p>
    <w:p w14:paraId="5481FEFF">
      <w:pPr>
        <w:pStyle w:val="8"/>
        <w:keepNext/>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rPr>
        <w:t>3</w:t>
      </w:r>
      <w:r>
        <w:rPr>
          <w:rFonts w:hint="eastAsia" w:ascii="仿宋_GB2312" w:hAnsi="仿宋_GB2312" w:eastAsia="仿宋_GB2312" w:cs="仿宋_GB2312"/>
          <w:sz w:val="32"/>
          <w:szCs w:val="20"/>
          <w:lang w:eastAsia="zh-CN"/>
        </w:rPr>
        <w:t>、云城区全域范围平均地价水平为：</w:t>
      </w:r>
    </w:p>
    <w:p w14:paraId="4527867F">
      <w:pPr>
        <w:keepNext/>
        <w:keepLines w:val="0"/>
        <w:widowControl/>
        <w:suppressLineNumbers w:val="0"/>
        <w:adjustRightInd w:val="0"/>
        <w:snapToGrid w:val="0"/>
        <w:spacing w:before="78" w:beforeLines="25" w:beforeAutospacing="0" w:after="78" w:afterLines="25" w:afterAutospacing="0"/>
        <w:ind w:left="420" w:right="0"/>
        <w:jc w:val="center"/>
        <w:outlineLvl w:val="8"/>
        <w:rPr>
          <w:rFonts w:hint="default" w:ascii="Times New Roman" w:hAnsi="Times New Roman" w:eastAsia="仿宋_GB2312" w:cs="Times New Roman"/>
          <w:b/>
          <w:bCs w:val="0"/>
          <w:kern w:val="28"/>
          <w:sz w:val="24"/>
          <w:szCs w:val="24"/>
          <w:lang w:val="en-US"/>
        </w:rPr>
      </w:pPr>
      <w:r>
        <w:rPr>
          <w:rFonts w:hint="default" w:ascii="Times New Roman" w:hAnsi="Times New Roman" w:eastAsia="仿宋_GB2312" w:cs="Times New Roman"/>
          <w:b/>
          <w:bCs w:val="0"/>
          <w:kern w:val="28"/>
          <w:sz w:val="24"/>
          <w:szCs w:val="24"/>
          <w:lang w:val="en-US" w:eastAsia="zh-CN" w:bidi="ar"/>
        </w:rPr>
        <w:t>云浮市云城区各用途用地级别基准地价（内涵地价）</w:t>
      </w:r>
    </w:p>
    <w:p w14:paraId="137F1070">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kern w:val="0"/>
          <w:szCs w:val="21"/>
          <w:lang w:val="en-US"/>
        </w:rPr>
      </w:pPr>
      <w:r>
        <w:rPr>
          <w:rFonts w:hint="default" w:ascii="Times New Roman" w:hAnsi="Times New Roman" w:eastAsia="仿宋_GB2312" w:cs="Times New Roman"/>
          <w:kern w:val="0"/>
          <w:sz w:val="21"/>
          <w:szCs w:val="21"/>
          <w:lang w:val="en-US" w:eastAsia="zh-CN" w:bidi="ar"/>
        </w:rPr>
        <w:t>单位：元/平方米</w:t>
      </w:r>
    </w:p>
    <w:tbl>
      <w:tblPr>
        <w:tblStyle w:val="5"/>
        <w:tblW w:w="5000" w:type="pct"/>
        <w:tblInd w:w="0" w:type="dxa"/>
        <w:tblLayout w:type="autofit"/>
        <w:tblCellMar>
          <w:top w:w="0" w:type="dxa"/>
          <w:left w:w="108" w:type="dxa"/>
          <w:bottom w:w="0" w:type="dxa"/>
          <w:right w:w="108" w:type="dxa"/>
        </w:tblCellMar>
      </w:tblPr>
      <w:tblGrid>
        <w:gridCol w:w="1610"/>
        <w:gridCol w:w="1705"/>
        <w:gridCol w:w="1187"/>
        <w:gridCol w:w="1146"/>
        <w:gridCol w:w="1492"/>
        <w:gridCol w:w="1382"/>
      </w:tblGrid>
      <w:tr w14:paraId="728628ED">
        <w:tblPrEx>
          <w:tblCellMar>
            <w:top w:w="0" w:type="dxa"/>
            <w:left w:w="108" w:type="dxa"/>
            <w:bottom w:w="0" w:type="dxa"/>
            <w:right w:w="108" w:type="dxa"/>
          </w:tblCellMar>
        </w:tblPrEx>
        <w:trPr>
          <w:trHeight w:val="227" w:hRule="atLeast"/>
          <w:tblHeader/>
        </w:trPr>
        <w:tc>
          <w:tcPr>
            <w:tcW w:w="944" w:type="pct"/>
            <w:tcBorders>
              <w:top w:val="single" w:color="auto" w:sz="4" w:space="0"/>
              <w:left w:val="single" w:color="auto" w:sz="4" w:space="0"/>
              <w:right w:val="single" w:color="auto" w:sz="4" w:space="0"/>
              <w:tl2br w:val="single" w:color="auto" w:sz="4" w:space="0"/>
            </w:tcBorders>
            <w:shd w:val="clear" w:color="auto" w:fill="auto"/>
            <w:vAlign w:val="center"/>
          </w:tcPr>
          <w:p w14:paraId="099A1A7A">
            <w:pPr>
              <w:keepNext w:val="0"/>
              <w:keepLines w:val="0"/>
              <w:widowControl/>
              <w:suppressLineNumbers w:val="0"/>
              <w:spacing w:before="0" w:beforeAutospacing="0" w:after="0" w:afterAutospacing="0" w:line="240" w:lineRule="auto"/>
              <w:ind w:left="0" w:right="0" w:firstLine="538" w:firstLineChars="255"/>
              <w:jc w:val="center"/>
              <w:textAlignment w:val="center"/>
              <w:rPr>
                <w:rFonts w:hint="default" w:ascii="Times New Roman" w:hAnsi="Times New Roman" w:eastAsia="仿宋_GB2312" w:cs="Times New Roman"/>
                <w:b/>
                <w:color w:val="auto"/>
                <w:kern w:val="0"/>
              </w:rPr>
            </w:pPr>
            <w:r>
              <w:rPr>
                <w:rFonts w:hint="default" w:ascii="Times New Roman" w:hAnsi="Times New Roman" w:eastAsia="仿宋_GB2312" w:cs="Times New Roman"/>
                <w:b/>
                <w:color w:val="auto"/>
                <w:kern w:val="0"/>
              </w:rPr>
              <w:t>土地用途</w:t>
            </w:r>
          </w:p>
          <w:p w14:paraId="3374E1BF">
            <w:pPr>
              <w:keepNext w:val="0"/>
              <w:keepLines w:val="0"/>
              <w:widowControl/>
              <w:suppressLineNumbers w:val="0"/>
              <w:spacing w:before="0" w:beforeAutospacing="0" w:after="0" w:afterAutospacing="0" w:line="240" w:lineRule="auto"/>
              <w:ind w:left="0" w:right="0" w:firstLine="0"/>
              <w:jc w:val="left"/>
              <w:textAlignment w:val="center"/>
              <w:rPr>
                <w:rFonts w:hint="default" w:ascii="Times New Roman" w:hAnsi="Times New Roman" w:eastAsia="仿宋_GB2312" w:cs="Times New Roman"/>
                <w:b/>
                <w:color w:val="auto"/>
                <w:kern w:val="0"/>
              </w:rPr>
            </w:pPr>
            <w:r>
              <w:rPr>
                <w:rFonts w:hint="default" w:ascii="Times New Roman" w:hAnsi="Times New Roman" w:eastAsia="仿宋_GB2312" w:cs="Times New Roman"/>
                <w:b/>
                <w:color w:val="auto"/>
                <w:kern w:val="0"/>
              </w:rPr>
              <w:t>级别</w:t>
            </w:r>
          </w:p>
        </w:tc>
        <w:tc>
          <w:tcPr>
            <w:tcW w:w="1000" w:type="pct"/>
            <w:tcBorders>
              <w:top w:val="single" w:color="auto" w:sz="4" w:space="0"/>
              <w:left w:val="nil"/>
              <w:right w:val="single" w:color="auto" w:sz="4" w:space="0"/>
            </w:tcBorders>
            <w:shd w:val="clear" w:color="auto" w:fill="auto"/>
            <w:vAlign w:val="center"/>
          </w:tcPr>
          <w:p w14:paraId="5C9FDDC7">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rPr>
            </w:pPr>
            <w:r>
              <w:rPr>
                <w:rFonts w:hint="default" w:ascii="Times New Roman" w:hAnsi="Times New Roman" w:eastAsia="仿宋_GB2312" w:cs="Times New Roman"/>
                <w:b/>
                <w:color w:val="auto"/>
                <w:kern w:val="0"/>
              </w:rPr>
              <w:t>商服用地</w:t>
            </w:r>
          </w:p>
          <w:p w14:paraId="435B6E83">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lang w:eastAsia="zh-CN"/>
              </w:rPr>
            </w:pPr>
            <w:r>
              <w:rPr>
                <w:rFonts w:hint="default" w:ascii="Times New Roman" w:hAnsi="Times New Roman" w:eastAsia="仿宋_GB2312" w:cs="Times New Roman"/>
                <w:b/>
                <w:color w:val="auto"/>
                <w:kern w:val="0"/>
                <w:lang w:eastAsia="zh-CN"/>
              </w:rPr>
              <w:t>（不含路线价）</w:t>
            </w:r>
          </w:p>
        </w:tc>
        <w:tc>
          <w:tcPr>
            <w:tcW w:w="696" w:type="pct"/>
            <w:tcBorders>
              <w:top w:val="single" w:color="auto" w:sz="4" w:space="0"/>
              <w:left w:val="nil"/>
              <w:right w:val="single" w:color="auto" w:sz="4" w:space="0"/>
            </w:tcBorders>
            <w:shd w:val="clear" w:color="auto" w:fill="auto"/>
            <w:vAlign w:val="center"/>
          </w:tcPr>
          <w:p w14:paraId="4FAADCAF">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rPr>
            </w:pPr>
            <w:r>
              <w:rPr>
                <w:rFonts w:hint="default" w:ascii="Times New Roman" w:hAnsi="Times New Roman" w:eastAsia="仿宋_GB2312" w:cs="Times New Roman"/>
                <w:b/>
                <w:color w:val="auto"/>
                <w:kern w:val="0"/>
              </w:rPr>
              <w:t>住宅用地</w:t>
            </w:r>
          </w:p>
        </w:tc>
        <w:tc>
          <w:tcPr>
            <w:tcW w:w="672" w:type="pct"/>
            <w:tcBorders>
              <w:top w:val="single" w:color="auto" w:sz="4" w:space="0"/>
              <w:left w:val="nil"/>
              <w:right w:val="single" w:color="auto" w:sz="4" w:space="0"/>
            </w:tcBorders>
            <w:shd w:val="clear" w:color="auto" w:fill="auto"/>
            <w:vAlign w:val="center"/>
          </w:tcPr>
          <w:p w14:paraId="7403A68B">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rPr>
            </w:pPr>
            <w:r>
              <w:rPr>
                <w:rFonts w:hint="default" w:ascii="Times New Roman" w:hAnsi="Times New Roman" w:eastAsia="仿宋_GB2312" w:cs="Times New Roman"/>
                <w:b/>
                <w:color w:val="auto"/>
                <w:kern w:val="0"/>
              </w:rPr>
              <w:t>工业用地</w:t>
            </w:r>
          </w:p>
        </w:tc>
        <w:tc>
          <w:tcPr>
            <w:tcW w:w="875" w:type="pct"/>
            <w:tcBorders>
              <w:top w:val="single" w:color="auto" w:sz="4" w:space="0"/>
              <w:left w:val="nil"/>
              <w:right w:val="single" w:color="auto" w:sz="4" w:space="0"/>
            </w:tcBorders>
            <w:vAlign w:val="center"/>
          </w:tcPr>
          <w:p w14:paraId="011A5DBC">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lang w:eastAsia="zh-CN"/>
              </w:rPr>
            </w:pPr>
            <w:r>
              <w:rPr>
                <w:rFonts w:hint="default" w:ascii="Times New Roman" w:hAnsi="Times New Roman" w:eastAsia="仿宋_GB2312" w:cs="Times New Roman"/>
                <w:b/>
                <w:color w:val="auto"/>
                <w:kern w:val="0"/>
                <w:lang w:eastAsia="zh-CN"/>
              </w:rPr>
              <w:t>公共管理与公共服务用地</w:t>
            </w:r>
          </w:p>
        </w:tc>
        <w:tc>
          <w:tcPr>
            <w:tcW w:w="810" w:type="pct"/>
            <w:tcBorders>
              <w:top w:val="single" w:color="auto" w:sz="4" w:space="0"/>
              <w:left w:val="nil"/>
              <w:bottom w:val="single" w:color="auto" w:sz="4" w:space="0"/>
              <w:right w:val="single" w:color="auto" w:sz="4" w:space="0"/>
            </w:tcBorders>
            <w:vAlign w:val="center"/>
          </w:tcPr>
          <w:p w14:paraId="4CA3E33D">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b/>
                <w:color w:val="auto"/>
                <w:kern w:val="0"/>
                <w:lang w:eastAsia="zh-CN"/>
              </w:rPr>
            </w:pPr>
            <w:r>
              <w:rPr>
                <w:rFonts w:hint="default" w:ascii="Times New Roman" w:hAnsi="Times New Roman" w:eastAsia="仿宋_GB2312" w:cs="Times New Roman"/>
                <w:b/>
                <w:color w:val="auto"/>
                <w:kern w:val="0"/>
                <w:lang w:eastAsia="zh-CN"/>
              </w:rPr>
              <w:t>公用设施用地</w:t>
            </w:r>
          </w:p>
        </w:tc>
      </w:tr>
      <w:tr w14:paraId="0F55BD6D">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2882BFBA">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bookmarkStart w:id="0" w:name="OLE_LINK56" w:colFirst="1" w:colLast="5"/>
            <w:r>
              <w:rPr>
                <w:rFonts w:hint="default" w:ascii="Times New Roman" w:hAnsi="Times New Roman" w:eastAsia="仿宋_GB2312" w:cs="Times New Roman"/>
                <w:color w:val="auto"/>
                <w:kern w:val="0"/>
              </w:rPr>
              <w:t>一级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15E0250E">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3273</w:t>
            </w:r>
          </w:p>
        </w:tc>
        <w:tc>
          <w:tcPr>
            <w:tcW w:w="696" w:type="pct"/>
            <w:tcBorders>
              <w:top w:val="single" w:color="auto" w:sz="4" w:space="0"/>
              <w:left w:val="nil"/>
              <w:bottom w:val="single" w:color="auto" w:sz="4" w:space="0"/>
              <w:right w:val="single" w:color="auto" w:sz="4" w:space="0"/>
            </w:tcBorders>
            <w:shd w:val="clear" w:color="auto" w:fill="auto"/>
            <w:vAlign w:val="center"/>
          </w:tcPr>
          <w:p w14:paraId="3EE7D5DB">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2191</w:t>
            </w:r>
          </w:p>
        </w:tc>
        <w:tc>
          <w:tcPr>
            <w:tcW w:w="672" w:type="pct"/>
            <w:tcBorders>
              <w:top w:val="single" w:color="auto" w:sz="4" w:space="0"/>
              <w:left w:val="nil"/>
              <w:bottom w:val="single" w:color="auto" w:sz="4" w:space="0"/>
              <w:right w:val="single" w:color="auto" w:sz="4" w:space="0"/>
            </w:tcBorders>
            <w:shd w:val="clear" w:color="auto" w:fill="auto"/>
            <w:vAlign w:val="center"/>
          </w:tcPr>
          <w:p w14:paraId="56514ED6">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1178</w:t>
            </w:r>
          </w:p>
        </w:tc>
        <w:tc>
          <w:tcPr>
            <w:tcW w:w="875" w:type="pct"/>
            <w:tcBorders>
              <w:top w:val="single" w:color="auto" w:sz="4" w:space="0"/>
              <w:left w:val="nil"/>
              <w:bottom w:val="single" w:color="auto" w:sz="4" w:space="0"/>
              <w:right w:val="single" w:color="auto" w:sz="4" w:space="0"/>
            </w:tcBorders>
            <w:vAlign w:val="center"/>
          </w:tcPr>
          <w:p w14:paraId="541BA4DF">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922</w:t>
            </w:r>
          </w:p>
        </w:tc>
        <w:tc>
          <w:tcPr>
            <w:tcW w:w="810" w:type="pct"/>
            <w:tcBorders>
              <w:top w:val="single" w:color="auto" w:sz="4" w:space="0"/>
              <w:left w:val="nil"/>
              <w:bottom w:val="single" w:color="auto" w:sz="4" w:space="0"/>
              <w:right w:val="single" w:color="auto" w:sz="4" w:space="0"/>
            </w:tcBorders>
            <w:vAlign w:val="center"/>
          </w:tcPr>
          <w:p w14:paraId="341D2FBD">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867</w:t>
            </w:r>
          </w:p>
        </w:tc>
      </w:tr>
      <w:tr w14:paraId="647FFAFF">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40ABBF1F">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二级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21DA8843">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2498</w:t>
            </w:r>
          </w:p>
        </w:tc>
        <w:tc>
          <w:tcPr>
            <w:tcW w:w="696" w:type="pct"/>
            <w:tcBorders>
              <w:top w:val="single" w:color="auto" w:sz="4" w:space="0"/>
              <w:left w:val="nil"/>
              <w:bottom w:val="single" w:color="auto" w:sz="4" w:space="0"/>
              <w:right w:val="single" w:color="auto" w:sz="4" w:space="0"/>
            </w:tcBorders>
            <w:shd w:val="clear" w:color="auto" w:fill="auto"/>
            <w:vAlign w:val="center"/>
          </w:tcPr>
          <w:p w14:paraId="03508C99">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1940</w:t>
            </w:r>
          </w:p>
        </w:tc>
        <w:tc>
          <w:tcPr>
            <w:tcW w:w="672" w:type="pct"/>
            <w:tcBorders>
              <w:top w:val="single" w:color="auto" w:sz="4" w:space="0"/>
              <w:left w:val="nil"/>
              <w:bottom w:val="single" w:color="auto" w:sz="4" w:space="0"/>
              <w:right w:val="single" w:color="auto" w:sz="4" w:space="0"/>
            </w:tcBorders>
            <w:shd w:val="clear" w:color="auto" w:fill="auto"/>
            <w:vAlign w:val="center"/>
          </w:tcPr>
          <w:p w14:paraId="37391BA5">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888</w:t>
            </w:r>
          </w:p>
        </w:tc>
        <w:tc>
          <w:tcPr>
            <w:tcW w:w="875" w:type="pct"/>
            <w:tcBorders>
              <w:top w:val="single" w:color="auto" w:sz="4" w:space="0"/>
              <w:left w:val="nil"/>
              <w:bottom w:val="single" w:color="auto" w:sz="4" w:space="0"/>
              <w:right w:val="single" w:color="auto" w:sz="4" w:space="0"/>
            </w:tcBorders>
            <w:vAlign w:val="center"/>
          </w:tcPr>
          <w:p w14:paraId="0697F679">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710</w:t>
            </w:r>
          </w:p>
        </w:tc>
        <w:tc>
          <w:tcPr>
            <w:tcW w:w="810" w:type="pct"/>
            <w:tcBorders>
              <w:top w:val="single" w:color="auto" w:sz="4" w:space="0"/>
              <w:left w:val="nil"/>
              <w:bottom w:val="single" w:color="auto" w:sz="4" w:space="0"/>
              <w:right w:val="single" w:color="auto" w:sz="4" w:space="0"/>
            </w:tcBorders>
            <w:vAlign w:val="center"/>
          </w:tcPr>
          <w:p w14:paraId="138D2682">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663</w:t>
            </w:r>
          </w:p>
        </w:tc>
      </w:tr>
      <w:tr w14:paraId="35961EA5">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45D2E2EB">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723563E6">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1801</w:t>
            </w:r>
          </w:p>
        </w:tc>
        <w:tc>
          <w:tcPr>
            <w:tcW w:w="696" w:type="pct"/>
            <w:tcBorders>
              <w:top w:val="single" w:color="auto" w:sz="4" w:space="0"/>
              <w:left w:val="nil"/>
              <w:bottom w:val="single" w:color="auto" w:sz="4" w:space="0"/>
              <w:right w:val="single" w:color="auto" w:sz="4" w:space="0"/>
            </w:tcBorders>
            <w:shd w:val="clear" w:color="auto" w:fill="auto"/>
            <w:vAlign w:val="center"/>
          </w:tcPr>
          <w:p w14:paraId="1B8AC47E">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1608</w:t>
            </w:r>
          </w:p>
        </w:tc>
        <w:tc>
          <w:tcPr>
            <w:tcW w:w="672" w:type="pct"/>
            <w:tcBorders>
              <w:top w:val="single" w:color="auto" w:sz="4" w:space="0"/>
              <w:left w:val="nil"/>
              <w:bottom w:val="single" w:color="auto" w:sz="4" w:space="0"/>
              <w:right w:val="single" w:color="auto" w:sz="4" w:space="0"/>
            </w:tcBorders>
            <w:shd w:val="clear" w:color="auto" w:fill="auto"/>
            <w:vAlign w:val="center"/>
          </w:tcPr>
          <w:p w14:paraId="5DED6AB9">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657</w:t>
            </w:r>
          </w:p>
        </w:tc>
        <w:tc>
          <w:tcPr>
            <w:tcW w:w="875" w:type="pct"/>
            <w:tcBorders>
              <w:top w:val="single" w:color="auto" w:sz="4" w:space="0"/>
              <w:left w:val="nil"/>
              <w:bottom w:val="single" w:color="auto" w:sz="4" w:space="0"/>
              <w:right w:val="single" w:color="auto" w:sz="4" w:space="0"/>
            </w:tcBorders>
            <w:vAlign w:val="center"/>
          </w:tcPr>
          <w:p w14:paraId="6773A0BB">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490</w:t>
            </w:r>
          </w:p>
        </w:tc>
        <w:tc>
          <w:tcPr>
            <w:tcW w:w="810" w:type="pct"/>
            <w:tcBorders>
              <w:top w:val="single" w:color="auto" w:sz="4" w:space="0"/>
              <w:left w:val="nil"/>
              <w:bottom w:val="single" w:color="auto" w:sz="4" w:space="0"/>
              <w:right w:val="single" w:color="auto" w:sz="4" w:space="0"/>
            </w:tcBorders>
            <w:vAlign w:val="center"/>
          </w:tcPr>
          <w:p w14:paraId="557CF33C">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eastAsia="zh-CN"/>
              </w:rPr>
              <w:t>497</w:t>
            </w:r>
          </w:p>
        </w:tc>
      </w:tr>
      <w:tr w14:paraId="6C98AF4B">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028DC56E">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四级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36983EE1">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1280</w:t>
            </w:r>
          </w:p>
        </w:tc>
        <w:tc>
          <w:tcPr>
            <w:tcW w:w="696" w:type="pct"/>
            <w:tcBorders>
              <w:top w:val="single" w:color="auto" w:sz="4" w:space="0"/>
              <w:left w:val="nil"/>
              <w:bottom w:val="single" w:color="auto" w:sz="4" w:space="0"/>
              <w:right w:val="single" w:color="auto" w:sz="4" w:space="0"/>
            </w:tcBorders>
            <w:shd w:val="clear" w:color="auto" w:fill="auto"/>
            <w:vAlign w:val="center"/>
          </w:tcPr>
          <w:p w14:paraId="38B29F3D">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1075</w:t>
            </w:r>
          </w:p>
        </w:tc>
        <w:tc>
          <w:tcPr>
            <w:tcW w:w="672" w:type="pct"/>
            <w:tcBorders>
              <w:top w:val="single" w:color="auto" w:sz="4" w:space="0"/>
              <w:left w:val="nil"/>
              <w:bottom w:val="single" w:color="auto" w:sz="4" w:space="0"/>
              <w:right w:val="single" w:color="auto" w:sz="4" w:space="0"/>
            </w:tcBorders>
            <w:shd w:val="clear" w:color="auto" w:fill="auto"/>
            <w:vAlign w:val="center"/>
          </w:tcPr>
          <w:p w14:paraId="22F30EA0">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469</w:t>
            </w:r>
          </w:p>
        </w:tc>
        <w:tc>
          <w:tcPr>
            <w:tcW w:w="875" w:type="pct"/>
            <w:tcBorders>
              <w:top w:val="single" w:color="auto" w:sz="4" w:space="0"/>
              <w:left w:val="nil"/>
              <w:bottom w:val="single" w:color="auto" w:sz="4" w:space="0"/>
              <w:right w:val="single" w:color="auto" w:sz="4" w:space="0"/>
            </w:tcBorders>
            <w:vAlign w:val="center"/>
          </w:tcPr>
          <w:p w14:paraId="5A42CA2C">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324</w:t>
            </w:r>
          </w:p>
        </w:tc>
        <w:tc>
          <w:tcPr>
            <w:tcW w:w="810" w:type="pct"/>
            <w:tcBorders>
              <w:top w:val="single" w:color="auto" w:sz="4" w:space="0"/>
              <w:left w:val="nil"/>
              <w:bottom w:val="single" w:color="auto" w:sz="4" w:space="0"/>
              <w:right w:val="single" w:color="auto" w:sz="4" w:space="0"/>
            </w:tcBorders>
            <w:vAlign w:val="center"/>
          </w:tcPr>
          <w:p w14:paraId="43825043">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250</w:t>
            </w:r>
          </w:p>
        </w:tc>
      </w:tr>
      <w:tr w14:paraId="5F5472AA">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7885026E">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五级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483EE28F">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776</w:t>
            </w:r>
          </w:p>
        </w:tc>
        <w:tc>
          <w:tcPr>
            <w:tcW w:w="696" w:type="pct"/>
            <w:tcBorders>
              <w:top w:val="single" w:color="auto" w:sz="4" w:space="0"/>
              <w:left w:val="nil"/>
              <w:bottom w:val="single" w:color="auto" w:sz="4" w:space="0"/>
              <w:right w:val="single" w:color="auto" w:sz="4" w:space="0"/>
            </w:tcBorders>
            <w:shd w:val="clear" w:color="auto" w:fill="auto"/>
            <w:vAlign w:val="center"/>
          </w:tcPr>
          <w:p w14:paraId="30587137">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606</w:t>
            </w:r>
          </w:p>
        </w:tc>
        <w:tc>
          <w:tcPr>
            <w:tcW w:w="672" w:type="pct"/>
            <w:tcBorders>
              <w:top w:val="single" w:color="auto" w:sz="4" w:space="0"/>
              <w:left w:val="nil"/>
              <w:bottom w:val="single" w:color="auto" w:sz="4" w:space="0"/>
              <w:right w:val="single" w:color="auto" w:sz="4" w:space="0"/>
            </w:tcBorders>
            <w:shd w:val="clear" w:color="auto" w:fill="auto"/>
            <w:vAlign w:val="center"/>
          </w:tcPr>
          <w:p w14:paraId="0757ECB2">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285</w:t>
            </w:r>
          </w:p>
        </w:tc>
        <w:tc>
          <w:tcPr>
            <w:tcW w:w="875" w:type="pct"/>
            <w:tcBorders>
              <w:top w:val="single" w:color="auto" w:sz="4" w:space="0"/>
              <w:left w:val="nil"/>
              <w:bottom w:val="single" w:color="auto" w:sz="4" w:space="0"/>
              <w:right w:val="single" w:color="auto" w:sz="4" w:space="0"/>
            </w:tcBorders>
            <w:vAlign w:val="center"/>
          </w:tcPr>
          <w:p w14:paraId="15F663AD">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249</w:t>
            </w:r>
          </w:p>
        </w:tc>
        <w:tc>
          <w:tcPr>
            <w:tcW w:w="810" w:type="pct"/>
            <w:tcBorders>
              <w:top w:val="single" w:color="auto" w:sz="4" w:space="0"/>
              <w:left w:val="nil"/>
              <w:bottom w:val="single" w:color="auto" w:sz="4" w:space="0"/>
              <w:right w:val="single" w:color="auto" w:sz="4" w:space="0"/>
            </w:tcBorders>
            <w:vAlign w:val="center"/>
          </w:tcPr>
          <w:p w14:paraId="62FA9026">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w:t>
            </w:r>
          </w:p>
        </w:tc>
      </w:tr>
      <w:tr w14:paraId="4E6EF7E6">
        <w:tblPrEx>
          <w:tblCellMar>
            <w:top w:w="0" w:type="dxa"/>
            <w:left w:w="108" w:type="dxa"/>
            <w:bottom w:w="0" w:type="dxa"/>
            <w:right w:w="108" w:type="dxa"/>
          </w:tblCellMar>
        </w:tblPrEx>
        <w:trPr>
          <w:trHeight w:val="227" w:hRule="atLeast"/>
        </w:trPr>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14:paraId="6BFA123E">
            <w:pPr>
              <w:keepNext w:val="0"/>
              <w:keepLines w:val="0"/>
              <w:widowControl/>
              <w:suppressLineNumbers w:val="0"/>
              <w:spacing w:before="0" w:beforeAutospacing="0" w:after="0" w:afterAutospacing="0" w:line="240" w:lineRule="auto"/>
              <w:ind w:left="0" w:right="0" w:firstLine="0"/>
              <w:jc w:val="center"/>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六级</w:t>
            </w:r>
          </w:p>
        </w:tc>
        <w:tc>
          <w:tcPr>
            <w:tcW w:w="1000" w:type="pct"/>
            <w:tcBorders>
              <w:top w:val="single" w:color="auto" w:sz="4" w:space="0"/>
              <w:left w:val="nil"/>
              <w:bottom w:val="single" w:color="auto" w:sz="4" w:space="0"/>
              <w:right w:val="single" w:color="auto" w:sz="4" w:space="0"/>
            </w:tcBorders>
            <w:shd w:val="clear" w:color="auto" w:fill="auto"/>
            <w:vAlign w:val="center"/>
          </w:tcPr>
          <w:p w14:paraId="30B1774A">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468</w:t>
            </w:r>
          </w:p>
        </w:tc>
        <w:tc>
          <w:tcPr>
            <w:tcW w:w="696" w:type="pct"/>
            <w:tcBorders>
              <w:top w:val="single" w:color="auto" w:sz="4" w:space="0"/>
              <w:left w:val="nil"/>
              <w:bottom w:val="single" w:color="auto" w:sz="4" w:space="0"/>
              <w:right w:val="single" w:color="auto" w:sz="4" w:space="0"/>
            </w:tcBorders>
            <w:shd w:val="clear" w:color="auto" w:fill="auto"/>
            <w:vAlign w:val="center"/>
          </w:tcPr>
          <w:p w14:paraId="41F4AB65">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324</w:t>
            </w:r>
          </w:p>
        </w:tc>
        <w:tc>
          <w:tcPr>
            <w:tcW w:w="672" w:type="pct"/>
            <w:tcBorders>
              <w:top w:val="single" w:color="auto" w:sz="4" w:space="0"/>
              <w:left w:val="nil"/>
              <w:bottom w:val="single" w:color="auto" w:sz="4" w:space="0"/>
              <w:right w:val="single" w:color="auto" w:sz="4" w:space="0"/>
            </w:tcBorders>
            <w:shd w:val="clear" w:color="auto" w:fill="auto"/>
            <w:vAlign w:val="center"/>
          </w:tcPr>
          <w:p w14:paraId="73457221">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w:t>
            </w:r>
          </w:p>
        </w:tc>
        <w:tc>
          <w:tcPr>
            <w:tcW w:w="875" w:type="pct"/>
            <w:tcBorders>
              <w:top w:val="single" w:color="auto" w:sz="4" w:space="0"/>
              <w:left w:val="nil"/>
              <w:bottom w:val="single" w:color="auto" w:sz="4" w:space="0"/>
              <w:right w:val="single" w:color="auto" w:sz="4" w:space="0"/>
            </w:tcBorders>
            <w:vAlign w:val="center"/>
          </w:tcPr>
          <w:p w14:paraId="333049C0">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w:t>
            </w:r>
          </w:p>
        </w:tc>
        <w:tc>
          <w:tcPr>
            <w:tcW w:w="810" w:type="pct"/>
            <w:tcBorders>
              <w:top w:val="single" w:color="auto" w:sz="4" w:space="0"/>
              <w:left w:val="nil"/>
              <w:bottom w:val="single" w:color="auto" w:sz="4" w:space="0"/>
              <w:right w:val="single" w:color="auto" w:sz="4" w:space="0"/>
            </w:tcBorders>
            <w:vAlign w:val="center"/>
          </w:tcPr>
          <w:p w14:paraId="2B8DB119">
            <w:pPr>
              <w:keepNext w:val="0"/>
              <w:keepLines w:val="0"/>
              <w:suppressLineNumbers w:val="0"/>
              <w:spacing w:before="0" w:beforeAutospacing="0" w:after="0" w:afterAutospacing="0" w:line="240" w:lineRule="auto"/>
              <w:ind w:left="0" w:right="0" w:firstLine="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w:t>
            </w:r>
          </w:p>
        </w:tc>
      </w:tr>
      <w:bookmarkEnd w:id="0"/>
    </w:tbl>
    <w:p w14:paraId="2C1CF988">
      <w:pPr>
        <w:adjustRightInd w:val="0"/>
        <w:snapToGrid w:val="0"/>
        <w:spacing w:line="240" w:lineRule="auto"/>
        <w:ind w:firstLine="360" w:firstLineChars="20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注：商服用地级别基准地价为设定容积率2.0的首层楼面地价，不含路线价；住宅用地级别基准地价为设定容积率2.0的平均楼面地价；工业用地级别基准地价为设定容积率1.0的地面地价；公共管理与公共服务用地级别基准地价为设定容积率1.5的平均楼面地价；公用设施用地级别基准地价为设定容积率1.0的地面地价。</w:t>
      </w:r>
    </w:p>
    <w:p w14:paraId="5847829B">
      <w:pPr>
        <w:pStyle w:val="8"/>
        <w:keepNext/>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val="en-US" w:eastAsia="zh-CN"/>
        </w:rPr>
        <w:t>4</w:t>
      </w:r>
      <w:r>
        <w:rPr>
          <w:rFonts w:hint="eastAsia" w:ascii="仿宋_GB2312" w:hAnsi="仿宋_GB2312" w:eastAsia="仿宋_GB2312" w:cs="仿宋_GB2312"/>
          <w:sz w:val="32"/>
          <w:szCs w:val="20"/>
          <w:lang w:eastAsia="zh-CN"/>
        </w:rPr>
        <w:t>、与上一轮同用途基准地价整体变化为：</w:t>
      </w:r>
    </w:p>
    <w:p w14:paraId="5A855EB7">
      <w:pPr>
        <w:pStyle w:val="8"/>
        <w:widowControl/>
        <w:snapToGrid w:val="0"/>
        <w:spacing w:line="600" w:lineRule="exact"/>
        <w:ind w:left="0" w:firstLine="640" w:firstLineChars="200"/>
        <w:rPr>
          <w:rFonts w:hint="default" w:ascii="仿宋_GB2312" w:hAnsi="仿宋_GB2312" w:eastAsia="仿宋_GB2312" w:cs="仿宋_GB2312"/>
          <w:sz w:val="32"/>
          <w:szCs w:val="20"/>
          <w:lang w:eastAsia="zh-CN"/>
        </w:rPr>
      </w:pPr>
      <w:r>
        <w:rPr>
          <w:rFonts w:hint="default" w:ascii="仿宋_GB2312" w:hAnsi="仿宋_GB2312" w:eastAsia="仿宋_GB2312" w:cs="仿宋_GB2312"/>
          <w:sz w:val="32"/>
          <w:szCs w:val="20"/>
          <w:lang w:eastAsia="zh-CN"/>
        </w:rPr>
        <w:t>商服用地：523元/平方米（首层楼面地价），比上轮下降2.61%；住宅用地：374元/平方米（平均楼面地价），比上轮下降0.80%；工业用地：274元/平方米（地面地价），比上轮增长3.79%；公共管理与公共服务用地：270元/平方米（平均楼面地价），比上轮增长5.47%；</w:t>
      </w:r>
      <w:bookmarkStart w:id="1" w:name="_GoBack"/>
      <w:bookmarkEnd w:id="1"/>
      <w:r>
        <w:rPr>
          <w:rFonts w:hint="default" w:ascii="仿宋_GB2312" w:hAnsi="仿宋_GB2312" w:eastAsia="仿宋_GB2312" w:cs="仿宋_GB2312"/>
          <w:sz w:val="32"/>
          <w:szCs w:val="20"/>
          <w:lang w:eastAsia="zh-CN"/>
        </w:rPr>
        <w:t>公用设施用地：255元/平方米（地面地价），比上轮增长4.51%。</w:t>
      </w:r>
    </w:p>
    <w:p w14:paraId="1430FB33">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七、基准地价查询路径</w:t>
      </w:r>
    </w:p>
    <w:p w14:paraId="17A6323C">
      <w:pPr>
        <w:pStyle w:val="8"/>
        <w:widowControl/>
        <w:snapToGrid w:val="0"/>
        <w:spacing w:line="600" w:lineRule="exact"/>
        <w:ind w:left="0" w:firstLine="640" w:firstLineChars="200"/>
        <w:rPr>
          <w:rFonts w:hint="eastAsia" w:ascii="仿宋_GB2312" w:hAnsi="仿宋_GB2312" w:eastAsia="仿宋_GB2312" w:cs="仿宋_GB2312"/>
          <w:sz w:val="32"/>
          <w:szCs w:val="20"/>
          <w:lang w:val="en-US"/>
        </w:rPr>
      </w:pPr>
      <w:r>
        <w:rPr>
          <w:rFonts w:hint="eastAsia" w:ascii="仿宋_GB2312" w:hAnsi="仿宋_GB2312" w:eastAsia="仿宋_GB2312" w:cs="仿宋_GB2312"/>
          <w:sz w:val="32"/>
          <w:szCs w:val="20"/>
          <w:lang w:eastAsia="zh-CN"/>
        </w:rPr>
        <w:t>登陆云浮市自然资源局官网→频道首页→土地管理→关键字（搜索）。</w:t>
      </w:r>
    </w:p>
    <w:p w14:paraId="5AB8857E">
      <w:pPr>
        <w:pStyle w:val="8"/>
        <w:widowControl/>
        <w:snapToGrid w:val="0"/>
        <w:spacing w:line="600" w:lineRule="exact"/>
        <w:ind w:left="0" w:firstLine="640" w:firstLineChars="200"/>
        <w:outlineLvl w:val="0"/>
        <w:rPr>
          <w:rFonts w:hint="default" w:ascii="Times New Roman" w:hAnsi="Times New Roman" w:eastAsia="黑体" w:cs="Times New Roman"/>
          <w:sz w:val="32"/>
          <w:szCs w:val="20"/>
          <w:lang w:val="en-US"/>
        </w:rPr>
      </w:pPr>
      <w:r>
        <w:rPr>
          <w:rFonts w:hint="default" w:ascii="Times New Roman" w:hAnsi="Times New Roman" w:eastAsia="黑体" w:cs="Times New Roman"/>
          <w:sz w:val="32"/>
          <w:szCs w:val="20"/>
          <w:lang w:eastAsia="zh-CN"/>
        </w:rPr>
        <w:t>八、基准地价如何参考使用</w:t>
      </w:r>
    </w:p>
    <w:p w14:paraId="198D1E8B">
      <w:pPr>
        <w:pStyle w:val="8"/>
        <w:widowControl/>
        <w:snapToGrid w:val="0"/>
        <w:spacing w:line="600" w:lineRule="exact"/>
        <w:ind w:left="0" w:firstLine="640" w:firstLineChars="200"/>
        <w:rPr>
          <w:rFonts w:hint="default" w:ascii="Times New Roman" w:hAnsi="Times New Roman" w:eastAsia="仿宋_GB2312" w:cs="Times New Roman"/>
          <w:sz w:val="32"/>
          <w:szCs w:val="20"/>
          <w:lang w:val="en-US"/>
        </w:rPr>
      </w:pPr>
      <w:r>
        <w:rPr>
          <w:rFonts w:hint="default" w:ascii="Times New Roman" w:hAnsi="Times New Roman" w:eastAsia="仿宋_GB2312" w:cs="Times New Roman"/>
          <w:sz w:val="32"/>
          <w:szCs w:val="20"/>
          <w:lang w:eastAsia="zh-CN"/>
        </w:rPr>
        <w:t>根据所需查询的价格时点确定适用的基准地价成果，再根据具体地址及用途在区片及路线价基准地价图中确定对应的基准地价。该价格为统一设定内涵下的平均价格，仅作参考，宗地实际地价应根据自身开发利用条件等进行专业性修正。</w:t>
      </w:r>
    </w:p>
    <w:p w14:paraId="19A0BB15">
      <w:pPr>
        <w:pStyle w:val="8"/>
        <w:widowControl/>
        <w:snapToGrid w:val="0"/>
        <w:spacing w:line="600" w:lineRule="exact"/>
        <w:ind w:left="0" w:firstLine="640" w:firstLineChars="200"/>
        <w:rPr>
          <w:rFonts w:hint="default" w:ascii="Times New Roman" w:hAnsi="Times New Roman" w:eastAsia="仿宋_GB2312" w:cs="Times New Roman"/>
          <w:sz w:val="32"/>
          <w:szCs w:val="20"/>
          <w:lang w:val="en-US"/>
        </w:rPr>
      </w:pPr>
    </w:p>
    <w:p w14:paraId="18AD7B85">
      <w:pPr>
        <w:pStyle w:val="8"/>
        <w:widowControl/>
        <w:snapToGrid w:val="0"/>
        <w:spacing w:line="600" w:lineRule="exact"/>
        <w:ind w:left="0" w:firstLine="640" w:firstLineChars="200"/>
        <w:rPr>
          <w:rFonts w:hint="default" w:ascii="Times New Roman" w:hAnsi="Times New Roman" w:eastAsia="仿宋_GB2312" w:cs="Times New Roman"/>
          <w:sz w:val="32"/>
          <w:szCs w:val="20"/>
          <w:lang w:val="en-US"/>
        </w:rPr>
      </w:pPr>
    </w:p>
    <w:p w14:paraId="66299D40">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8833F-FF48-4DFE-A833-1C312EA494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DCC8B01-AB0C-4199-A4CC-C7E4217E4A6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F1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D2F6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DD2F6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2F7C"/>
    <w:rsid w:val="073562D9"/>
    <w:rsid w:val="1C330BE1"/>
    <w:rsid w:val="1D107D58"/>
    <w:rsid w:val="1D4F3830"/>
    <w:rsid w:val="216E5AEF"/>
    <w:rsid w:val="21EE7441"/>
    <w:rsid w:val="23630BE9"/>
    <w:rsid w:val="238008AB"/>
    <w:rsid w:val="27323FF4"/>
    <w:rsid w:val="28486C45"/>
    <w:rsid w:val="2D403F0D"/>
    <w:rsid w:val="2DBC2BEC"/>
    <w:rsid w:val="2EE31AF2"/>
    <w:rsid w:val="35D703D8"/>
    <w:rsid w:val="3E2E20A1"/>
    <w:rsid w:val="45652B2E"/>
    <w:rsid w:val="46D604D1"/>
    <w:rsid w:val="63A53827"/>
    <w:rsid w:val="66B00698"/>
    <w:rsid w:val="670215E7"/>
    <w:rsid w:val="6C905D74"/>
    <w:rsid w:val="6D85303A"/>
    <w:rsid w:val="6F8C46F3"/>
    <w:rsid w:val="ADDBC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rFonts w:hint="default" w:ascii="Times New Roman" w:hAnsi="Times New Roman" w:cs="Times New Roman"/>
      <w:kern w:val="2"/>
      <w:sz w:val="18"/>
      <w:szCs w:val="18"/>
    </w:rPr>
  </w:style>
  <w:style w:type="paragraph" w:customStyle="1" w:styleId="8">
    <w:name w:val="正文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1710</Words>
  <Characters>1851</Characters>
  <Lines>0</Lines>
  <Paragraphs>0</Paragraphs>
  <TotalTime>11</TotalTime>
  <ScaleCrop>false</ScaleCrop>
  <LinksUpToDate>false</LinksUpToDate>
  <CharactersWithSpaces>1853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2024-12-30T14:50:00Z</dcterms:created>
  <dc:creator>Administrator</dc:creator>
  <cp:lastModifiedBy>FEI</cp:lastModifiedBy>
  <dcterms:modified xsi:type="dcterms:W3CDTF">2025-06-26T01:25:02Z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eyJoZGlkIjoiZTg5MGMyNWRhZGM5MmU5MWMxY2QyY2FjN2UwNjVhN2IiLCJ1c2VySWQiOiI3MzU0MjE0OTMifQ==</vt:lpwstr>
  </property>
  <property fmtid="{D5CDD505-2E9C-101B-9397-08002B2CF9AE}" pid="4" name="ICV">
    <vt:lpwstr>EA410D6EA1394E4E9554140C74A7E041_12</vt:lpwstr>
  </property>
</Properties>
</file>